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03" w:firstLineChars="200"/>
        <w:jc w:val="center"/>
        <w:rPr>
          <w:rFonts w:hint="eastAsia" w:ascii="仿宋_GB2312" w:hAnsi="宋体" w:eastAsia="仿宋_GB2312" w:cs="宋体"/>
          <w:b/>
          <w:color w:val="333333"/>
          <w:kern w:val="0"/>
          <w:sz w:val="40"/>
          <w:szCs w:val="40"/>
        </w:rPr>
      </w:pPr>
      <w:bookmarkStart w:id="0" w:name="_GoBack"/>
      <w:r>
        <w:rPr>
          <w:rFonts w:hint="eastAsia" w:ascii="仿宋_GB2312" w:hAnsi="宋体" w:eastAsia="仿宋_GB2312" w:cs="宋体"/>
          <w:b/>
          <w:color w:val="333333"/>
          <w:kern w:val="0"/>
          <w:sz w:val="40"/>
          <w:szCs w:val="40"/>
          <w:lang w:val="en-US" w:eastAsia="zh-CN"/>
        </w:rPr>
        <w:t>2023年</w:t>
      </w:r>
      <w:r>
        <w:rPr>
          <w:rFonts w:hint="eastAsia" w:ascii="仿宋_GB2312" w:hAnsi="宋体" w:eastAsia="仿宋_GB2312" w:cs="宋体"/>
          <w:b/>
          <w:color w:val="333333"/>
          <w:kern w:val="0"/>
          <w:sz w:val="40"/>
          <w:szCs w:val="40"/>
        </w:rPr>
        <w:t>巴里坤哈萨克自治县三公经费</w:t>
      </w:r>
    </w:p>
    <w:p>
      <w:pPr>
        <w:ind w:firstLine="803" w:firstLineChars="200"/>
        <w:jc w:val="center"/>
        <w:rPr>
          <w:rFonts w:hint="eastAsia" w:ascii="仿宋_GB2312" w:hAnsi="宋体" w:eastAsia="仿宋_GB2312" w:cs="宋体"/>
          <w:b/>
          <w:color w:val="333333"/>
          <w:kern w:val="0"/>
          <w:sz w:val="40"/>
          <w:szCs w:val="40"/>
        </w:rPr>
      </w:pPr>
      <w:r>
        <w:rPr>
          <w:rFonts w:hint="eastAsia" w:ascii="仿宋_GB2312" w:hAnsi="宋体" w:eastAsia="仿宋_GB2312" w:cs="宋体"/>
          <w:b/>
          <w:color w:val="333333"/>
          <w:kern w:val="0"/>
          <w:sz w:val="40"/>
          <w:szCs w:val="40"/>
        </w:rPr>
        <w:t>公开说明</w:t>
      </w:r>
    </w:p>
    <w:bookmarkEnd w:id="0"/>
    <w:p>
      <w:pPr>
        <w:ind w:firstLine="643" w:firstLineChars="200"/>
        <w:jc w:val="center"/>
        <w:rPr>
          <w:rFonts w:hint="eastAsia" w:ascii="仿宋_GB2312" w:hAnsi="宋体" w:eastAsia="仿宋_GB2312" w:cs="宋体"/>
          <w:b/>
          <w:color w:val="333333"/>
          <w:kern w:val="0"/>
          <w:sz w:val="32"/>
          <w:szCs w:val="32"/>
        </w:rPr>
      </w:pPr>
    </w:p>
    <w:p>
      <w:pPr>
        <w:ind w:firstLine="800" w:firstLineChars="250"/>
        <w:rPr>
          <w:rFonts w:ascii="仿宋_GB2312" w:eastAsia="仿宋_GB2312"/>
          <w:b/>
          <w:color w:val="333333"/>
          <w:sz w:val="32"/>
          <w:szCs w:val="32"/>
        </w:rPr>
      </w:pPr>
      <w:r>
        <w:rPr>
          <w:rFonts w:hint="eastAsia" w:ascii="仿宋_GB2312" w:eastAsia="仿宋_GB2312"/>
          <w:color w:val="333333"/>
          <w:sz w:val="32"/>
          <w:szCs w:val="32"/>
        </w:rPr>
        <w:t>我县</w:t>
      </w:r>
      <w:r>
        <w:rPr>
          <w:rFonts w:hint="eastAsia" w:ascii="仿宋_GB2312" w:eastAsia="仿宋_GB2312"/>
          <w:color w:val="333333"/>
          <w:sz w:val="32"/>
          <w:szCs w:val="32"/>
          <w:lang w:val="en-US" w:eastAsia="zh-CN"/>
        </w:rPr>
        <w:t>95</w:t>
      </w:r>
      <w:r>
        <w:rPr>
          <w:rFonts w:hint="eastAsia" w:ascii="仿宋_GB2312" w:eastAsia="仿宋_GB2312"/>
          <w:color w:val="333333"/>
          <w:sz w:val="32"/>
          <w:szCs w:val="32"/>
        </w:rPr>
        <w:t>个预算单位公开了20</w:t>
      </w:r>
      <w:r>
        <w:rPr>
          <w:rFonts w:hint="eastAsia" w:ascii="仿宋_GB2312" w:eastAsia="仿宋_GB2312"/>
          <w:color w:val="333333"/>
          <w:sz w:val="32"/>
          <w:szCs w:val="32"/>
          <w:lang w:val="en-US" w:eastAsia="zh-CN"/>
        </w:rPr>
        <w:t>23</w:t>
      </w:r>
      <w:r>
        <w:rPr>
          <w:rFonts w:hint="eastAsia" w:ascii="仿宋_GB2312" w:eastAsia="仿宋_GB2312"/>
          <w:color w:val="333333"/>
          <w:sz w:val="32"/>
          <w:szCs w:val="32"/>
        </w:rPr>
        <w:t>年的部门预算和“三公”经费预算,占预算单位总数的100%；</w:t>
      </w:r>
    </w:p>
    <w:p>
      <w:pPr>
        <w:ind w:firstLine="643" w:firstLineChars="200"/>
        <w:rPr>
          <w:rFonts w:hint="eastAsia" w:ascii="仿宋_GB2312" w:eastAsia="仿宋_GB2312"/>
          <w:color w:val="333333"/>
          <w:sz w:val="32"/>
          <w:szCs w:val="32"/>
        </w:rPr>
      </w:pPr>
      <w:r>
        <w:rPr>
          <w:rFonts w:hint="eastAsia" w:ascii="仿宋_GB2312" w:eastAsia="仿宋_GB2312"/>
          <w:b/>
          <w:color w:val="333333"/>
          <w:sz w:val="32"/>
          <w:szCs w:val="32"/>
        </w:rPr>
        <w:t xml:space="preserve"> </w:t>
      </w:r>
      <w:r>
        <w:rPr>
          <w:rFonts w:hint="eastAsia" w:ascii="仿宋_GB2312" w:eastAsia="仿宋_GB2312"/>
          <w:b w:val="0"/>
          <w:bCs/>
          <w:color w:val="333333"/>
          <w:sz w:val="32"/>
          <w:szCs w:val="32"/>
        </w:rPr>
        <w:t>“三公”经费方面，</w:t>
      </w:r>
      <w:r>
        <w:rPr>
          <w:rFonts w:hint="eastAsia" w:ascii="仿宋_GB2312" w:eastAsia="仿宋_GB2312"/>
          <w:b w:val="0"/>
          <w:bCs/>
          <w:color w:val="333333"/>
          <w:sz w:val="32"/>
          <w:szCs w:val="32"/>
          <w:lang w:eastAsia="zh-CN"/>
        </w:rPr>
        <w:t>严格按照“</w:t>
      </w:r>
      <w:r>
        <w:rPr>
          <w:rFonts w:hint="eastAsia" w:ascii="Times New Roman" w:hAnsi="Times New Roman" w:eastAsia="仿宋_GB2312"/>
          <w:b w:val="0"/>
          <w:bCs/>
          <w:sz w:val="32"/>
          <w:szCs w:val="40"/>
        </w:rPr>
        <w:t>只减</w:t>
      </w:r>
      <w:r>
        <w:rPr>
          <w:rFonts w:hint="eastAsia" w:ascii="Times New Roman" w:hAnsi="Times New Roman" w:eastAsia="仿宋_GB2312"/>
          <w:sz w:val="32"/>
          <w:szCs w:val="40"/>
        </w:rPr>
        <w:t>不增</w:t>
      </w:r>
      <w:r>
        <w:rPr>
          <w:rFonts w:hint="eastAsia" w:ascii="Times New Roman" w:hAnsi="Times New Roman" w:eastAsia="仿宋_GB2312"/>
          <w:sz w:val="32"/>
          <w:szCs w:val="40"/>
          <w:lang w:eastAsia="zh-CN"/>
        </w:rPr>
        <w:t>”的原则</w:t>
      </w:r>
      <w:r>
        <w:rPr>
          <w:rFonts w:hint="eastAsia" w:ascii="Times New Roman" w:hAnsi="Times New Roman" w:eastAsia="仿宋_GB2312"/>
          <w:sz w:val="32"/>
          <w:szCs w:val="40"/>
        </w:rPr>
        <w:t>，严格执行</w:t>
      </w:r>
      <w:r>
        <w:rPr>
          <w:rFonts w:ascii="Times New Roman" w:hAnsi="Times New Roman" w:eastAsia="仿宋_GB2312"/>
          <w:sz w:val="32"/>
          <w:szCs w:val="40"/>
        </w:rPr>
        <w:t>“</w:t>
      </w:r>
      <w:r>
        <w:rPr>
          <w:rFonts w:hint="eastAsia" w:ascii="Times New Roman" w:hAnsi="Times New Roman" w:eastAsia="仿宋_GB2312"/>
          <w:sz w:val="32"/>
          <w:szCs w:val="40"/>
        </w:rPr>
        <w:t>三公</w:t>
      </w:r>
      <w:r>
        <w:rPr>
          <w:rFonts w:ascii="Times New Roman" w:hAnsi="Times New Roman" w:eastAsia="仿宋_GB2312"/>
          <w:sz w:val="32"/>
          <w:szCs w:val="40"/>
        </w:rPr>
        <w:t>”</w:t>
      </w:r>
      <w:r>
        <w:rPr>
          <w:rFonts w:hint="eastAsia" w:ascii="Times New Roman" w:hAnsi="Times New Roman" w:eastAsia="仿宋_GB2312"/>
          <w:sz w:val="32"/>
          <w:szCs w:val="40"/>
        </w:rPr>
        <w:t>经费相关规定。</w:t>
      </w:r>
      <w:r>
        <w:rPr>
          <w:rFonts w:hint="eastAsia" w:ascii="仿宋_GB2312" w:eastAsia="仿宋_GB2312"/>
          <w:color w:val="333333"/>
          <w:sz w:val="32"/>
          <w:szCs w:val="32"/>
        </w:rPr>
        <w:t>在因公出国(境)经费安排上,结合我县实际情况，实行的是“总量控制、计划管理”,此项经费不列入各部门年初预算的公用经费范围,必须由县委、政府主管领导签批后追加办理。公车购置管理上，我县实行从严控制制度，单位购置公务车辆一律需上报县财经领导小组会议审批通过后才能按相关购置程序申请购置车辆。在公车运行维护管理上,则实行“定点保险、油料费、维修费集中支付”的管理办法。公务接待经费管理则严格按照年初预算安排，原则上预算年度中期不再追加。</w:t>
      </w:r>
    </w:p>
    <w:p>
      <w:pPr>
        <w:ind w:firstLine="640" w:firstLineChars="200"/>
        <w:rPr>
          <w:rFonts w:hint="eastAsia" w:ascii="仿宋_GB2312" w:eastAsia="仿宋_GB2312"/>
          <w:color w:val="333333"/>
          <w:sz w:val="32"/>
          <w:szCs w:val="32"/>
        </w:rPr>
      </w:pPr>
    </w:p>
    <w:p>
      <w:pPr>
        <w:ind w:firstLine="640" w:firstLineChars="200"/>
        <w:rPr>
          <w:rFonts w:hint="eastAsia" w:ascii="仿宋_GB2312" w:eastAsia="仿宋_GB2312"/>
          <w:color w:val="333333"/>
          <w:sz w:val="32"/>
          <w:szCs w:val="32"/>
        </w:rPr>
      </w:pPr>
    </w:p>
    <w:p>
      <w:pPr>
        <w:rPr>
          <w:rFonts w:hint="default" w:ascii="仿宋_GB2312" w:eastAsia="仿宋_GB2312"/>
          <w:color w:val="333333"/>
          <w:sz w:val="32"/>
          <w:szCs w:val="32"/>
          <w:lang w:val="en-US" w:eastAsia="zh-CN"/>
        </w:rPr>
      </w:pPr>
      <w:r>
        <w:rPr>
          <w:rFonts w:hint="eastAsia"/>
          <w:lang w:val="en-US" w:eastAsia="zh-CN"/>
        </w:rPr>
        <w:t xml:space="preserve">   </w:t>
      </w:r>
      <w:r>
        <w:rPr>
          <w:rFonts w:hint="eastAsia" w:ascii="仿宋_GB2312" w:eastAsia="仿宋_GB2312"/>
          <w:color w:val="333333"/>
          <w:sz w:val="32"/>
          <w:szCs w:val="32"/>
          <w:lang w:val="en-US" w:eastAsia="zh-CN"/>
        </w:rPr>
        <w:t>详见《巴里坤县2023年三公经费情况表》、《巴里坤县2023年三公经费明细表》</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5360"/>
    <w:rsid w:val="14155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2023-03-17T05:27:00Z</dcterms:created>
  <dc:creator>Administrator</dc:creator>
  <cp:lastModifiedBy>Administrator</cp:lastModifiedBy>
  <dcterms:modified xsi:type="dcterms:W3CDTF">2023-03-17T05:28:03Z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