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方正小标宋简体" w:hAnsi="方正小标宋简体" w:eastAsia="方正小标宋简体" w:cs="方正小标宋简体"/>
        </w:rPr>
      </w:pPr>
    </w:p>
    <w:p>
      <w:pPr>
        <w:spacing w:line="560" w:lineRule="exact"/>
        <w:ind w:firstLine="883" w:firstLineChars="200"/>
        <w:jc w:val="both"/>
        <w:outlineLvl w:val="0"/>
        <w:rPr>
          <w:rFonts w:hint="eastAsia" w:ascii="仿宋" w:hAnsi="仿宋" w:eastAsia="仿宋" w:cs="仿宋"/>
          <w:b/>
          <w:kern w:val="0"/>
          <w:sz w:val="44"/>
          <w:szCs w:val="44"/>
        </w:rPr>
      </w:pPr>
      <w:r>
        <w:rPr>
          <w:rFonts w:hint="eastAsia" w:ascii="仿宋" w:hAnsi="仿宋" w:eastAsia="仿宋" w:cs="仿宋"/>
          <w:b/>
          <w:kern w:val="0"/>
          <w:sz w:val="44"/>
          <w:szCs w:val="44"/>
          <w:lang w:val="en-US" w:eastAsia="zh-CN"/>
        </w:rPr>
        <w:t>巴里坤县</w:t>
      </w:r>
      <w:r>
        <w:rPr>
          <w:rFonts w:hint="eastAsia" w:ascii="仿宋" w:hAnsi="仿宋" w:eastAsia="仿宋" w:cs="仿宋"/>
          <w:b/>
          <w:kern w:val="0"/>
          <w:sz w:val="44"/>
          <w:szCs w:val="44"/>
        </w:rPr>
        <w:t>社会保险支出绩效评价报告</w:t>
      </w:r>
    </w:p>
    <w:p>
      <w:pPr>
        <w:spacing w:line="560" w:lineRule="exact"/>
        <w:jc w:val="center"/>
        <w:rPr>
          <w:rFonts w:hint="eastAsia" w:ascii="仿宋" w:hAnsi="仿宋" w:eastAsia="仿宋" w:cs="仿宋"/>
          <w:b/>
          <w:kern w:val="0"/>
          <w:sz w:val="44"/>
          <w:szCs w:val="44"/>
        </w:rPr>
      </w:pPr>
    </w:p>
    <w:p>
      <w:pPr>
        <w:spacing w:line="560" w:lineRule="exact"/>
        <w:jc w:val="center"/>
        <w:outlineLvl w:val="0"/>
        <w:rPr>
          <w:rFonts w:hint="eastAsia" w:ascii="仿宋" w:hAnsi="仿宋" w:eastAsia="仿宋" w:cs="仿宋"/>
          <w:b/>
          <w:kern w:val="0"/>
          <w:sz w:val="44"/>
          <w:szCs w:val="44"/>
        </w:rPr>
      </w:pPr>
      <w:r>
        <w:rPr>
          <w:rFonts w:hint="eastAsia" w:ascii="仿宋" w:hAnsi="仿宋" w:eastAsia="仿宋" w:cs="仿宋"/>
          <w:b/>
          <w:kern w:val="0"/>
          <w:sz w:val="44"/>
          <w:szCs w:val="44"/>
        </w:rPr>
        <w:t>（202</w:t>
      </w:r>
      <w:r>
        <w:rPr>
          <w:rFonts w:hint="eastAsia" w:ascii="仿宋" w:hAnsi="仿宋" w:eastAsia="仿宋" w:cs="仿宋"/>
          <w:b/>
          <w:kern w:val="0"/>
          <w:sz w:val="44"/>
          <w:szCs w:val="44"/>
          <w:lang w:val="en-US" w:eastAsia="zh-CN"/>
        </w:rPr>
        <w:t>3</w:t>
      </w:r>
      <w:r>
        <w:rPr>
          <w:rFonts w:hint="eastAsia" w:ascii="仿宋" w:hAnsi="仿宋" w:eastAsia="仿宋" w:cs="仿宋"/>
          <w:b/>
          <w:kern w:val="0"/>
          <w:sz w:val="44"/>
          <w:szCs w:val="44"/>
        </w:rPr>
        <w:t>年度）</w:t>
      </w:r>
    </w:p>
    <w:p>
      <w:pPr>
        <w:spacing w:line="560" w:lineRule="exact"/>
        <w:jc w:val="center"/>
        <w:rPr>
          <w:rFonts w:hint="eastAsia" w:ascii="方正小标宋简体" w:hAnsi="方正小标宋简体" w:eastAsia="方正小标宋简体" w:cs="方正小标宋简体"/>
          <w:bCs/>
          <w:kern w:val="0"/>
          <w:sz w:val="44"/>
          <w:szCs w:val="44"/>
        </w:rPr>
      </w:pPr>
    </w:p>
    <w:p>
      <w:pPr>
        <w:spacing w:line="560" w:lineRule="exact"/>
        <w:rPr>
          <w:rFonts w:hint="eastAsia" w:ascii="方正小标宋简体" w:hAnsi="方正小标宋简体" w:eastAsia="方正小标宋简体" w:cs="方正小标宋简体"/>
          <w:bCs/>
          <w:kern w:val="0"/>
          <w:sz w:val="44"/>
          <w:szCs w:val="44"/>
        </w:rPr>
      </w:pPr>
    </w:p>
    <w:p>
      <w:pPr>
        <w:pStyle w:val="2"/>
        <w:rPr>
          <w:rFonts w:hint="eastAsia" w:ascii="方正小标宋简体" w:hAnsi="方正小标宋简体" w:eastAsia="方正小标宋简体" w:cs="方正小标宋简体"/>
          <w:sz w:val="44"/>
          <w:szCs w:val="44"/>
        </w:rPr>
      </w:pPr>
    </w:p>
    <w:p>
      <w:pPr>
        <w:rPr>
          <w:rFonts w:hint="eastAsia" w:ascii="方正小标宋简体" w:hAnsi="方正小标宋简体" w:eastAsia="方正小标宋简体" w:cs="方正小标宋简体"/>
          <w:sz w:val="44"/>
          <w:szCs w:val="44"/>
        </w:rPr>
      </w:pPr>
    </w:p>
    <w:p>
      <w:pPr>
        <w:pStyle w:val="2"/>
        <w:rPr>
          <w:rFonts w:hint="eastAsia" w:ascii="方正小标宋简体" w:hAnsi="方正小标宋简体" w:eastAsia="方正小标宋简体" w:cs="方正小标宋简体"/>
          <w:sz w:val="44"/>
          <w:szCs w:val="44"/>
        </w:rPr>
      </w:pPr>
    </w:p>
    <w:p>
      <w:pPr>
        <w:spacing w:line="560" w:lineRule="exact"/>
        <w:rPr>
          <w:rFonts w:hint="eastAsia" w:ascii="方正小标宋简体" w:hAnsi="方正小标宋简体" w:eastAsia="方正小标宋简体" w:cs="方正小标宋简体"/>
          <w:bCs/>
          <w:kern w:val="0"/>
          <w:sz w:val="44"/>
          <w:szCs w:val="44"/>
        </w:rPr>
      </w:pPr>
    </w:p>
    <w:p>
      <w:pPr>
        <w:spacing w:line="560" w:lineRule="exact"/>
        <w:ind w:firstLine="220" w:firstLineChars="50"/>
        <w:jc w:val="left"/>
        <w:outlineLvl w:val="0"/>
        <w:rPr>
          <w:rFonts w:hint="eastAsia" w:ascii="仿宋" w:hAnsi="仿宋" w:eastAsia="仿宋" w:cs="仿宋"/>
          <w:bCs/>
          <w:kern w:val="0"/>
          <w:sz w:val="44"/>
          <w:szCs w:val="44"/>
        </w:rPr>
      </w:pPr>
      <w:r>
        <w:rPr>
          <w:rFonts w:hint="eastAsia" w:ascii="仿宋" w:hAnsi="仿宋" w:eastAsia="仿宋" w:cs="仿宋"/>
          <w:bCs/>
          <w:kern w:val="0"/>
          <w:sz w:val="44"/>
          <w:szCs w:val="44"/>
        </w:rPr>
        <w:t>项目名称：社会保险基金支出</w:t>
      </w:r>
    </w:p>
    <w:p>
      <w:pPr>
        <w:spacing w:line="560" w:lineRule="exact"/>
        <w:rPr>
          <w:rFonts w:hint="eastAsia" w:ascii="仿宋" w:hAnsi="仿宋" w:eastAsia="仿宋" w:cs="仿宋"/>
          <w:b w:val="0"/>
          <w:bCs/>
          <w:kern w:val="0"/>
          <w:sz w:val="44"/>
          <w:szCs w:val="44"/>
        </w:rPr>
      </w:pPr>
    </w:p>
    <w:p>
      <w:pPr>
        <w:pStyle w:val="3"/>
        <w:ind w:firstLine="220" w:firstLineChars="50"/>
        <w:jc w:val="both"/>
        <w:outlineLvl w:val="0"/>
        <w:rPr>
          <w:rFonts w:hint="eastAsia" w:ascii="仿宋" w:hAnsi="仿宋" w:eastAsia="仿宋" w:cs="仿宋"/>
          <w:b w:val="0"/>
          <w:bCs w:val="0"/>
          <w:kern w:val="0"/>
          <w:sz w:val="44"/>
          <w:szCs w:val="44"/>
          <w:lang w:val="en-US" w:eastAsia="zh-CN"/>
        </w:rPr>
      </w:pPr>
      <w:r>
        <w:rPr>
          <w:rFonts w:hint="eastAsia" w:ascii="仿宋" w:hAnsi="仿宋" w:eastAsia="仿宋" w:cs="仿宋"/>
          <w:b w:val="0"/>
          <w:bCs/>
          <w:kern w:val="0"/>
          <w:sz w:val="44"/>
          <w:szCs w:val="44"/>
        </w:rPr>
        <w:t>实施单位（公章）：</w:t>
      </w:r>
      <w:r>
        <w:rPr>
          <w:rFonts w:hint="eastAsia" w:ascii="仿宋" w:hAnsi="仿宋" w:eastAsia="仿宋" w:cs="仿宋"/>
          <w:b w:val="0"/>
          <w:bCs/>
          <w:kern w:val="0"/>
          <w:sz w:val="44"/>
          <w:szCs w:val="44"/>
          <w:lang w:val="en-US" w:eastAsia="zh-CN"/>
        </w:rPr>
        <w:t>巴里坤县</w:t>
      </w:r>
      <w:r>
        <w:rPr>
          <w:rFonts w:hint="eastAsia" w:ascii="仿宋" w:hAnsi="仿宋" w:eastAsia="仿宋" w:cs="仿宋"/>
          <w:b w:val="0"/>
          <w:bCs w:val="0"/>
          <w:kern w:val="0"/>
          <w:sz w:val="44"/>
          <w:szCs w:val="44"/>
          <w:lang w:val="en-US" w:eastAsia="zh-CN"/>
        </w:rPr>
        <w:t>社会保险中心</w:t>
      </w:r>
    </w:p>
    <w:p>
      <w:pPr>
        <w:pStyle w:val="3"/>
        <w:jc w:val="both"/>
        <w:outlineLvl w:val="0"/>
        <w:rPr>
          <w:rFonts w:hint="eastAsia" w:ascii="仿宋" w:hAnsi="仿宋" w:eastAsia="仿宋" w:cs="仿宋"/>
          <w:b w:val="0"/>
          <w:bCs w:val="0"/>
          <w:kern w:val="0"/>
          <w:sz w:val="44"/>
          <w:szCs w:val="44"/>
        </w:rPr>
      </w:pPr>
      <w:r>
        <w:rPr>
          <w:rFonts w:hint="eastAsia" w:ascii="仿宋" w:hAnsi="仿宋" w:eastAsia="仿宋" w:cs="仿宋"/>
          <w:b w:val="0"/>
          <w:bCs w:val="0"/>
          <w:kern w:val="0"/>
          <w:sz w:val="44"/>
          <w:szCs w:val="44"/>
          <w:lang w:val="en-US" w:eastAsia="zh-CN"/>
        </w:rPr>
        <w:t xml:space="preserve">                 </w:t>
      </w:r>
    </w:p>
    <w:p>
      <w:pPr>
        <w:spacing w:line="560" w:lineRule="exact"/>
        <w:outlineLvl w:val="0"/>
        <w:rPr>
          <w:rFonts w:hint="eastAsia" w:ascii="仿宋" w:hAnsi="仿宋" w:eastAsia="仿宋" w:cs="仿宋"/>
          <w:bCs/>
          <w:kern w:val="0"/>
          <w:sz w:val="44"/>
          <w:szCs w:val="44"/>
          <w:lang w:val="en-US" w:eastAsia="zh-CN"/>
        </w:rPr>
      </w:pPr>
      <w:r>
        <w:rPr>
          <w:rFonts w:hint="eastAsia" w:ascii="仿宋" w:hAnsi="仿宋" w:eastAsia="仿宋" w:cs="仿宋"/>
          <w:bCs/>
          <w:kern w:val="0"/>
          <w:sz w:val="44"/>
          <w:szCs w:val="44"/>
          <w:lang w:val="en-US" w:eastAsia="zh-CN"/>
        </w:rPr>
        <w:t xml:space="preserve"> </w:t>
      </w:r>
      <w:r>
        <w:rPr>
          <w:rFonts w:hint="eastAsia" w:ascii="仿宋" w:hAnsi="仿宋" w:eastAsia="仿宋" w:cs="仿宋"/>
          <w:bCs/>
          <w:kern w:val="0"/>
          <w:sz w:val="44"/>
          <w:szCs w:val="44"/>
        </w:rPr>
        <w:t>负责人（签章）：</w:t>
      </w:r>
      <w:r>
        <w:rPr>
          <w:rFonts w:hint="eastAsia" w:ascii="仿宋" w:hAnsi="仿宋" w:eastAsia="仿宋" w:cs="仿宋"/>
          <w:bCs/>
          <w:kern w:val="0"/>
          <w:sz w:val="44"/>
          <w:szCs w:val="44"/>
          <w:lang w:val="en-US" w:eastAsia="zh-CN"/>
        </w:rPr>
        <w:t>许学鹏</w:t>
      </w:r>
    </w:p>
    <w:p>
      <w:pPr>
        <w:pStyle w:val="3"/>
        <w:jc w:val="both"/>
        <w:rPr>
          <w:rFonts w:hint="eastAsia" w:ascii="仿宋" w:hAnsi="仿宋" w:eastAsia="仿宋" w:cs="仿宋"/>
          <w:b w:val="0"/>
          <w:sz w:val="44"/>
          <w:szCs w:val="44"/>
        </w:rPr>
      </w:pPr>
    </w:p>
    <w:p>
      <w:pPr>
        <w:spacing w:line="560" w:lineRule="exact"/>
        <w:outlineLvl w:val="0"/>
        <w:rPr>
          <w:rFonts w:hint="eastAsia" w:ascii="仿宋" w:hAnsi="仿宋" w:eastAsia="仿宋" w:cs="仿宋"/>
          <w:bCs/>
          <w:kern w:val="0"/>
          <w:sz w:val="44"/>
          <w:szCs w:val="44"/>
        </w:rPr>
      </w:pPr>
      <w:r>
        <w:rPr>
          <w:rFonts w:hint="eastAsia" w:ascii="仿宋" w:hAnsi="仿宋" w:eastAsia="仿宋" w:cs="仿宋"/>
          <w:bCs/>
          <w:kern w:val="0"/>
          <w:sz w:val="44"/>
          <w:szCs w:val="44"/>
          <w:lang w:val="en-US" w:eastAsia="zh-CN"/>
        </w:rPr>
        <w:t xml:space="preserve"> </w:t>
      </w:r>
      <w:r>
        <w:rPr>
          <w:rFonts w:hint="eastAsia" w:ascii="仿宋" w:hAnsi="仿宋" w:eastAsia="仿宋" w:cs="仿宋"/>
          <w:bCs/>
          <w:kern w:val="0"/>
          <w:sz w:val="44"/>
          <w:szCs w:val="44"/>
        </w:rPr>
        <w:t>填报时间： 202</w:t>
      </w:r>
      <w:r>
        <w:rPr>
          <w:rFonts w:hint="eastAsia" w:ascii="仿宋" w:hAnsi="仿宋" w:eastAsia="仿宋" w:cs="仿宋"/>
          <w:bCs/>
          <w:kern w:val="0"/>
          <w:sz w:val="44"/>
          <w:szCs w:val="44"/>
          <w:lang w:val="en-US" w:eastAsia="zh-CN"/>
        </w:rPr>
        <w:t>4</w:t>
      </w:r>
      <w:r>
        <w:rPr>
          <w:rFonts w:hint="eastAsia" w:ascii="仿宋" w:hAnsi="仿宋" w:eastAsia="仿宋" w:cs="仿宋"/>
          <w:bCs/>
          <w:kern w:val="0"/>
          <w:sz w:val="44"/>
          <w:szCs w:val="44"/>
        </w:rPr>
        <w:t>年</w:t>
      </w:r>
      <w:r>
        <w:rPr>
          <w:rFonts w:hint="eastAsia" w:ascii="仿宋" w:hAnsi="仿宋" w:eastAsia="仿宋" w:cs="仿宋"/>
          <w:bCs/>
          <w:kern w:val="0"/>
          <w:sz w:val="44"/>
          <w:szCs w:val="44"/>
          <w:lang w:val="en-US" w:eastAsia="zh-CN"/>
        </w:rPr>
        <w:t>10</w:t>
      </w:r>
      <w:r>
        <w:rPr>
          <w:rFonts w:hint="eastAsia" w:ascii="仿宋" w:hAnsi="仿宋" w:eastAsia="仿宋" w:cs="仿宋"/>
          <w:bCs/>
          <w:kern w:val="0"/>
          <w:sz w:val="44"/>
          <w:szCs w:val="44"/>
        </w:rPr>
        <w:t>月</w:t>
      </w:r>
      <w:r>
        <w:rPr>
          <w:rFonts w:hint="eastAsia" w:ascii="仿宋" w:hAnsi="仿宋" w:eastAsia="仿宋" w:cs="仿宋"/>
          <w:bCs/>
          <w:kern w:val="0"/>
          <w:sz w:val="44"/>
          <w:szCs w:val="44"/>
          <w:lang w:val="en-US" w:eastAsia="zh-CN"/>
        </w:rPr>
        <w:t>14</w:t>
      </w:r>
      <w:r>
        <w:rPr>
          <w:rFonts w:hint="eastAsia" w:ascii="仿宋" w:hAnsi="仿宋" w:eastAsia="仿宋" w:cs="仿宋"/>
          <w:bCs/>
          <w:kern w:val="0"/>
          <w:sz w:val="44"/>
          <w:szCs w:val="44"/>
        </w:rPr>
        <w:t>日</w:t>
      </w:r>
    </w:p>
    <w:p>
      <w:pPr>
        <w:pStyle w:val="3"/>
        <w:rPr>
          <w:rFonts w:ascii="Times New Roman" w:hAnsi="Times New Roman"/>
          <w:sz w:val="44"/>
          <w:szCs w:val="44"/>
        </w:rPr>
      </w:pPr>
    </w:p>
    <w:p>
      <w:pPr>
        <w:spacing w:line="560" w:lineRule="exact"/>
        <w:ind w:firstLine="640"/>
        <w:rPr>
          <w:rStyle w:val="9"/>
          <w:rFonts w:hint="eastAsia" w:ascii="Times New Roman" w:hAnsi="Times New Roman" w:eastAsia="仿宋_GB2312" w:cs="仿宋_GB2312"/>
          <w:bCs w:val="0"/>
          <w:spacing w:val="-4"/>
          <w:sz w:val="30"/>
          <w:szCs w:val="30"/>
        </w:rPr>
      </w:pPr>
    </w:p>
    <w:p>
      <w:pPr>
        <w:spacing w:line="560" w:lineRule="exact"/>
        <w:ind w:firstLine="627" w:firstLineChars="200"/>
        <w:outlineLvl w:val="0"/>
        <w:rPr>
          <w:rStyle w:val="9"/>
          <w:rFonts w:hint="eastAsia" w:ascii="仿宋" w:hAnsi="仿宋" w:eastAsia="仿宋" w:cs="仿宋"/>
          <w:bCs w:val="0"/>
          <w:spacing w:val="-4"/>
          <w:sz w:val="32"/>
          <w:szCs w:val="32"/>
        </w:rPr>
      </w:pPr>
    </w:p>
    <w:p>
      <w:pPr>
        <w:spacing w:line="560" w:lineRule="exact"/>
        <w:ind w:firstLine="627" w:firstLineChars="200"/>
        <w:outlineLvl w:val="0"/>
        <w:rPr>
          <w:rStyle w:val="9"/>
          <w:rFonts w:hint="eastAsia" w:ascii="仿宋" w:hAnsi="仿宋" w:eastAsia="仿宋" w:cs="仿宋"/>
          <w:bCs w:val="0"/>
          <w:spacing w:val="-4"/>
          <w:sz w:val="32"/>
          <w:szCs w:val="32"/>
        </w:rPr>
      </w:pPr>
      <w:r>
        <w:rPr>
          <w:rStyle w:val="9"/>
          <w:rFonts w:hint="eastAsia" w:ascii="仿宋" w:hAnsi="仿宋" w:eastAsia="仿宋" w:cs="仿宋"/>
          <w:bCs w:val="0"/>
          <w:spacing w:val="-4"/>
          <w:sz w:val="32"/>
          <w:szCs w:val="32"/>
        </w:rPr>
        <w:t>一、社会保险基金收支余总体情况</w:t>
      </w:r>
    </w:p>
    <w:p>
      <w:pPr>
        <w:spacing w:line="560" w:lineRule="exact"/>
        <w:ind w:firstLine="567"/>
        <w:outlineLvl w:val="1"/>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rPr>
        <w:t>（一）社会保险基金总体情况</w:t>
      </w:r>
    </w:p>
    <w:p>
      <w:pPr>
        <w:tabs>
          <w:tab w:val="left" w:pos="0"/>
        </w:tabs>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巴里坤县</w:t>
      </w:r>
      <w:r>
        <w:rPr>
          <w:rFonts w:hint="eastAsia" w:ascii="仿宋" w:hAnsi="仿宋" w:eastAsia="仿宋" w:cs="仿宋"/>
          <w:bCs/>
          <w:sz w:val="32"/>
          <w:szCs w:val="32"/>
        </w:rPr>
        <w:t>各项社保基金收入稳步增长，支出相对增加，总体运行平稳</w:t>
      </w:r>
      <w:r>
        <w:rPr>
          <w:rFonts w:hint="eastAsia" w:ascii="仿宋" w:hAnsi="仿宋" w:eastAsia="仿宋" w:cs="仿宋"/>
          <w:bCs/>
          <w:sz w:val="32"/>
          <w:szCs w:val="32"/>
          <w:lang w:eastAsia="zh-CN"/>
        </w:rPr>
        <w:t>，各项社会</w:t>
      </w:r>
      <w:r>
        <w:rPr>
          <w:rFonts w:hint="eastAsia" w:ascii="仿宋" w:hAnsi="仿宋" w:eastAsia="仿宋" w:cs="仿宋"/>
          <w:bCs/>
          <w:sz w:val="32"/>
          <w:szCs w:val="32"/>
        </w:rPr>
        <w:t>保险覆盖面逐步扩大</w:t>
      </w:r>
      <w:r>
        <w:rPr>
          <w:rFonts w:hint="eastAsia" w:ascii="仿宋" w:hAnsi="仿宋" w:eastAsia="仿宋" w:cs="仿宋"/>
          <w:bCs/>
          <w:sz w:val="32"/>
          <w:szCs w:val="32"/>
          <w:lang w:eastAsia="zh-CN"/>
        </w:rPr>
        <w:t>，</w:t>
      </w:r>
      <w:r>
        <w:rPr>
          <w:rFonts w:hint="eastAsia" w:ascii="仿宋" w:hAnsi="仿宋" w:eastAsia="仿宋" w:cs="仿宋"/>
          <w:bCs/>
          <w:sz w:val="32"/>
          <w:szCs w:val="32"/>
        </w:rPr>
        <w:t>确保了广大参保人员各项社会保险</w:t>
      </w:r>
      <w:r>
        <w:rPr>
          <w:rFonts w:hint="eastAsia" w:ascii="仿宋" w:hAnsi="仿宋" w:eastAsia="仿宋" w:cs="仿宋"/>
          <w:bCs/>
          <w:sz w:val="32"/>
          <w:szCs w:val="32"/>
          <w:lang w:val="en-US" w:eastAsia="zh-CN"/>
        </w:rPr>
        <w:t>待遇</w:t>
      </w:r>
      <w:r>
        <w:rPr>
          <w:rFonts w:hint="eastAsia" w:ascii="仿宋" w:hAnsi="仿宋" w:eastAsia="仿宋" w:cs="仿宋"/>
          <w:bCs/>
          <w:sz w:val="32"/>
          <w:szCs w:val="32"/>
        </w:rPr>
        <w:t>的按时、足额发放。在进一步加强社会保险基金预算管理的基础上，确保了各项</w:t>
      </w:r>
      <w:r>
        <w:rPr>
          <w:rFonts w:hint="eastAsia" w:ascii="仿宋" w:hAnsi="仿宋" w:eastAsia="仿宋" w:cs="仿宋"/>
          <w:bCs/>
          <w:sz w:val="32"/>
          <w:szCs w:val="32"/>
          <w:lang w:eastAsia="zh-CN"/>
        </w:rPr>
        <w:t>社会保险</w:t>
      </w:r>
      <w:r>
        <w:rPr>
          <w:rFonts w:hint="eastAsia" w:ascii="仿宋" w:hAnsi="仿宋" w:eastAsia="仿宋" w:cs="仿宋"/>
          <w:bCs/>
          <w:sz w:val="32"/>
          <w:szCs w:val="32"/>
        </w:rPr>
        <w:t>基金的安全运营。</w:t>
      </w:r>
    </w:p>
    <w:p>
      <w:pPr>
        <w:tabs>
          <w:tab w:val="left" w:pos="0"/>
        </w:tabs>
        <w:spacing w:line="560" w:lineRule="exact"/>
        <w:ind w:firstLine="640" w:firstLineChars="200"/>
        <w:rPr>
          <w:rStyle w:val="9"/>
          <w:rFonts w:hint="eastAsia" w:ascii="仿宋" w:hAnsi="仿宋" w:eastAsia="仿宋" w:cs="仿宋"/>
          <w:b w:val="0"/>
          <w:color w:val="auto"/>
          <w:spacing w:val="-4"/>
          <w:sz w:val="32"/>
          <w:szCs w:val="32"/>
        </w:rPr>
      </w:pPr>
      <w:r>
        <w:rPr>
          <w:rFonts w:hint="eastAsia" w:ascii="仿宋" w:hAnsi="仿宋" w:eastAsia="仿宋" w:cs="仿宋"/>
          <w:bCs/>
          <w:sz w:val="32"/>
          <w:szCs w:val="32"/>
          <w:lang w:val="en-US" w:eastAsia="zh-CN"/>
        </w:rPr>
        <w:t>2023年巴里坤县机关事业单位基本养老保险和城乡居民基本养老保险总收入32408.75万元,较上年增加4911.79万元，提高17.86%。2023年巴里坤县机关事业单位基本养老保险和城乡居民基本养老保险总支出28731.82万元，较上年增加2185.15万元，8.23%。2023年机关事业单位基本养老保险和城乡居民基本养老保险当期收支结余3676.92万元，年末滚存结余13728.46万元。</w:t>
      </w:r>
    </w:p>
    <w:p>
      <w:pPr>
        <w:spacing w:line="560" w:lineRule="exact"/>
        <w:ind w:firstLine="567"/>
        <w:outlineLvl w:val="1"/>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rPr>
        <w:t>（二）社会保险基金支出预算绩效目标设定情况</w:t>
      </w:r>
    </w:p>
    <w:p>
      <w:pPr>
        <w:spacing w:line="560" w:lineRule="exact"/>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（包括基金支出预算目标及阶段性目标；项目用途和主要内容、涉及对象及人数范围等）</w:t>
      </w:r>
    </w:p>
    <w:p>
      <w:pPr>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巴里坤县</w:t>
      </w:r>
      <w:r>
        <w:rPr>
          <w:rFonts w:hint="eastAsia" w:ascii="仿宋" w:hAnsi="仿宋" w:eastAsia="仿宋" w:cs="仿宋"/>
          <w:bCs/>
          <w:sz w:val="32"/>
          <w:szCs w:val="32"/>
        </w:rPr>
        <w:t>机关事业养老保险（改革）基金</w:t>
      </w:r>
      <w:r>
        <w:rPr>
          <w:rFonts w:hint="eastAsia" w:ascii="仿宋" w:hAnsi="仿宋" w:eastAsia="仿宋" w:cs="仿宋"/>
          <w:bCs/>
          <w:sz w:val="32"/>
          <w:szCs w:val="32"/>
          <w:lang w:val="en-US" w:eastAsia="zh-CN"/>
        </w:rPr>
        <w:t>预算</w:t>
      </w:r>
      <w:r>
        <w:rPr>
          <w:rFonts w:hint="eastAsia" w:ascii="仿宋" w:hAnsi="仿宋" w:eastAsia="仿宋" w:cs="仿宋"/>
          <w:bCs/>
          <w:sz w:val="32"/>
          <w:szCs w:val="32"/>
        </w:rPr>
        <w:t>总支出</w:t>
      </w:r>
      <w:r>
        <w:rPr>
          <w:rFonts w:hint="eastAsia" w:ascii="仿宋" w:hAnsi="仿宋" w:eastAsia="仿宋" w:cs="仿宋"/>
          <w:sz w:val="32"/>
          <w:szCs w:val="32"/>
          <w:lang w:val="en-US" w:eastAsia="zh-CN"/>
        </w:rPr>
        <w:t>23735.84</w:t>
      </w:r>
      <w:r>
        <w:rPr>
          <w:rFonts w:hint="eastAsia" w:ascii="仿宋" w:hAnsi="仿宋" w:eastAsia="仿宋" w:cs="仿宋"/>
          <w:bCs/>
          <w:sz w:val="32"/>
          <w:szCs w:val="32"/>
        </w:rPr>
        <w:t>万元</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rPr>
        <w:t>其中：基本</w:t>
      </w:r>
      <w:r>
        <w:rPr>
          <w:rFonts w:hint="eastAsia" w:ascii="仿宋" w:hAnsi="仿宋" w:eastAsia="仿宋" w:cs="仿宋"/>
          <w:bCs/>
          <w:sz w:val="32"/>
          <w:szCs w:val="32"/>
        </w:rPr>
        <w:t>养老金待遇支</w:t>
      </w:r>
      <w:r>
        <w:rPr>
          <w:rFonts w:hint="eastAsia" w:ascii="仿宋" w:hAnsi="仿宋" w:eastAsia="仿宋" w:cs="仿宋"/>
          <w:sz w:val="32"/>
          <w:szCs w:val="32"/>
          <w:lang w:val="en-US" w:eastAsia="zh-CN"/>
        </w:rPr>
        <w:t>23717.84</w:t>
      </w:r>
      <w:r>
        <w:rPr>
          <w:rFonts w:hint="eastAsia" w:ascii="仿宋" w:hAnsi="仿宋" w:eastAsia="仿宋" w:cs="仿宋"/>
          <w:bCs/>
          <w:sz w:val="32"/>
          <w:szCs w:val="32"/>
        </w:rPr>
        <w:t>万元。全年保障离退休人员</w:t>
      </w:r>
      <w:r>
        <w:rPr>
          <w:rFonts w:hint="eastAsia" w:ascii="仿宋" w:hAnsi="仿宋" w:eastAsia="仿宋" w:cs="仿宋"/>
          <w:bCs/>
          <w:color w:val="auto"/>
          <w:sz w:val="32"/>
          <w:szCs w:val="32"/>
          <w:lang w:val="en-US" w:eastAsia="zh-CN"/>
        </w:rPr>
        <w:t>2800</w:t>
      </w:r>
      <w:r>
        <w:rPr>
          <w:rFonts w:hint="eastAsia" w:ascii="仿宋" w:hAnsi="仿宋" w:eastAsia="仿宋" w:cs="仿宋"/>
          <w:bCs/>
          <w:sz w:val="32"/>
          <w:szCs w:val="32"/>
        </w:rPr>
        <w:t>人的基本养老金待遇发放</w:t>
      </w:r>
      <w:r>
        <w:rPr>
          <w:rFonts w:hint="eastAsia" w:ascii="仿宋" w:hAnsi="仿宋" w:eastAsia="仿宋" w:cs="仿宋"/>
          <w:bCs/>
          <w:sz w:val="32"/>
          <w:szCs w:val="32"/>
          <w:lang w:eastAsia="zh-CN"/>
        </w:rPr>
        <w:t>，</w:t>
      </w:r>
      <w:r>
        <w:rPr>
          <w:rFonts w:hint="eastAsia" w:ascii="仿宋" w:hAnsi="仿宋" w:eastAsia="仿宋" w:cs="仿宋"/>
          <w:bCs/>
          <w:sz w:val="32"/>
          <w:szCs w:val="32"/>
        </w:rPr>
        <w:t>全年预算支出执行目标</w:t>
      </w:r>
      <w:r>
        <w:rPr>
          <w:rFonts w:hint="eastAsia" w:ascii="仿宋" w:hAnsi="仿宋" w:eastAsia="仿宋" w:cs="仿宋"/>
          <w:bCs/>
          <w:sz w:val="32"/>
          <w:szCs w:val="32"/>
          <w:lang w:val="en-US" w:eastAsia="zh-CN"/>
        </w:rPr>
        <w:t>95</w:t>
      </w:r>
      <w:r>
        <w:rPr>
          <w:rFonts w:hint="eastAsia" w:ascii="仿宋" w:hAnsi="仿宋" w:eastAsia="仿宋" w:cs="仿宋"/>
          <w:bCs/>
          <w:sz w:val="32"/>
          <w:szCs w:val="32"/>
        </w:rPr>
        <w:t>%以上，</w:t>
      </w:r>
      <w:r>
        <w:rPr>
          <w:rFonts w:hint="eastAsia" w:ascii="仿宋" w:hAnsi="仿宋" w:eastAsia="仿宋" w:cs="仿宋"/>
          <w:bCs/>
          <w:sz w:val="32"/>
          <w:szCs w:val="32"/>
          <w:lang w:val="en-US" w:eastAsia="zh-CN"/>
        </w:rPr>
        <w:t>巴里坤县</w:t>
      </w:r>
      <w:r>
        <w:rPr>
          <w:rFonts w:hint="eastAsia" w:ascii="仿宋" w:hAnsi="仿宋" w:eastAsia="仿宋" w:cs="仿宋"/>
          <w:bCs/>
          <w:sz w:val="32"/>
          <w:szCs w:val="32"/>
        </w:rPr>
        <w:t>承诺在每月１5日前按时足额发放养老金，首次待遇发放准确率</w:t>
      </w:r>
      <w:r>
        <w:rPr>
          <w:rFonts w:hint="eastAsia" w:ascii="仿宋" w:hAnsi="仿宋" w:eastAsia="仿宋" w:cs="仿宋"/>
          <w:bCs/>
          <w:sz w:val="32"/>
          <w:szCs w:val="32"/>
          <w:lang w:val="en-US" w:eastAsia="zh-CN"/>
        </w:rPr>
        <w:t>100</w:t>
      </w:r>
      <w:r>
        <w:rPr>
          <w:rFonts w:hint="eastAsia" w:ascii="仿宋" w:hAnsi="仿宋" w:eastAsia="仿宋" w:cs="仿宋"/>
          <w:bCs/>
          <w:sz w:val="32"/>
          <w:szCs w:val="32"/>
        </w:rPr>
        <w:t>％，参保群众满意率9</w:t>
      </w:r>
      <w:r>
        <w:rPr>
          <w:rFonts w:hint="eastAsia" w:ascii="仿宋" w:hAnsi="仿宋" w:eastAsia="仿宋" w:cs="仿宋"/>
          <w:bCs/>
          <w:sz w:val="32"/>
          <w:szCs w:val="32"/>
          <w:lang w:val="en-US" w:eastAsia="zh-CN"/>
        </w:rPr>
        <w:t>5</w:t>
      </w:r>
      <w:r>
        <w:rPr>
          <w:rFonts w:hint="eastAsia" w:ascii="仿宋" w:hAnsi="仿宋" w:eastAsia="仿宋" w:cs="仿宋"/>
          <w:bCs/>
          <w:sz w:val="32"/>
          <w:szCs w:val="32"/>
        </w:rPr>
        <w:t>%以上</w:t>
      </w:r>
      <w:r>
        <w:rPr>
          <w:rFonts w:hint="eastAsia" w:ascii="仿宋" w:hAnsi="仿宋" w:eastAsia="仿宋" w:cs="仿宋"/>
          <w:bCs/>
          <w:sz w:val="32"/>
          <w:szCs w:val="32"/>
          <w:lang w:eastAsia="zh-CN"/>
        </w:rPr>
        <w:t>，确保离退休人员按期足额领取养老金，按期调整待遇，让离退休人员享受国家发展改革成果，安享晚年</w:t>
      </w:r>
      <w:r>
        <w:rPr>
          <w:rFonts w:hint="eastAsia" w:ascii="仿宋" w:hAnsi="仿宋" w:eastAsia="仿宋" w:cs="仿宋"/>
          <w:bCs/>
          <w:sz w:val="32"/>
          <w:szCs w:val="32"/>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巴里坤县</w:t>
      </w:r>
      <w:r>
        <w:rPr>
          <w:rFonts w:hint="eastAsia" w:ascii="仿宋" w:hAnsi="仿宋" w:eastAsia="仿宋" w:cs="仿宋"/>
          <w:sz w:val="32"/>
          <w:szCs w:val="32"/>
        </w:rPr>
        <w:t>城乡居民</w:t>
      </w:r>
      <w:r>
        <w:rPr>
          <w:rFonts w:hint="eastAsia" w:ascii="仿宋" w:hAnsi="仿宋" w:eastAsia="仿宋" w:cs="仿宋"/>
          <w:sz w:val="32"/>
          <w:szCs w:val="32"/>
          <w:lang w:eastAsia="zh-CN"/>
        </w:rPr>
        <w:t>基本</w:t>
      </w:r>
      <w:r>
        <w:rPr>
          <w:rFonts w:hint="eastAsia" w:ascii="仿宋" w:hAnsi="仿宋" w:eastAsia="仿宋" w:cs="仿宋"/>
          <w:sz w:val="32"/>
          <w:szCs w:val="32"/>
        </w:rPr>
        <w:t>养老保险基金</w:t>
      </w:r>
      <w:r>
        <w:rPr>
          <w:rFonts w:hint="eastAsia" w:ascii="仿宋" w:hAnsi="仿宋" w:eastAsia="仿宋" w:cs="仿宋"/>
          <w:sz w:val="32"/>
          <w:szCs w:val="32"/>
          <w:lang w:val="en-US" w:eastAsia="zh-CN"/>
        </w:rPr>
        <w:t>预算</w:t>
      </w:r>
      <w:r>
        <w:rPr>
          <w:rFonts w:hint="eastAsia" w:ascii="仿宋" w:hAnsi="仿宋" w:eastAsia="仿宋" w:cs="仿宋"/>
          <w:sz w:val="32"/>
          <w:szCs w:val="32"/>
        </w:rPr>
        <w:t>总支出</w:t>
      </w:r>
      <w:r>
        <w:rPr>
          <w:rFonts w:hint="eastAsia" w:ascii="仿宋" w:hAnsi="仿宋" w:eastAsia="仿宋" w:cs="仿宋"/>
          <w:sz w:val="32"/>
          <w:szCs w:val="32"/>
          <w:lang w:val="en-US" w:eastAsia="zh-CN"/>
        </w:rPr>
        <w:t>4749.67</w:t>
      </w:r>
      <w:r>
        <w:rPr>
          <w:rFonts w:hint="eastAsia" w:ascii="仿宋" w:hAnsi="仿宋" w:eastAsia="仿宋" w:cs="仿宋"/>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其中：社会保险</w:t>
      </w:r>
      <w:r>
        <w:rPr>
          <w:rFonts w:hint="eastAsia" w:ascii="仿宋" w:hAnsi="仿宋" w:eastAsia="仿宋" w:cs="仿宋"/>
          <w:sz w:val="32"/>
          <w:szCs w:val="32"/>
        </w:rPr>
        <w:t>待遇支出</w:t>
      </w:r>
      <w:r>
        <w:rPr>
          <w:rFonts w:hint="eastAsia" w:ascii="仿宋" w:hAnsi="仿宋" w:eastAsia="仿宋" w:cs="仿宋"/>
          <w:sz w:val="32"/>
          <w:szCs w:val="32"/>
          <w:lang w:val="en-US" w:eastAsia="zh-CN"/>
        </w:rPr>
        <w:t>4744.66</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全年保障离退休人员</w:t>
      </w:r>
      <w:r>
        <w:rPr>
          <w:rFonts w:hint="eastAsia" w:ascii="仿宋" w:hAnsi="仿宋" w:eastAsia="仿宋" w:cs="仿宋"/>
          <w:color w:val="auto"/>
          <w:sz w:val="32"/>
          <w:szCs w:val="32"/>
          <w:lang w:val="en-US" w:eastAsia="zh-CN"/>
        </w:rPr>
        <w:t>10726</w:t>
      </w:r>
      <w:r>
        <w:rPr>
          <w:rFonts w:hint="eastAsia" w:ascii="仿宋" w:hAnsi="仿宋" w:eastAsia="仿宋" w:cs="仿宋"/>
          <w:sz w:val="32"/>
          <w:szCs w:val="32"/>
        </w:rPr>
        <w:t>人的养老金待遇发放</w:t>
      </w:r>
      <w:r>
        <w:rPr>
          <w:rFonts w:hint="eastAsia" w:ascii="仿宋" w:hAnsi="仿宋" w:eastAsia="仿宋" w:cs="仿宋"/>
          <w:sz w:val="32"/>
          <w:szCs w:val="32"/>
          <w:lang w:eastAsia="zh-CN"/>
        </w:rPr>
        <w:t>，</w:t>
      </w:r>
      <w:r>
        <w:rPr>
          <w:rFonts w:hint="eastAsia" w:ascii="仿宋" w:hAnsi="仿宋" w:eastAsia="仿宋" w:cs="仿宋"/>
          <w:sz w:val="32"/>
          <w:szCs w:val="32"/>
        </w:rPr>
        <w:t>全年预算支出执行目标9</w:t>
      </w:r>
      <w:r>
        <w:rPr>
          <w:rFonts w:hint="eastAsia" w:ascii="仿宋" w:hAnsi="仿宋" w:eastAsia="仿宋" w:cs="仿宋"/>
          <w:sz w:val="32"/>
          <w:szCs w:val="32"/>
          <w:lang w:val="en-US" w:eastAsia="zh-CN"/>
        </w:rPr>
        <w:t>5</w:t>
      </w:r>
      <w:r>
        <w:rPr>
          <w:rFonts w:hint="eastAsia" w:ascii="仿宋" w:hAnsi="仿宋" w:eastAsia="仿宋" w:cs="仿宋"/>
          <w:sz w:val="32"/>
          <w:szCs w:val="32"/>
        </w:rPr>
        <w:t>%以上，</w:t>
      </w:r>
      <w:r>
        <w:rPr>
          <w:rFonts w:hint="eastAsia" w:ascii="仿宋" w:hAnsi="仿宋" w:eastAsia="仿宋" w:cs="仿宋"/>
          <w:sz w:val="32"/>
          <w:szCs w:val="32"/>
          <w:lang w:val="en-US" w:eastAsia="zh-CN"/>
        </w:rPr>
        <w:t>巴里坤县</w:t>
      </w:r>
      <w:r>
        <w:rPr>
          <w:rFonts w:hint="eastAsia" w:ascii="仿宋" w:hAnsi="仿宋" w:eastAsia="仿宋" w:cs="仿宋"/>
          <w:sz w:val="32"/>
          <w:szCs w:val="32"/>
        </w:rPr>
        <w:t>承诺在每月25日前按时足额发放养老金，首次待遇发放准确率</w:t>
      </w:r>
      <w:r>
        <w:rPr>
          <w:rFonts w:hint="eastAsia" w:ascii="仿宋" w:hAnsi="仿宋" w:eastAsia="仿宋" w:cs="仿宋"/>
          <w:sz w:val="32"/>
          <w:szCs w:val="32"/>
          <w:lang w:val="en-US" w:eastAsia="zh-CN"/>
        </w:rPr>
        <w:t>100%</w:t>
      </w:r>
      <w:r>
        <w:rPr>
          <w:rFonts w:hint="eastAsia" w:ascii="仿宋" w:hAnsi="仿宋" w:eastAsia="仿宋" w:cs="仿宋"/>
          <w:sz w:val="32"/>
          <w:szCs w:val="32"/>
        </w:rPr>
        <w:t>，参保群众满意率9</w:t>
      </w:r>
      <w:r>
        <w:rPr>
          <w:rFonts w:hint="eastAsia" w:ascii="仿宋" w:hAnsi="仿宋" w:eastAsia="仿宋" w:cs="仿宋"/>
          <w:sz w:val="32"/>
          <w:szCs w:val="32"/>
          <w:lang w:val="en-US" w:eastAsia="zh-CN"/>
        </w:rPr>
        <w:t>5</w:t>
      </w:r>
      <w:r>
        <w:rPr>
          <w:rFonts w:hint="eastAsia" w:ascii="仿宋" w:hAnsi="仿宋" w:eastAsia="仿宋" w:cs="仿宋"/>
          <w:sz w:val="32"/>
          <w:szCs w:val="32"/>
        </w:rPr>
        <w:t>%以上</w:t>
      </w:r>
      <w:r>
        <w:rPr>
          <w:rFonts w:hint="eastAsia" w:ascii="仿宋" w:hAnsi="仿宋" w:eastAsia="仿宋" w:cs="仿宋"/>
          <w:sz w:val="32"/>
          <w:szCs w:val="32"/>
          <w:lang w:eastAsia="zh-CN"/>
        </w:rPr>
        <w:t>，确保退休人员按期足额领取养老金，让离退休人员享受国家发展改革成果，安享晚年</w:t>
      </w:r>
      <w:r>
        <w:rPr>
          <w:rFonts w:hint="eastAsia" w:ascii="仿宋" w:hAnsi="仿宋" w:eastAsia="仿宋" w:cs="仿宋"/>
          <w:sz w:val="32"/>
          <w:szCs w:val="32"/>
        </w:rPr>
        <w:t>。</w:t>
      </w:r>
    </w:p>
    <w:p>
      <w:pPr>
        <w:spacing w:line="560" w:lineRule="exact"/>
        <w:ind w:firstLine="627" w:firstLineChars="200"/>
        <w:outlineLvl w:val="0"/>
        <w:rPr>
          <w:rStyle w:val="9"/>
          <w:rFonts w:hint="eastAsia" w:ascii="仿宋" w:hAnsi="仿宋" w:eastAsia="仿宋" w:cs="仿宋"/>
          <w:bCs w:val="0"/>
          <w:spacing w:val="-4"/>
          <w:sz w:val="32"/>
          <w:szCs w:val="32"/>
        </w:rPr>
      </w:pPr>
      <w:r>
        <w:rPr>
          <w:rStyle w:val="9"/>
          <w:rFonts w:hint="eastAsia" w:ascii="仿宋" w:hAnsi="仿宋" w:eastAsia="仿宋" w:cs="仿宋"/>
          <w:bCs w:val="0"/>
          <w:spacing w:val="-4"/>
          <w:sz w:val="32"/>
          <w:szCs w:val="32"/>
        </w:rPr>
        <w:t>二、各项社会保险基金预算完成及运行情况</w:t>
      </w:r>
    </w:p>
    <w:p>
      <w:pPr>
        <w:spacing w:line="560" w:lineRule="exact"/>
        <w:ind w:firstLine="567"/>
        <w:outlineLvl w:val="1"/>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rPr>
        <w:t>（</w:t>
      </w:r>
      <w:r>
        <w:rPr>
          <w:rStyle w:val="9"/>
          <w:rFonts w:hint="eastAsia" w:ascii="仿宋" w:hAnsi="仿宋" w:eastAsia="仿宋" w:cs="仿宋"/>
          <w:b/>
          <w:bCs w:val="0"/>
          <w:spacing w:val="-4"/>
          <w:sz w:val="32"/>
          <w:szCs w:val="32"/>
          <w:lang w:eastAsia="zh-CN"/>
        </w:rPr>
        <w:t>一</w:t>
      </w:r>
      <w:r>
        <w:rPr>
          <w:rStyle w:val="9"/>
          <w:rFonts w:hint="eastAsia" w:ascii="仿宋" w:hAnsi="仿宋" w:eastAsia="仿宋" w:cs="仿宋"/>
          <w:b/>
          <w:bCs w:val="0"/>
          <w:spacing w:val="-4"/>
          <w:sz w:val="32"/>
          <w:szCs w:val="32"/>
        </w:rPr>
        <w:t>）机关事业单位养老保险基金</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w:t>
      </w:r>
      <w:r>
        <w:rPr>
          <w:rFonts w:hint="eastAsia" w:ascii="仿宋" w:hAnsi="仿宋" w:eastAsia="仿宋" w:cs="仿宋"/>
          <w:bCs/>
          <w:sz w:val="32"/>
          <w:szCs w:val="32"/>
          <w:lang w:val="en-US" w:eastAsia="zh-CN"/>
        </w:rPr>
        <w:t>巴里坤县</w:t>
      </w:r>
      <w:r>
        <w:rPr>
          <w:rFonts w:hint="eastAsia" w:ascii="仿宋" w:hAnsi="仿宋" w:eastAsia="仿宋" w:cs="仿宋"/>
          <w:sz w:val="32"/>
          <w:szCs w:val="32"/>
          <w:lang w:val="en-US" w:eastAsia="zh-CN"/>
        </w:rPr>
        <w:t>机关事业单位养老保险（改革）基金总收入26031.44万元，其中基本养老保险费收入14727.7万元，财政补贴收入7375万元，利息收入72.43万元，转移收入68.9万元，其他收入2.41万元，上级补助收入3785万元。</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w:t>
      </w:r>
      <w:r>
        <w:rPr>
          <w:rFonts w:hint="eastAsia" w:ascii="仿宋" w:hAnsi="仿宋" w:eastAsia="仿宋" w:cs="仿宋"/>
          <w:bCs/>
          <w:sz w:val="32"/>
          <w:szCs w:val="32"/>
          <w:lang w:val="en-US" w:eastAsia="zh-CN"/>
        </w:rPr>
        <w:t>巴里坤县</w:t>
      </w:r>
      <w:r>
        <w:rPr>
          <w:rFonts w:hint="eastAsia" w:ascii="仿宋" w:hAnsi="仿宋" w:eastAsia="仿宋" w:cs="仿宋"/>
          <w:sz w:val="32"/>
          <w:szCs w:val="32"/>
          <w:lang w:val="en-US" w:eastAsia="zh-CN"/>
        </w:rPr>
        <w:t>机关事业单位养老保险（改革）基金总支出23987.27万元，其中基本养老金支出23899.66万元，转移支出81.26万元，其他支出6.35万元。</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2023年巴里坤县机关事业单位养老保险（改革）基金上年结余2931.13万元，本年收支结余2044.17万元，滚存结余4975.3万元。</w:t>
      </w:r>
    </w:p>
    <w:p>
      <w:pPr>
        <w:spacing w:line="560" w:lineRule="exact"/>
        <w:ind w:firstLine="624" w:firstLineChars="200"/>
        <w:rPr>
          <w:rFonts w:hint="eastAsia" w:ascii="仿宋" w:hAnsi="仿宋" w:eastAsia="仿宋" w:cs="仿宋"/>
          <w:bCs/>
          <w:color w:val="auto"/>
          <w:sz w:val="32"/>
          <w:szCs w:val="32"/>
        </w:rPr>
      </w:pPr>
      <w:r>
        <w:rPr>
          <w:rStyle w:val="9"/>
          <w:rFonts w:hint="eastAsia" w:ascii="仿宋" w:hAnsi="仿宋" w:eastAsia="仿宋" w:cs="仿宋"/>
          <w:b w:val="0"/>
          <w:spacing w:val="-4"/>
          <w:sz w:val="32"/>
          <w:szCs w:val="32"/>
        </w:rPr>
        <w:t>机关事业单位养老保险基金</w:t>
      </w:r>
      <w:r>
        <w:rPr>
          <w:rFonts w:hint="eastAsia" w:ascii="仿宋" w:hAnsi="仿宋" w:eastAsia="仿宋" w:cs="仿宋"/>
          <w:bCs/>
          <w:sz w:val="32"/>
          <w:szCs w:val="32"/>
          <w:lang w:val="en-US" w:eastAsia="zh-CN"/>
        </w:rPr>
        <w:t>总支出预算</w:t>
      </w:r>
      <w:bookmarkStart w:id="0" w:name="OLE_LINK1"/>
      <w:r>
        <w:rPr>
          <w:rFonts w:hint="eastAsia" w:ascii="仿宋" w:hAnsi="仿宋" w:eastAsia="仿宋" w:cs="仿宋"/>
          <w:bCs/>
          <w:color w:val="auto"/>
          <w:sz w:val="32"/>
          <w:szCs w:val="32"/>
          <w:lang w:val="en-US" w:eastAsia="zh-CN"/>
        </w:rPr>
        <w:t>23735.84</w:t>
      </w:r>
      <w:bookmarkEnd w:id="0"/>
      <w:r>
        <w:rPr>
          <w:rFonts w:hint="eastAsia" w:ascii="仿宋" w:hAnsi="仿宋" w:eastAsia="仿宋" w:cs="仿宋"/>
          <w:bCs/>
          <w:sz w:val="32"/>
          <w:szCs w:val="32"/>
          <w:lang w:val="en-US" w:eastAsia="zh-CN"/>
        </w:rPr>
        <w:t>万元，预算执行数23987.27万元，预算执行率101.06%，</w:t>
      </w:r>
      <w:r>
        <w:rPr>
          <w:rFonts w:hint="eastAsia" w:ascii="仿宋" w:hAnsi="仿宋" w:eastAsia="仿宋" w:cs="仿宋"/>
          <w:bCs/>
          <w:sz w:val="32"/>
          <w:szCs w:val="32"/>
        </w:rPr>
        <w:t>基金总支出较上年增加</w:t>
      </w:r>
      <w:r>
        <w:rPr>
          <w:rFonts w:hint="eastAsia" w:ascii="仿宋" w:hAnsi="仿宋" w:eastAsia="仿宋" w:cs="仿宋"/>
          <w:bCs/>
          <w:sz w:val="32"/>
          <w:szCs w:val="32"/>
          <w:lang w:val="en-US" w:eastAsia="zh-CN"/>
        </w:rPr>
        <w:t>251.43</w:t>
      </w:r>
      <w:r>
        <w:rPr>
          <w:rFonts w:hint="eastAsia" w:ascii="仿宋" w:hAnsi="仿宋" w:eastAsia="仿宋" w:cs="仿宋"/>
          <w:bCs/>
          <w:color w:val="auto"/>
          <w:sz w:val="32"/>
          <w:szCs w:val="32"/>
        </w:rPr>
        <w:t>万元，增长</w:t>
      </w:r>
      <w:r>
        <w:rPr>
          <w:rFonts w:hint="eastAsia" w:ascii="仿宋" w:hAnsi="仿宋" w:eastAsia="仿宋" w:cs="仿宋"/>
          <w:bCs/>
          <w:color w:val="auto"/>
          <w:sz w:val="32"/>
          <w:szCs w:val="32"/>
          <w:lang w:val="en-US" w:eastAsia="zh-CN"/>
        </w:rPr>
        <w:t>1.06</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eastAsia="zh-CN"/>
        </w:rPr>
        <w:t>。</w:t>
      </w:r>
      <w:bookmarkStart w:id="2" w:name="_GoBack"/>
      <w:bookmarkEnd w:id="2"/>
    </w:p>
    <w:p>
      <w:pPr>
        <w:spacing w:line="560" w:lineRule="exact"/>
        <w:ind w:firstLine="627" w:firstLineChars="200"/>
        <w:outlineLvl w:val="1"/>
        <w:rPr>
          <w:rStyle w:val="9"/>
          <w:rFonts w:hint="eastAsia" w:ascii="仿宋" w:hAnsi="仿宋" w:eastAsia="仿宋" w:cs="仿宋"/>
          <w:b/>
          <w:bCs w:val="0"/>
          <w:color w:val="auto"/>
          <w:spacing w:val="-4"/>
          <w:sz w:val="32"/>
          <w:szCs w:val="32"/>
        </w:rPr>
      </w:pPr>
      <w:r>
        <w:rPr>
          <w:rStyle w:val="9"/>
          <w:rFonts w:hint="eastAsia" w:ascii="仿宋" w:hAnsi="仿宋" w:eastAsia="仿宋" w:cs="仿宋"/>
          <w:b/>
          <w:bCs w:val="0"/>
          <w:color w:val="auto"/>
          <w:spacing w:val="-4"/>
          <w:sz w:val="32"/>
          <w:szCs w:val="32"/>
        </w:rPr>
        <w:t>（</w:t>
      </w:r>
      <w:r>
        <w:rPr>
          <w:rStyle w:val="9"/>
          <w:rFonts w:hint="eastAsia" w:ascii="仿宋" w:hAnsi="仿宋" w:eastAsia="仿宋" w:cs="仿宋"/>
          <w:b/>
          <w:bCs w:val="0"/>
          <w:color w:val="auto"/>
          <w:spacing w:val="-4"/>
          <w:sz w:val="32"/>
          <w:szCs w:val="32"/>
          <w:lang w:eastAsia="zh-CN"/>
        </w:rPr>
        <w:t>二</w:t>
      </w:r>
      <w:r>
        <w:rPr>
          <w:rStyle w:val="9"/>
          <w:rFonts w:hint="eastAsia" w:ascii="仿宋" w:hAnsi="仿宋" w:eastAsia="仿宋" w:cs="仿宋"/>
          <w:b/>
          <w:bCs w:val="0"/>
          <w:color w:val="auto"/>
          <w:spacing w:val="-4"/>
          <w:sz w:val="32"/>
          <w:szCs w:val="32"/>
        </w:rPr>
        <w:t>）城乡居民养老保险基金</w:t>
      </w:r>
    </w:p>
    <w:p>
      <w:p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w:t>
      </w:r>
      <w:r>
        <w:rPr>
          <w:rFonts w:hint="eastAsia" w:ascii="仿宋" w:hAnsi="仿宋" w:eastAsia="仿宋" w:cs="仿宋"/>
          <w:bCs/>
          <w:sz w:val="32"/>
          <w:szCs w:val="32"/>
          <w:lang w:val="en-US" w:eastAsia="zh-CN"/>
        </w:rPr>
        <w:t>巴里坤县</w:t>
      </w:r>
      <w:r>
        <w:rPr>
          <w:rFonts w:hint="eastAsia" w:ascii="仿宋" w:hAnsi="仿宋" w:eastAsia="仿宋" w:cs="仿宋"/>
          <w:sz w:val="32"/>
          <w:szCs w:val="32"/>
          <w:lang w:val="en-US" w:eastAsia="zh-CN"/>
        </w:rPr>
        <w:t>城乡居民基本养老保险基金总收入6377.31万元，其中个人缴费收入1453.33万元，财政补贴收入4699.08万元，利息收入116.31万元，委托投资收益60.25万元，转移收入41.88万元，其他收入6.46万元。</w:t>
      </w:r>
    </w:p>
    <w:p>
      <w:p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w:t>
      </w:r>
      <w:r>
        <w:rPr>
          <w:rFonts w:hint="eastAsia" w:ascii="仿宋" w:hAnsi="仿宋" w:eastAsia="仿宋" w:cs="仿宋"/>
          <w:bCs/>
          <w:sz w:val="32"/>
          <w:szCs w:val="32"/>
          <w:lang w:val="en-US" w:eastAsia="zh-CN"/>
        </w:rPr>
        <w:t>巴里坤县</w:t>
      </w:r>
      <w:r>
        <w:rPr>
          <w:rFonts w:hint="eastAsia" w:ascii="仿宋" w:hAnsi="仿宋" w:eastAsia="仿宋" w:cs="仿宋"/>
          <w:sz w:val="32"/>
          <w:szCs w:val="32"/>
          <w:lang w:val="en-US" w:eastAsia="zh-CN"/>
        </w:rPr>
        <w:t>城乡居民基本养老保险基金总支出</w:t>
      </w:r>
      <w:bookmarkStart w:id="1" w:name="OLE_LINK2"/>
      <w:r>
        <w:rPr>
          <w:rFonts w:hint="eastAsia" w:ascii="仿宋" w:hAnsi="仿宋" w:eastAsia="仿宋" w:cs="仿宋"/>
          <w:sz w:val="32"/>
          <w:szCs w:val="32"/>
          <w:lang w:val="en-US" w:eastAsia="zh-CN"/>
        </w:rPr>
        <w:t>4744.55</w:t>
      </w:r>
      <w:bookmarkEnd w:id="1"/>
      <w:r>
        <w:rPr>
          <w:rFonts w:hint="eastAsia" w:ascii="仿宋" w:hAnsi="仿宋" w:eastAsia="仿宋" w:cs="仿宋"/>
          <w:sz w:val="32"/>
          <w:szCs w:val="32"/>
          <w:lang w:val="en-US" w:eastAsia="zh-CN"/>
        </w:rPr>
        <w:t>万元，其中基础养老金支出4459.91万元，个人账户养老金支出193.07万元，丧葬补助金支出83.55万元，转移支出6.89万元，其他支出1.13万元。</w:t>
      </w:r>
    </w:p>
    <w:p>
      <w:p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w:t>
      </w:r>
      <w:r>
        <w:rPr>
          <w:rFonts w:hint="eastAsia" w:ascii="仿宋" w:hAnsi="仿宋" w:eastAsia="仿宋" w:cs="仿宋"/>
          <w:bCs/>
          <w:sz w:val="32"/>
          <w:szCs w:val="32"/>
          <w:lang w:val="en-US" w:eastAsia="zh-CN"/>
        </w:rPr>
        <w:t>巴里坤县</w:t>
      </w:r>
      <w:r>
        <w:rPr>
          <w:rFonts w:hint="eastAsia" w:ascii="仿宋" w:hAnsi="仿宋" w:eastAsia="仿宋" w:cs="仿宋"/>
          <w:sz w:val="32"/>
          <w:szCs w:val="32"/>
          <w:lang w:val="en-US" w:eastAsia="zh-CN"/>
        </w:rPr>
        <w:t>城乡居民基本养老保险基金上年结余7120.41万元，本年收支结余1632.75万元，滚存结余8753.16万元。</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bCs/>
          <w:sz w:val="32"/>
          <w:szCs w:val="32"/>
          <w:lang w:val="en-US" w:eastAsia="zh-CN"/>
        </w:rPr>
        <w:t>巴里坤县</w:t>
      </w:r>
      <w:r>
        <w:rPr>
          <w:rFonts w:hint="eastAsia" w:ascii="仿宋" w:hAnsi="仿宋" w:eastAsia="仿宋" w:cs="仿宋"/>
          <w:bCs/>
          <w:sz w:val="32"/>
          <w:szCs w:val="32"/>
        </w:rPr>
        <w:t>城乡居民养老保险基金</w:t>
      </w:r>
      <w:r>
        <w:rPr>
          <w:rFonts w:hint="eastAsia" w:ascii="仿宋" w:hAnsi="仿宋" w:eastAsia="仿宋" w:cs="仿宋"/>
          <w:bCs/>
          <w:sz w:val="32"/>
          <w:szCs w:val="32"/>
          <w:lang w:val="en-US" w:eastAsia="zh-CN"/>
        </w:rPr>
        <w:t>总支出预算</w:t>
      </w:r>
      <w:r>
        <w:rPr>
          <w:rFonts w:hint="eastAsia" w:ascii="仿宋" w:hAnsi="仿宋" w:eastAsia="仿宋" w:cs="仿宋"/>
          <w:bCs/>
          <w:sz w:val="32"/>
          <w:szCs w:val="32"/>
          <w:highlight w:val="none"/>
          <w:lang w:val="en-US" w:eastAsia="zh-CN"/>
        </w:rPr>
        <w:t>4749.67</w:t>
      </w:r>
      <w:r>
        <w:rPr>
          <w:rFonts w:hint="eastAsia" w:ascii="仿宋" w:hAnsi="仿宋" w:eastAsia="仿宋" w:cs="仿宋"/>
          <w:bCs/>
          <w:sz w:val="32"/>
          <w:szCs w:val="32"/>
          <w:lang w:val="en-US" w:eastAsia="zh-CN"/>
        </w:rPr>
        <w:t>万元，预算执行</w:t>
      </w:r>
      <w:r>
        <w:rPr>
          <w:rFonts w:hint="eastAsia" w:ascii="仿宋" w:hAnsi="仿宋" w:eastAsia="仿宋" w:cs="仿宋"/>
          <w:bCs/>
          <w:sz w:val="32"/>
          <w:szCs w:val="32"/>
          <w:highlight w:val="none"/>
          <w:lang w:val="en-US" w:eastAsia="zh-CN"/>
        </w:rPr>
        <w:t>数</w:t>
      </w:r>
      <w:r>
        <w:rPr>
          <w:rFonts w:hint="eastAsia" w:ascii="仿宋" w:hAnsi="仿宋" w:eastAsia="仿宋" w:cs="仿宋"/>
          <w:sz w:val="32"/>
          <w:szCs w:val="32"/>
          <w:lang w:val="en-US" w:eastAsia="zh-CN"/>
        </w:rPr>
        <w:t>4744.55</w:t>
      </w:r>
      <w:r>
        <w:rPr>
          <w:rFonts w:hint="eastAsia" w:ascii="仿宋" w:hAnsi="仿宋" w:eastAsia="仿宋" w:cs="仿宋"/>
          <w:bCs/>
          <w:sz w:val="32"/>
          <w:szCs w:val="32"/>
          <w:highlight w:val="none"/>
          <w:lang w:val="en-US" w:eastAsia="zh-CN"/>
        </w:rPr>
        <w:t>万元，</w:t>
      </w:r>
      <w:r>
        <w:rPr>
          <w:rFonts w:hint="eastAsia" w:ascii="仿宋" w:hAnsi="仿宋" w:eastAsia="仿宋" w:cs="仿宋"/>
          <w:bCs/>
          <w:sz w:val="32"/>
          <w:szCs w:val="32"/>
          <w:lang w:val="en-US" w:eastAsia="zh-CN"/>
        </w:rPr>
        <w:t>预算执行率99.89%，该</w:t>
      </w:r>
      <w:r>
        <w:rPr>
          <w:rFonts w:hint="eastAsia" w:ascii="仿宋" w:hAnsi="仿宋" w:eastAsia="仿宋" w:cs="仿宋"/>
          <w:sz w:val="32"/>
          <w:szCs w:val="32"/>
        </w:rPr>
        <w:t>基金</w:t>
      </w:r>
      <w:r>
        <w:rPr>
          <w:rFonts w:hint="eastAsia" w:ascii="仿宋" w:hAnsi="仿宋" w:eastAsia="仿宋" w:cs="仿宋"/>
          <w:bCs/>
          <w:sz w:val="32"/>
          <w:szCs w:val="32"/>
        </w:rPr>
        <w:t>总支出较上年</w:t>
      </w:r>
      <w:r>
        <w:rPr>
          <w:rFonts w:hint="eastAsia" w:ascii="仿宋" w:hAnsi="仿宋" w:eastAsia="仿宋" w:cs="仿宋"/>
          <w:bCs/>
          <w:sz w:val="32"/>
          <w:szCs w:val="32"/>
          <w:lang w:val="en-US" w:eastAsia="zh-CN"/>
        </w:rPr>
        <w:t>减少5.12</w:t>
      </w:r>
      <w:r>
        <w:rPr>
          <w:rFonts w:hint="eastAsia" w:ascii="仿宋" w:hAnsi="仿宋" w:eastAsia="仿宋" w:cs="仿宋"/>
          <w:bCs/>
          <w:sz w:val="32"/>
          <w:szCs w:val="32"/>
        </w:rPr>
        <w:t>万元，</w:t>
      </w:r>
      <w:r>
        <w:rPr>
          <w:rFonts w:hint="eastAsia" w:ascii="仿宋" w:hAnsi="仿宋" w:eastAsia="仿宋" w:cs="仿宋"/>
          <w:bCs/>
          <w:sz w:val="32"/>
          <w:szCs w:val="32"/>
          <w:lang w:val="en-US" w:eastAsia="zh-CN"/>
        </w:rPr>
        <w:t>减少0.11</w:t>
      </w:r>
      <w:r>
        <w:rPr>
          <w:rFonts w:hint="eastAsia" w:ascii="仿宋" w:hAnsi="仿宋" w:eastAsia="仿宋" w:cs="仿宋"/>
          <w:bCs/>
          <w:sz w:val="32"/>
          <w:szCs w:val="32"/>
        </w:rPr>
        <w:t>%</w:t>
      </w:r>
      <w:r>
        <w:rPr>
          <w:rFonts w:hint="eastAsia" w:ascii="仿宋" w:hAnsi="仿宋" w:eastAsia="仿宋" w:cs="仿宋"/>
          <w:bCs/>
          <w:sz w:val="32"/>
          <w:szCs w:val="32"/>
          <w:lang w:eastAsia="zh-CN"/>
        </w:rPr>
        <w:t>。</w:t>
      </w:r>
    </w:p>
    <w:p>
      <w:pPr>
        <w:spacing w:line="560" w:lineRule="exact"/>
        <w:ind w:firstLine="640"/>
        <w:outlineLvl w:val="0"/>
        <w:rPr>
          <w:rStyle w:val="9"/>
          <w:rFonts w:hint="eastAsia" w:ascii="仿宋" w:hAnsi="仿宋" w:eastAsia="仿宋" w:cs="仿宋"/>
          <w:bCs w:val="0"/>
          <w:spacing w:val="-4"/>
          <w:sz w:val="32"/>
          <w:szCs w:val="32"/>
        </w:rPr>
      </w:pPr>
      <w:r>
        <w:rPr>
          <w:rStyle w:val="9"/>
          <w:rFonts w:hint="eastAsia" w:ascii="仿宋" w:hAnsi="仿宋" w:eastAsia="仿宋" w:cs="仿宋"/>
          <w:bCs w:val="0"/>
          <w:spacing w:val="-4"/>
          <w:sz w:val="32"/>
          <w:szCs w:val="32"/>
          <w:lang w:val="en-US" w:eastAsia="zh-CN"/>
        </w:rPr>
        <w:t>三、</w:t>
      </w:r>
      <w:r>
        <w:rPr>
          <w:rStyle w:val="9"/>
          <w:rFonts w:hint="eastAsia" w:ascii="仿宋" w:hAnsi="仿宋" w:eastAsia="仿宋" w:cs="仿宋"/>
          <w:bCs w:val="0"/>
          <w:spacing w:val="-4"/>
          <w:sz w:val="32"/>
          <w:szCs w:val="32"/>
        </w:rPr>
        <w:t>各项社会保险基金支出组织实施情况和绩效管理情况</w:t>
      </w:r>
    </w:p>
    <w:p>
      <w:pPr>
        <w:spacing w:line="560" w:lineRule="exact"/>
        <w:ind w:firstLine="567"/>
        <w:outlineLvl w:val="1"/>
        <w:rPr>
          <w:rStyle w:val="9"/>
          <w:rFonts w:hint="eastAsia" w:ascii="仿宋" w:hAnsi="仿宋" w:eastAsia="仿宋" w:cs="仿宋"/>
          <w:b/>
          <w:bCs w:val="0"/>
          <w:color w:val="auto"/>
          <w:spacing w:val="-4"/>
          <w:sz w:val="32"/>
          <w:szCs w:val="32"/>
        </w:rPr>
      </w:pPr>
      <w:r>
        <w:rPr>
          <w:rStyle w:val="9"/>
          <w:rFonts w:hint="eastAsia" w:ascii="仿宋" w:hAnsi="仿宋" w:eastAsia="仿宋" w:cs="仿宋"/>
          <w:b/>
          <w:bCs w:val="0"/>
          <w:color w:val="auto"/>
          <w:spacing w:val="-4"/>
          <w:sz w:val="32"/>
          <w:szCs w:val="32"/>
        </w:rPr>
        <w:t>（一）社会保险管理情况分析</w:t>
      </w:r>
    </w:p>
    <w:p>
      <w:pPr>
        <w:spacing w:line="560" w:lineRule="exact"/>
        <w:ind w:firstLine="640" w:firstLineChars="20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2023年严格按照机关事业单位养老保险政策规定，确保机关事业单位退休人员养老保险待遇按时足额发放，同时为符合条件的退休人员按照国家调资政策调整了基本养老金。在执行过程中明确岗位分工，规范经办权限使用，确保养老保险政策精准落实到位。</w:t>
      </w:r>
    </w:p>
    <w:p>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bCs/>
          <w:color w:val="000000"/>
          <w:sz w:val="32"/>
          <w:szCs w:val="32"/>
          <w:lang w:val="en-US" w:eastAsia="zh-CN"/>
        </w:rPr>
        <w:t xml:space="preserve">2023年我区稳步推进城乡居民基本养老保险参保扩面工作，认真做好缴费困难人员代缴养老保险费及达到领取待遇人员的待遇发放工作。2023年城乡居民基本养老待遇实行全程电子化发放，每月及时足额为符合条件的人员发放待遇，并且按照人社部的文件的精神要求及时做好调资工作并发放到位。    </w:t>
      </w:r>
    </w:p>
    <w:p>
      <w:pPr>
        <w:spacing w:line="560" w:lineRule="exact"/>
        <w:ind w:firstLine="567"/>
        <w:outlineLvl w:val="1"/>
        <w:rPr>
          <w:rStyle w:val="9"/>
          <w:rFonts w:hint="eastAsia" w:ascii="仿宋" w:hAnsi="仿宋" w:eastAsia="仿宋" w:cs="仿宋"/>
          <w:b w:val="0"/>
          <w:color w:val="auto"/>
          <w:spacing w:val="-4"/>
          <w:sz w:val="32"/>
          <w:szCs w:val="32"/>
        </w:rPr>
      </w:pPr>
      <w:r>
        <w:rPr>
          <w:rStyle w:val="9"/>
          <w:rFonts w:hint="eastAsia" w:ascii="仿宋" w:hAnsi="仿宋" w:eastAsia="仿宋" w:cs="仿宋"/>
          <w:b/>
          <w:bCs w:val="0"/>
          <w:color w:val="auto"/>
          <w:spacing w:val="-4"/>
          <w:sz w:val="32"/>
          <w:szCs w:val="32"/>
        </w:rPr>
        <w:t>（二）绩效目标完成情况分析</w:t>
      </w:r>
    </w:p>
    <w:p>
      <w:pPr>
        <w:spacing w:line="560" w:lineRule="exact"/>
        <w:ind w:firstLine="624" w:firstLineChars="200"/>
        <w:rPr>
          <w:rFonts w:hint="eastAsia" w:ascii="仿宋" w:hAnsi="仿宋" w:eastAsia="仿宋" w:cs="仿宋"/>
          <w:bCs/>
          <w:spacing w:val="-4"/>
          <w:sz w:val="32"/>
          <w:szCs w:val="32"/>
        </w:rPr>
      </w:pPr>
      <w:r>
        <w:rPr>
          <w:rFonts w:hint="eastAsia" w:ascii="仿宋" w:hAnsi="仿宋" w:eastAsia="仿宋" w:cs="仿宋"/>
          <w:bCs/>
          <w:spacing w:val="-4"/>
          <w:sz w:val="32"/>
          <w:szCs w:val="32"/>
        </w:rPr>
        <w:t>202</w:t>
      </w:r>
      <w:r>
        <w:rPr>
          <w:rFonts w:hint="eastAsia" w:ascii="仿宋" w:hAnsi="仿宋" w:eastAsia="仿宋" w:cs="仿宋"/>
          <w:bCs/>
          <w:spacing w:val="-4"/>
          <w:sz w:val="32"/>
          <w:szCs w:val="32"/>
          <w:lang w:val="en-US" w:eastAsia="zh-CN"/>
        </w:rPr>
        <w:t>3</w:t>
      </w:r>
      <w:r>
        <w:rPr>
          <w:rFonts w:hint="eastAsia" w:ascii="仿宋" w:hAnsi="仿宋" w:eastAsia="仿宋" w:cs="仿宋"/>
          <w:bCs/>
          <w:spacing w:val="-4"/>
          <w:sz w:val="32"/>
          <w:szCs w:val="32"/>
        </w:rPr>
        <w:t>年全年</w:t>
      </w:r>
      <w:r>
        <w:rPr>
          <w:rFonts w:hint="eastAsia" w:ascii="仿宋" w:hAnsi="仿宋" w:eastAsia="仿宋" w:cs="仿宋"/>
          <w:bCs/>
          <w:spacing w:val="-4"/>
          <w:sz w:val="32"/>
          <w:szCs w:val="32"/>
          <w:lang w:val="en-US" w:eastAsia="zh-CN"/>
        </w:rPr>
        <w:t>巴里坤县</w:t>
      </w:r>
      <w:r>
        <w:rPr>
          <w:rFonts w:hint="eastAsia" w:ascii="仿宋" w:hAnsi="仿宋" w:eastAsia="仿宋" w:cs="仿宋"/>
          <w:bCs/>
          <w:spacing w:val="-4"/>
          <w:sz w:val="32"/>
          <w:szCs w:val="32"/>
        </w:rPr>
        <w:t>没有因为参保职工待遇问题引起上访等社会问题，群众上访率为0。各项社会保险待遇也在规定时限内足额</w:t>
      </w:r>
      <w:r>
        <w:rPr>
          <w:rFonts w:hint="eastAsia" w:ascii="仿宋" w:hAnsi="仿宋" w:eastAsia="仿宋" w:cs="仿宋"/>
          <w:bCs/>
          <w:spacing w:val="-4"/>
          <w:sz w:val="32"/>
          <w:szCs w:val="32"/>
          <w:lang w:eastAsia="zh-CN"/>
        </w:rPr>
        <w:t>发放</w:t>
      </w:r>
      <w:r>
        <w:rPr>
          <w:rFonts w:hint="eastAsia" w:ascii="仿宋" w:hAnsi="仿宋" w:eastAsia="仿宋" w:cs="仿宋"/>
          <w:bCs/>
          <w:spacing w:val="-4"/>
          <w:sz w:val="32"/>
          <w:szCs w:val="32"/>
        </w:rPr>
        <w:t>，社会满意度95%以上，圆满保障了退休人员的晚年生活</w:t>
      </w:r>
      <w:r>
        <w:rPr>
          <w:rFonts w:hint="eastAsia" w:ascii="仿宋" w:hAnsi="仿宋" w:eastAsia="仿宋" w:cs="仿宋"/>
          <w:bCs/>
          <w:spacing w:val="-4"/>
          <w:sz w:val="32"/>
          <w:szCs w:val="32"/>
          <w:lang w:eastAsia="zh-CN"/>
        </w:rPr>
        <w:t>，持续稳定推动养老保险政策的发展，</w:t>
      </w:r>
      <w:r>
        <w:rPr>
          <w:rFonts w:hint="eastAsia" w:ascii="仿宋" w:hAnsi="仿宋" w:eastAsia="仿宋" w:cs="仿宋"/>
          <w:bCs/>
          <w:spacing w:val="-4"/>
          <w:sz w:val="32"/>
          <w:szCs w:val="32"/>
        </w:rPr>
        <w:t>坚定维护了新疆社会稳定和长治久安。</w:t>
      </w:r>
    </w:p>
    <w:p>
      <w:pPr>
        <w:spacing w:line="560" w:lineRule="exact"/>
        <w:ind w:firstLine="567"/>
        <w:outlineLvl w:val="2"/>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lang w:val="en-US" w:eastAsia="zh-CN"/>
        </w:rPr>
        <w:t>1</w:t>
      </w:r>
      <w:r>
        <w:rPr>
          <w:rStyle w:val="9"/>
          <w:rFonts w:hint="eastAsia" w:ascii="仿宋" w:hAnsi="仿宋" w:eastAsia="仿宋" w:cs="仿宋"/>
          <w:b/>
          <w:bCs w:val="0"/>
          <w:spacing w:val="-4"/>
          <w:sz w:val="32"/>
          <w:szCs w:val="32"/>
        </w:rPr>
        <w:t>、机关事业单位养老保险基金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auto"/>
          <w:sz w:val="32"/>
          <w:szCs w:val="32"/>
          <w:lang w:eastAsia="zh-CN"/>
        </w:rPr>
        <w:t>数量指标：补助机关事业单位基本养老保险领取待遇人数目标值小于</w:t>
      </w:r>
      <w:r>
        <w:rPr>
          <w:rFonts w:hint="eastAsia" w:ascii="仿宋" w:hAnsi="仿宋" w:eastAsia="仿宋" w:cs="仿宋"/>
          <w:color w:val="auto"/>
          <w:sz w:val="32"/>
          <w:szCs w:val="32"/>
          <w:lang w:val="en-US" w:eastAsia="zh-CN"/>
        </w:rPr>
        <w:t>2800人，</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2878人</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102.78</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sz w:val="32"/>
          <w:szCs w:val="32"/>
          <w:lang w:val="en-US" w:eastAsia="zh-CN"/>
        </w:rPr>
        <w:t>数量</w:t>
      </w:r>
      <w:r>
        <w:rPr>
          <w:rFonts w:hint="eastAsia" w:ascii="仿宋" w:hAnsi="仿宋" w:eastAsia="仿宋" w:cs="仿宋"/>
          <w:color w:val="auto"/>
          <w:sz w:val="32"/>
          <w:szCs w:val="32"/>
          <w:lang w:eastAsia="zh-CN"/>
        </w:rPr>
        <w:t>指标：基本养老保险发放次数目标值大于等于</w:t>
      </w:r>
      <w:r>
        <w:rPr>
          <w:rFonts w:hint="eastAsia" w:ascii="仿宋" w:hAnsi="仿宋" w:eastAsia="仿宋" w:cs="仿宋"/>
          <w:color w:val="auto"/>
          <w:sz w:val="32"/>
          <w:szCs w:val="32"/>
          <w:lang w:val="en-US" w:eastAsia="zh-CN"/>
        </w:rPr>
        <w:t>12次</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12次</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质量指标：保障机关事业单位退休人员覆盖率目标值=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质量指标：符合条件的机关事业单位退休人员基本养老金足额发放率目标值=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质量指标：符合条件的机关事业单位退休人员基本养老金按时发放率目标值=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时效指标：在规定时限内拨付补助资金的地区比例目标值=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时效指标：基础养老金发放到位率目标值=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时效指标：基础养老金发放及时率目标值=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成本指标：机关事业单位养老金发放总成本目标值小于等于</w:t>
      </w:r>
      <w:r>
        <w:rPr>
          <w:rFonts w:hint="eastAsia" w:ascii="仿宋" w:hAnsi="仿宋" w:eastAsia="仿宋" w:cs="仿宋"/>
          <w:color w:val="auto"/>
          <w:sz w:val="32"/>
          <w:szCs w:val="32"/>
          <w:lang w:val="en-US" w:eastAsia="zh-CN"/>
        </w:rPr>
        <w:t>23717.84万元</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23899.66万元万元</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100.77</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经济效益指标：提高退休人员收入水平目标值=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社会效益指标：建立覆盖全民、更加公平的社会保障制度目标值持续推动，实际完成值持续推动，完成率=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社会效益指标：机关事业单位基本养老保险参保率目标值=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可持续影响指标：对机关事业单位基本养老保险制度可持续发展目标值有效推动，实际完成值有效推动，完成率=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满意度指标：政策知晓率指标目标值大于</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96%</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满意度指标：群众满意度指标目标值大于</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97%</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spacing w:line="560" w:lineRule="exact"/>
        <w:ind w:firstLine="627" w:firstLineChars="200"/>
        <w:outlineLvl w:val="2"/>
        <w:rPr>
          <w:rStyle w:val="9"/>
          <w:rFonts w:hint="eastAsia" w:ascii="仿宋" w:hAnsi="仿宋" w:eastAsia="仿宋" w:cs="仿宋"/>
          <w:b/>
          <w:bCs w:val="0"/>
          <w:spacing w:val="-4"/>
          <w:sz w:val="32"/>
          <w:szCs w:val="32"/>
        </w:rPr>
      </w:pPr>
      <w:r>
        <w:rPr>
          <w:rStyle w:val="9"/>
          <w:rFonts w:hint="eastAsia" w:ascii="仿宋" w:hAnsi="仿宋" w:eastAsia="仿宋" w:cs="仿宋"/>
          <w:b/>
          <w:bCs w:val="0"/>
          <w:spacing w:val="-4"/>
          <w:sz w:val="32"/>
          <w:szCs w:val="32"/>
          <w:lang w:val="en-US" w:eastAsia="zh-CN"/>
        </w:rPr>
        <w:t>2</w:t>
      </w:r>
      <w:r>
        <w:rPr>
          <w:rStyle w:val="9"/>
          <w:rFonts w:hint="eastAsia" w:ascii="仿宋" w:hAnsi="仿宋" w:eastAsia="仿宋" w:cs="仿宋"/>
          <w:b/>
          <w:bCs w:val="0"/>
          <w:spacing w:val="-4"/>
          <w:sz w:val="32"/>
          <w:szCs w:val="32"/>
        </w:rPr>
        <w:t>、城乡居民养老保险基金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数量指标：城乡居民基本养老保险待遇领取人数目标值小于</w:t>
      </w:r>
      <w:r>
        <w:rPr>
          <w:rFonts w:hint="eastAsia" w:ascii="仿宋" w:hAnsi="仿宋" w:eastAsia="仿宋" w:cs="仿宋"/>
          <w:color w:val="auto"/>
          <w:sz w:val="32"/>
          <w:szCs w:val="32"/>
          <w:lang w:val="en-US" w:eastAsia="zh-CN"/>
        </w:rPr>
        <w:t>10726人</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10843人</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101.09</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质量指标：中央基础养老金标准目标值=</w:t>
      </w:r>
      <w:r>
        <w:rPr>
          <w:rFonts w:hint="eastAsia" w:ascii="仿宋" w:hAnsi="仿宋" w:eastAsia="仿宋" w:cs="仿宋"/>
          <w:color w:val="auto"/>
          <w:sz w:val="32"/>
          <w:szCs w:val="32"/>
          <w:lang w:val="en-US" w:eastAsia="zh-CN"/>
        </w:rPr>
        <w:t>93元/人/月</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98元/人/月</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质量指标：符合城乡居民基本养老金足额发放率目标值=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质量指标：符合城乡居民基本养老金按时发放率目标值=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时效指标：在规定时限内拨付补助资金的地区比例目标值=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时效指标：基础养老金发放到位率目标值=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时效指标：基本养老金发放及时率目标值=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成本指标：城乡居民养老金发放总成本目标值小于等于</w:t>
      </w:r>
      <w:r>
        <w:rPr>
          <w:rFonts w:hint="eastAsia" w:ascii="仿宋" w:hAnsi="仿宋" w:eastAsia="仿宋" w:cs="仿宋"/>
          <w:color w:val="auto"/>
          <w:sz w:val="32"/>
          <w:szCs w:val="32"/>
          <w:lang w:val="en-US" w:eastAsia="zh-CN"/>
        </w:rPr>
        <w:t>4472.74万元</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4459.91万元</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103.65</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经济效益指标：提高城乡居民收入水平目标值=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社会效益指标：建立覆盖全民、更加公平的社会保障制度目标持续推动，实际完成值持续推动，完成率=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社会效益指标：对实现社会稳定和长治久安总目标的作用目标值持续推动，实际完成值持续推动，完成率=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可持续影响指标：对城乡居民基本养老保险制度可持续发展目标值有效推动，实际完成值</w:t>
      </w:r>
      <w:r>
        <w:rPr>
          <w:rFonts w:hint="eastAsia" w:ascii="仿宋" w:hAnsi="仿宋" w:eastAsia="仿宋" w:cs="仿宋"/>
          <w:color w:val="auto"/>
          <w:sz w:val="32"/>
          <w:szCs w:val="32"/>
          <w:lang w:val="en-US" w:eastAsia="zh-CN"/>
        </w:rPr>
        <w:t>有效推动</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满意度指标：政策知晓率目标值大于</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96%</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满意度指标：群众满意度目标值大于</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lang w:eastAsia="zh-CN"/>
        </w:rPr>
        <w:t>，实际完成值</w:t>
      </w:r>
      <w:r>
        <w:rPr>
          <w:rFonts w:hint="eastAsia" w:ascii="仿宋" w:hAnsi="仿宋" w:eastAsia="仿宋" w:cs="仿宋"/>
          <w:color w:val="auto"/>
          <w:sz w:val="32"/>
          <w:szCs w:val="32"/>
          <w:lang w:val="en-US" w:eastAsia="zh-CN"/>
        </w:rPr>
        <w:t>97%</w:t>
      </w:r>
      <w:r>
        <w:rPr>
          <w:rFonts w:hint="eastAsia" w:ascii="仿宋" w:hAnsi="仿宋" w:eastAsia="仿宋" w:cs="仿宋"/>
          <w:color w:val="auto"/>
          <w:sz w:val="32"/>
          <w:szCs w:val="32"/>
          <w:lang w:eastAsia="zh-CN"/>
        </w:rPr>
        <w:t>，完成率=</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27" w:firstLineChars="200"/>
        <w:textAlignment w:val="auto"/>
        <w:outlineLvl w:val="9"/>
        <w:rPr>
          <w:rStyle w:val="9"/>
          <w:rFonts w:hint="eastAsia" w:ascii="仿宋" w:hAnsi="仿宋" w:eastAsia="仿宋" w:cs="仿宋"/>
          <w:bCs w:val="0"/>
          <w:spacing w:val="-4"/>
          <w:sz w:val="32"/>
          <w:szCs w:val="32"/>
        </w:rPr>
      </w:pPr>
      <w:r>
        <w:rPr>
          <w:rStyle w:val="9"/>
          <w:rFonts w:hint="eastAsia" w:ascii="仿宋" w:hAnsi="仿宋" w:eastAsia="仿宋" w:cs="仿宋"/>
          <w:bCs w:val="0"/>
          <w:spacing w:val="-4"/>
          <w:sz w:val="32"/>
          <w:szCs w:val="32"/>
        </w:rPr>
        <w:t>四、其他需要说明的问题</w:t>
      </w:r>
    </w:p>
    <w:p>
      <w:pPr>
        <w:spacing w:line="560" w:lineRule="exact"/>
        <w:ind w:firstLine="567"/>
        <w:outlineLvl w:val="1"/>
        <w:rPr>
          <w:rStyle w:val="9"/>
          <w:rFonts w:hint="eastAsia" w:ascii="仿宋" w:hAnsi="仿宋" w:eastAsia="仿宋" w:cs="仿宋"/>
          <w:b/>
          <w:bCs w:val="0"/>
          <w:i w:val="0"/>
          <w:iCs w:val="0"/>
          <w:spacing w:val="-4"/>
          <w:sz w:val="32"/>
          <w:szCs w:val="32"/>
        </w:rPr>
      </w:pPr>
      <w:r>
        <w:rPr>
          <w:rStyle w:val="9"/>
          <w:rFonts w:hint="eastAsia" w:ascii="仿宋" w:hAnsi="仿宋" w:eastAsia="仿宋" w:cs="仿宋"/>
          <w:b/>
          <w:bCs w:val="0"/>
          <w:i w:val="0"/>
          <w:iCs w:val="0"/>
          <w:spacing w:val="-4"/>
          <w:sz w:val="32"/>
          <w:szCs w:val="32"/>
        </w:rPr>
        <w:t>（一）后续工作计划</w:t>
      </w:r>
    </w:p>
    <w:p>
      <w:pPr>
        <w:spacing w:line="560" w:lineRule="exact"/>
        <w:ind w:firstLine="567"/>
        <w:outlineLvl w:val="1"/>
        <w:rPr>
          <w:rStyle w:val="9"/>
          <w:rFonts w:hint="eastAsia" w:ascii="仿宋" w:hAnsi="仿宋" w:eastAsia="仿宋" w:cs="仿宋"/>
          <w:b w:val="0"/>
          <w:bCs/>
          <w:i w:val="0"/>
          <w:iCs w:val="0"/>
          <w:spacing w:val="-4"/>
          <w:sz w:val="32"/>
          <w:szCs w:val="32"/>
          <w:lang w:val="en-US" w:eastAsia="zh-CN"/>
        </w:rPr>
      </w:pPr>
      <w:r>
        <w:rPr>
          <w:rStyle w:val="9"/>
          <w:rFonts w:hint="eastAsia" w:ascii="仿宋" w:hAnsi="仿宋" w:eastAsia="仿宋" w:cs="仿宋"/>
          <w:b w:val="0"/>
          <w:bCs/>
          <w:i w:val="0"/>
          <w:iCs w:val="0"/>
          <w:spacing w:val="-4"/>
          <w:sz w:val="32"/>
          <w:szCs w:val="32"/>
          <w:lang w:val="en-US" w:eastAsia="zh-CN"/>
        </w:rPr>
        <w:t xml:space="preserve"> 1、加强养老保险政策的宣传、培训工作。</w:t>
      </w:r>
    </w:p>
    <w:p>
      <w:pPr>
        <w:rPr>
          <w:rStyle w:val="9"/>
          <w:rFonts w:hint="eastAsia" w:ascii="仿宋" w:hAnsi="仿宋" w:eastAsia="仿宋" w:cs="仿宋"/>
          <w:b w:val="0"/>
          <w:bCs/>
          <w:i w:val="0"/>
          <w:iCs w:val="0"/>
          <w:spacing w:val="-4"/>
          <w:sz w:val="32"/>
          <w:szCs w:val="32"/>
          <w:lang w:val="en-US" w:eastAsia="zh-CN"/>
        </w:rPr>
      </w:pPr>
      <w:r>
        <w:rPr>
          <w:rStyle w:val="9"/>
          <w:rFonts w:hint="eastAsia" w:ascii="仿宋" w:hAnsi="仿宋" w:eastAsia="仿宋" w:cs="仿宋"/>
          <w:b w:val="0"/>
          <w:bCs/>
          <w:i w:val="0"/>
          <w:iCs w:val="0"/>
          <w:spacing w:val="-4"/>
          <w:sz w:val="32"/>
          <w:szCs w:val="32"/>
          <w:lang w:val="en-US" w:eastAsia="zh-CN"/>
        </w:rPr>
        <w:t xml:space="preserve">     2、进一步加大对领取待遇数据的对比和核查工作，确保基金运行安全。</w:t>
      </w:r>
    </w:p>
    <w:p>
      <w:pPr>
        <w:ind w:firstLine="627" w:firstLineChars="200"/>
        <w:rPr>
          <w:rStyle w:val="9"/>
          <w:rFonts w:hint="eastAsia" w:ascii="仿宋" w:hAnsi="仿宋" w:eastAsia="仿宋" w:cs="仿宋"/>
          <w:b/>
          <w:bCs w:val="0"/>
          <w:i w:val="0"/>
          <w:iCs w:val="0"/>
          <w:spacing w:val="-4"/>
          <w:sz w:val="32"/>
          <w:szCs w:val="32"/>
        </w:rPr>
      </w:pPr>
      <w:r>
        <w:rPr>
          <w:rStyle w:val="9"/>
          <w:rFonts w:hint="eastAsia" w:ascii="仿宋" w:hAnsi="仿宋" w:eastAsia="仿宋" w:cs="仿宋"/>
          <w:b/>
          <w:bCs w:val="0"/>
          <w:i w:val="0"/>
          <w:iCs w:val="0"/>
          <w:spacing w:val="-4"/>
          <w:sz w:val="32"/>
          <w:szCs w:val="32"/>
          <w:lang w:val="en-US" w:eastAsia="zh-CN"/>
        </w:rPr>
        <w:t>（二）</w:t>
      </w:r>
      <w:r>
        <w:rPr>
          <w:rStyle w:val="9"/>
          <w:rFonts w:hint="eastAsia" w:ascii="仿宋" w:hAnsi="仿宋" w:eastAsia="仿宋" w:cs="仿宋"/>
          <w:b/>
          <w:bCs w:val="0"/>
          <w:i w:val="0"/>
          <w:iCs w:val="0"/>
          <w:spacing w:val="-4"/>
          <w:sz w:val="32"/>
          <w:szCs w:val="32"/>
        </w:rPr>
        <w:t>主要经验及做法</w:t>
      </w:r>
    </w:p>
    <w:p>
      <w:pPr>
        <w:spacing w:line="580" w:lineRule="exact"/>
        <w:ind w:firstLine="960" w:firstLineChars="300"/>
        <w:rPr>
          <w:rFonts w:hint="eastAsia" w:ascii="仿宋" w:hAnsi="仿宋" w:eastAsia="仿宋" w:cs="仿宋"/>
          <w:sz w:val="32"/>
          <w:szCs w:val="32"/>
        </w:rPr>
      </w:pPr>
      <w:r>
        <w:rPr>
          <w:rFonts w:hint="eastAsia" w:ascii="仿宋" w:hAnsi="仿宋" w:eastAsia="仿宋" w:cs="仿宋"/>
          <w:sz w:val="32"/>
          <w:szCs w:val="32"/>
          <w:lang w:val="en-US" w:eastAsia="zh-CN"/>
        </w:rPr>
        <w:t>巴里坤县</w:t>
      </w:r>
      <w:r>
        <w:rPr>
          <w:rFonts w:hint="eastAsia" w:ascii="仿宋" w:hAnsi="仿宋" w:eastAsia="仿宋" w:cs="仿宋"/>
          <w:sz w:val="32"/>
          <w:szCs w:val="32"/>
        </w:rPr>
        <w:t>以基金安全运行为根本，以提高管理服务水平为重点，严格执行社会保险各项政策，建立健全内部控制制度，确保待遇发放，基金运行总体平稳。</w:t>
      </w:r>
    </w:p>
    <w:p>
      <w:pPr>
        <w:pStyle w:val="6"/>
        <w:widowControl/>
        <w:spacing w:beforeAutospacing="0" w:afterAutospacing="0" w:line="560" w:lineRule="exact"/>
        <w:ind w:firstLine="960" w:firstLineChars="300"/>
        <w:rPr>
          <w:rFonts w:hint="eastAsia" w:ascii="仿宋" w:hAnsi="仿宋" w:eastAsia="仿宋" w:cs="仿宋"/>
          <w:kern w:val="2"/>
          <w:sz w:val="32"/>
          <w:szCs w:val="32"/>
        </w:rPr>
      </w:pPr>
      <w:r>
        <w:rPr>
          <w:rFonts w:hint="eastAsia" w:ascii="仿宋" w:hAnsi="仿宋" w:eastAsia="仿宋" w:cs="仿宋"/>
          <w:kern w:val="2"/>
          <w:sz w:val="32"/>
          <w:szCs w:val="32"/>
          <w:lang w:val="en-US" w:eastAsia="zh-CN"/>
        </w:rPr>
        <w:t>巴里坤县</w:t>
      </w:r>
      <w:r>
        <w:rPr>
          <w:rFonts w:hint="eastAsia" w:ascii="仿宋" w:hAnsi="仿宋" w:eastAsia="仿宋" w:cs="仿宋"/>
          <w:kern w:val="2"/>
          <w:sz w:val="32"/>
          <w:szCs w:val="32"/>
        </w:rPr>
        <w:t>社保经办机构按照“流程覆盖、环节把控、职责明确”的工作思路，把内控制度体系建设作为根本，实现了经办和管理工作规范、有效运行，保障了基金安全。一是健全综合内控制度。从组织机构、业务运行、基金财务、信息系统、内部控制等方面，制定内控制度、业务流程、岗位职责等，参保人员均按规定办理参保登记、个人账户信息修改、缴费等业务，严格执行统一的会计制度和收支业务审批制度，社保基金按规定对基金分别建账、分账核算，基金收入户、支出户和财政专户按规定开设账户，严格实行收支两条线管理，全面实行全程电子化，杜绝隐匿、转移、侵占、挪用基金的现象，确保基金专款专用。二是建立考核考评制度。及时调整完善内控考核办法，按规定设置岗位，增强社保经办机构干部队伍力量，加强管理，严格遵守不相容职务相互分离的原则，业务审核岗位和审批岗位分离、审批岗位与计发待遇岗位分离、审批岗位与数据录入岗位分离、会计岗位与出纳岗位分离;无违反业务规程、信息系统操作流程规定以及岗位职责、审批权限，办理社会保险业务、修改社会保险信息的现象;财务与业务按月对账，按规定与基金开户银行、财政部门和上下级经办机构等核对基金的收付情况;严格执行基金支付政策，按月编制基金支付计划，按月足额发放待遇，做到不拖欠、不挪用、不挤占社保基金。</w:t>
      </w:r>
    </w:p>
    <w:p>
      <w:pPr>
        <w:pStyle w:val="6"/>
        <w:widowControl/>
        <w:spacing w:beforeAutospacing="0" w:afterAutospacing="0" w:line="560" w:lineRule="exact"/>
        <w:ind w:firstLine="643" w:firstLineChars="200"/>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（三）下一步工作</w:t>
      </w:r>
    </w:p>
    <w:p>
      <w:pPr>
        <w:numPr>
          <w:ilvl w:val="0"/>
          <w:numId w:val="0"/>
        </w:numPr>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下一步要进一步抓好</w:t>
      </w:r>
      <w:r>
        <w:rPr>
          <w:rFonts w:hint="eastAsia" w:ascii="仿宋" w:hAnsi="仿宋" w:eastAsia="仿宋" w:cs="仿宋"/>
          <w:bCs/>
          <w:kern w:val="0"/>
          <w:sz w:val="32"/>
          <w:szCs w:val="32"/>
        </w:rPr>
        <w:t>全力推进“全民参保计划”，积极采取措施、创新机制，扩大社会保险覆盖面，强化基金征缴，做到应收尽收，不漏死角。同时做好</w:t>
      </w:r>
      <w:r>
        <w:rPr>
          <w:rFonts w:hint="eastAsia" w:ascii="仿宋" w:hAnsi="仿宋" w:eastAsia="仿宋" w:cs="仿宋"/>
          <w:bCs/>
          <w:sz w:val="32"/>
          <w:szCs w:val="32"/>
        </w:rPr>
        <w:t>内部控制风险防控工作，加大对经办工作的监督检查，纠正和堵塞经办环节的漏洞和薄弱点，规范经办机构合理运行，确保基金安全。</w:t>
      </w:r>
    </w:p>
    <w:p>
      <w:pPr>
        <w:spacing w:line="560" w:lineRule="exact"/>
        <w:ind w:firstLine="640"/>
        <w:outlineLvl w:val="0"/>
        <w:rPr>
          <w:rStyle w:val="9"/>
          <w:rFonts w:hint="eastAsia" w:ascii="仿宋" w:hAnsi="仿宋" w:eastAsia="仿宋" w:cs="仿宋"/>
          <w:bCs w:val="0"/>
          <w:spacing w:val="-4"/>
          <w:sz w:val="32"/>
          <w:szCs w:val="32"/>
        </w:rPr>
      </w:pPr>
      <w:r>
        <w:rPr>
          <w:rStyle w:val="9"/>
          <w:rFonts w:hint="eastAsia" w:ascii="仿宋" w:hAnsi="仿宋" w:eastAsia="仿宋" w:cs="仿宋"/>
          <w:bCs w:val="0"/>
          <w:spacing w:val="-4"/>
          <w:sz w:val="32"/>
          <w:szCs w:val="32"/>
        </w:rPr>
        <w:t>五、附表</w:t>
      </w:r>
    </w:p>
    <w:p>
      <w:pPr>
        <w:spacing w:line="560" w:lineRule="exact"/>
        <w:ind w:firstLine="567"/>
        <w:rPr>
          <w:rFonts w:hint="eastAsia" w:ascii="仿宋" w:hAnsi="仿宋" w:eastAsia="仿宋" w:cs="仿宋"/>
          <w:bCs/>
          <w:spacing w:val="-4"/>
          <w:sz w:val="32"/>
          <w:szCs w:val="32"/>
        </w:rPr>
      </w:pPr>
      <w:r>
        <w:rPr>
          <w:rFonts w:hint="eastAsia" w:ascii="仿宋" w:hAnsi="仿宋" w:eastAsia="仿宋" w:cs="仿宋"/>
          <w:bCs/>
          <w:spacing w:val="-4"/>
          <w:sz w:val="32"/>
          <w:szCs w:val="32"/>
          <w:lang w:val="en-US" w:eastAsia="zh-CN"/>
        </w:rPr>
        <w:t>巴里坤县</w:t>
      </w:r>
      <w:r>
        <w:rPr>
          <w:rFonts w:hint="eastAsia" w:ascii="仿宋" w:hAnsi="仿宋" w:eastAsia="仿宋" w:cs="仿宋"/>
          <w:bCs/>
          <w:spacing w:val="-4"/>
          <w:sz w:val="32"/>
          <w:szCs w:val="32"/>
        </w:rPr>
        <w:t>社会保险支出绩效自评表</w:t>
      </w:r>
    </w:p>
    <w:p>
      <w:pPr>
        <w:rPr>
          <w:rFonts w:hint="eastAsia" w:ascii="仿宋_GB2312" w:hAnsi="仿宋_GB2312" w:eastAsia="仿宋_GB2312" w:cs="仿宋_GB2312"/>
          <w:sz w:val="36"/>
          <w:szCs w:val="36"/>
        </w:rPr>
      </w:pP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rPr>
        <w:lang w:val="zh-CN"/>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Njc4ODcxODJiNGNkM2U0OWYzM2NkZDI4YWFmYWQifQ=="/>
  </w:docVars>
  <w:rsids>
    <w:rsidRoot w:val="3FD9323C"/>
    <w:rsid w:val="02050205"/>
    <w:rsid w:val="04E92E1E"/>
    <w:rsid w:val="0666580E"/>
    <w:rsid w:val="06E95DE7"/>
    <w:rsid w:val="0BDB638E"/>
    <w:rsid w:val="11D3174D"/>
    <w:rsid w:val="1381018F"/>
    <w:rsid w:val="13EB653A"/>
    <w:rsid w:val="14A93475"/>
    <w:rsid w:val="1C4F0B6A"/>
    <w:rsid w:val="1EEC5348"/>
    <w:rsid w:val="1F935D99"/>
    <w:rsid w:val="1FA173F5"/>
    <w:rsid w:val="20B736BA"/>
    <w:rsid w:val="284B6FA9"/>
    <w:rsid w:val="2C210219"/>
    <w:rsid w:val="2C8B208A"/>
    <w:rsid w:val="30103067"/>
    <w:rsid w:val="319D2438"/>
    <w:rsid w:val="327C3161"/>
    <w:rsid w:val="35CD5060"/>
    <w:rsid w:val="35EE67BF"/>
    <w:rsid w:val="36F75901"/>
    <w:rsid w:val="3810730B"/>
    <w:rsid w:val="3ACC4C05"/>
    <w:rsid w:val="3EA00DCD"/>
    <w:rsid w:val="3FD9323C"/>
    <w:rsid w:val="40803861"/>
    <w:rsid w:val="434774ED"/>
    <w:rsid w:val="47424128"/>
    <w:rsid w:val="48231AE8"/>
    <w:rsid w:val="49BE5E87"/>
    <w:rsid w:val="4CAC3C95"/>
    <w:rsid w:val="4D632806"/>
    <w:rsid w:val="519F1876"/>
    <w:rsid w:val="54765EEF"/>
    <w:rsid w:val="54AC551B"/>
    <w:rsid w:val="551D2AB1"/>
    <w:rsid w:val="589A5D13"/>
    <w:rsid w:val="5BB53D0B"/>
    <w:rsid w:val="5C9B70AE"/>
    <w:rsid w:val="5E6437E8"/>
    <w:rsid w:val="5FAF7F87"/>
    <w:rsid w:val="6173034B"/>
    <w:rsid w:val="62D351A8"/>
    <w:rsid w:val="62DB04BF"/>
    <w:rsid w:val="681419D0"/>
    <w:rsid w:val="6F085736"/>
    <w:rsid w:val="723942F4"/>
    <w:rsid w:val="7288626E"/>
    <w:rsid w:val="770B70DA"/>
    <w:rsid w:val="7B716095"/>
    <w:rsid w:val="7C5D0CBF"/>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widowControl/>
      <w:spacing w:before="240" w:after="60"/>
      <w:jc w:val="left"/>
      <w:outlineLvl w:val="1"/>
    </w:pPr>
    <w:rPr>
      <w:rFonts w:ascii="Cambria" w:hAnsi="Cambria"/>
      <w:b/>
      <w:bCs/>
      <w:i/>
      <w:iCs/>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99"/>
    <w:pPr>
      <w:jc w:val="center"/>
    </w:pPr>
    <w:rPr>
      <w:rFonts w:eastAsia="方正小标宋简体"/>
      <w:b/>
      <w:bCs/>
      <w:sz w:val="44"/>
    </w:rPr>
  </w:style>
  <w:style w:type="paragraph" w:styleId="4">
    <w:name w:val="footer"/>
    <w:basedOn w:val="1"/>
    <w:qFormat/>
    <w:uiPriority w:val="99"/>
    <w:pPr>
      <w:tabs>
        <w:tab w:val="center" w:pos="4153"/>
        <w:tab w:val="right" w:pos="8306"/>
      </w:tabs>
      <w:snapToGrid w:val="0"/>
      <w:jc w:val="left"/>
    </w:pPr>
    <w:rPr>
      <w:rFonts w:ascii="Calibri" w:hAnsi="Calibri"/>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6">
    <w:name w:val="Normal (Web)"/>
    <w:basedOn w:val="1"/>
    <w:semiHidden/>
    <w:qFormat/>
    <w:uiPriority w:val="99"/>
    <w:pPr>
      <w:spacing w:beforeAutospacing="1" w:afterAutospacing="1"/>
      <w:jc w:val="left"/>
    </w:pPr>
    <w:rPr>
      <w:kern w:val="0"/>
      <w:sz w:val="24"/>
    </w:rPr>
  </w:style>
  <w:style w:type="character" w:styleId="9">
    <w:name w:val="Strong"/>
    <w:basedOn w:val="8"/>
    <w:qFormat/>
    <w:uiPriority w:val="99"/>
    <w:rPr>
      <w:rFonts w:cs="Times New Roman"/>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3550</Words>
  <Characters>4064</Characters>
  <Lines>0</Lines>
  <Paragraphs>0</Paragraphs>
  <TotalTime>2</TotalTime>
  <ScaleCrop>false</ScaleCrop>
  <LinksUpToDate>false</LinksUpToDate>
  <CharactersWithSpaces>4094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2024-08-19T10:13:00Z</dcterms:created>
  <dc:creator>Administrator</dc:creator>
  <cp:lastModifiedBy>Administrator</cp:lastModifiedBy>
  <dcterms:modified xsi:type="dcterms:W3CDTF">2024-10-14T08:10:48Z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2E04B17C22A74A8EB4D8B82C072A4C66</vt:lpwstr>
  </property>
</Properties>
</file>