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317DA">
      <w:pPr>
        <w:overflowPunct w:val="0"/>
        <w:jc w:val="center"/>
        <w:rPr>
          <w:rFonts w:ascii="Arial Unicode MS" w:eastAsia="Arial Unicode MS"/>
          <w:sz w:val="36"/>
          <w:szCs w:val="36"/>
        </w:rPr>
      </w:pPr>
    </w:p>
    <w:p w14:paraId="45E54D8F">
      <w:pPr>
        <w:spacing w:before="120" w:after="120" w:line="288" w:lineRule="auto"/>
        <w:ind w:left="0"/>
        <w:jc w:val="center"/>
        <w:rPr>
          <w:rFonts w:hint="eastAsia" w:ascii="Arial Unicode MS" w:hAnsi="Arial Unicode MS" w:eastAsia="Arial Unicode MS" w:cs="Arial Unicode MS"/>
          <w:b/>
          <w:kern w:val="0"/>
          <w:sz w:val="60"/>
          <w:szCs w:val="60"/>
          <w14:ligatures w14:val="none"/>
        </w:rPr>
      </w:pPr>
      <w:r>
        <w:rPr>
          <w:rFonts w:hint="eastAsia" w:ascii="Arial Unicode MS" w:hAnsi="Arial Unicode MS" w:eastAsia="Arial Unicode MS" w:cs="Arial Unicode MS"/>
          <w:b/>
          <w:kern w:val="0"/>
          <w:sz w:val="60"/>
          <w:szCs w:val="60"/>
          <w14:ligatures w14:val="none"/>
        </w:rPr>
        <w:t>哈密市</w:t>
      </w:r>
      <w:r>
        <w:rPr>
          <w:rFonts w:hint="eastAsia" w:ascii="Arial Unicode MS" w:hAnsi="Arial Unicode MS" w:eastAsia="Arial Unicode MS" w:cs="Arial Unicode MS"/>
          <w:b/>
          <w:kern w:val="0"/>
          <w:sz w:val="60"/>
          <w:szCs w:val="60"/>
          <w:lang w:eastAsia="zh-CN"/>
          <w14:ligatures w14:val="none"/>
        </w:rPr>
        <w:t>巴里坤哈萨克自治县</w:t>
      </w:r>
      <w:r>
        <w:rPr>
          <w:rFonts w:hint="eastAsia" w:ascii="Arial Unicode MS" w:hAnsi="Arial Unicode MS" w:eastAsia="Arial Unicode MS" w:cs="Arial Unicode MS"/>
          <w:b/>
          <w:kern w:val="0"/>
          <w:sz w:val="60"/>
          <w:szCs w:val="60"/>
          <w14:ligatures w14:val="none"/>
        </w:rPr>
        <w:t>“十五五”生态环境保护行动方案</w:t>
      </w:r>
    </w:p>
    <w:p w14:paraId="0AF9D5A5">
      <w:pPr>
        <w:jc w:val="center"/>
        <w:rPr>
          <w:rFonts w:hint="eastAsia" w:eastAsiaTheme="minorEastAsia"/>
          <w:b/>
          <w:bCs/>
          <w:sz w:val="36"/>
          <w:szCs w:val="40"/>
          <w:lang w:eastAsia="zh-CN"/>
        </w:rPr>
      </w:pPr>
      <w:r>
        <w:rPr>
          <w:rFonts w:hint="eastAsia"/>
          <w:b/>
          <w:bCs/>
          <w:sz w:val="36"/>
          <w:szCs w:val="40"/>
          <w:lang w:eastAsia="zh-CN"/>
        </w:rPr>
        <w:t>（</w:t>
      </w:r>
      <w:r>
        <w:rPr>
          <w:rFonts w:hint="eastAsia"/>
          <w:b/>
          <w:bCs/>
          <w:sz w:val="36"/>
          <w:szCs w:val="40"/>
          <w:lang w:val="en-US" w:eastAsia="zh-CN"/>
        </w:rPr>
        <w:t>征求意见稿</w:t>
      </w:r>
      <w:r>
        <w:rPr>
          <w:rFonts w:hint="eastAsia"/>
          <w:b/>
          <w:bCs/>
          <w:sz w:val="36"/>
          <w:szCs w:val="40"/>
          <w:lang w:eastAsia="zh-CN"/>
        </w:rPr>
        <w:t>）</w:t>
      </w:r>
    </w:p>
    <w:p w14:paraId="02F06C0B"/>
    <w:p w14:paraId="71CB930C"/>
    <w:p w14:paraId="7386C8B7"/>
    <w:p w14:paraId="64261440"/>
    <w:p w14:paraId="7735E502"/>
    <w:p w14:paraId="259DD16C"/>
    <w:p w14:paraId="730A70E7">
      <w:pPr>
        <w:pStyle w:val="8"/>
        <w:rPr>
          <w:lang w:eastAsia="zh-CN"/>
        </w:rPr>
      </w:pPr>
    </w:p>
    <w:p w14:paraId="729A31F2"/>
    <w:p w14:paraId="207AFDA3">
      <w:pPr>
        <w:pStyle w:val="8"/>
        <w:rPr>
          <w:lang w:eastAsia="zh-CN"/>
        </w:rPr>
      </w:pPr>
    </w:p>
    <w:p w14:paraId="29611F46"/>
    <w:p w14:paraId="0DF977BB">
      <w:pPr>
        <w:pStyle w:val="8"/>
        <w:rPr>
          <w:lang w:eastAsia="zh-CN"/>
        </w:rPr>
      </w:pPr>
    </w:p>
    <w:p w14:paraId="298030AF">
      <w:pPr>
        <w:rPr>
          <w:lang w:eastAsia="zh-CN"/>
        </w:rPr>
      </w:pPr>
    </w:p>
    <w:p w14:paraId="4A8E1B96">
      <w:pPr>
        <w:rPr>
          <w:lang w:eastAsia="zh-CN"/>
        </w:rPr>
      </w:pPr>
    </w:p>
    <w:p w14:paraId="69A92EFF">
      <w:pPr>
        <w:pStyle w:val="8"/>
        <w:rPr>
          <w:lang w:eastAsia="zh-CN"/>
        </w:rPr>
      </w:pPr>
    </w:p>
    <w:p w14:paraId="1A7CD6E3"/>
    <w:p w14:paraId="7610C862"/>
    <w:p w14:paraId="5B7CF473"/>
    <w:p w14:paraId="0E1C2C50">
      <w:pPr>
        <w:spacing w:before="120" w:after="120" w:line="288" w:lineRule="auto"/>
        <w:ind w:left="0"/>
        <w:jc w:val="center"/>
        <w:rPr>
          <w:rFonts w:hint="eastAsia" w:ascii="仿宋" w:hAnsi="仿宋" w:eastAsia="仿宋" w:cs="仿宋"/>
          <w:b/>
          <w:bCs/>
          <w:kern w:val="0"/>
          <w:sz w:val="36"/>
          <w:szCs w:val="36"/>
          <w14:ligatures w14:val="none"/>
        </w:rPr>
      </w:pPr>
      <w:r>
        <w:rPr>
          <w:rFonts w:hint="eastAsia" w:ascii="仿宋" w:hAnsi="仿宋" w:eastAsia="仿宋" w:cs="仿宋"/>
          <w:b/>
          <w:bCs/>
          <w:kern w:val="0"/>
          <w:sz w:val="36"/>
          <w:szCs w:val="36"/>
          <w14:ligatures w14:val="none"/>
        </w:rPr>
        <w:t>哈密市生态环境局</w:t>
      </w:r>
      <w:r>
        <w:rPr>
          <w:rFonts w:hint="eastAsia" w:ascii="仿宋" w:hAnsi="仿宋" w:eastAsia="仿宋" w:cs="仿宋"/>
          <w:b/>
          <w:bCs/>
          <w:kern w:val="0"/>
          <w:sz w:val="36"/>
          <w:szCs w:val="36"/>
          <w:lang w:eastAsia="zh-CN"/>
          <w14:ligatures w14:val="none"/>
        </w:rPr>
        <w:t>巴里坤哈萨克自治县</w:t>
      </w:r>
      <w:r>
        <w:rPr>
          <w:rFonts w:hint="eastAsia" w:ascii="仿宋" w:hAnsi="仿宋" w:eastAsia="仿宋" w:cs="仿宋"/>
          <w:b/>
          <w:bCs/>
          <w:kern w:val="0"/>
          <w:sz w:val="36"/>
          <w:szCs w:val="36"/>
          <w14:ligatures w14:val="none"/>
        </w:rPr>
        <w:t>分局</w:t>
      </w:r>
    </w:p>
    <w:p w14:paraId="35A283BA">
      <w:pPr>
        <w:pStyle w:val="8"/>
        <w:jc w:val="center"/>
        <w:rPr>
          <w:rFonts w:ascii="Times New Roman" w:hAnsi="Times New Roman"/>
          <w:b/>
          <w:bCs/>
        </w:rPr>
      </w:pPr>
      <w:r>
        <w:rPr>
          <w:rFonts w:hint="eastAsia" w:ascii="仿宋" w:hAnsi="仿宋" w:eastAsia="仿宋" w:cs="仿宋"/>
          <w:b/>
          <w:bCs/>
          <w:kern w:val="0"/>
          <w:sz w:val="36"/>
          <w:szCs w:val="36"/>
          <w14:ligatures w14:val="none"/>
        </w:rPr>
        <w:t>2026年</w:t>
      </w:r>
      <w:r>
        <w:rPr>
          <w:rFonts w:hint="eastAsia" w:cs="仿宋"/>
          <w:b/>
          <w:bCs/>
          <w:kern w:val="0"/>
          <w:sz w:val="36"/>
          <w:szCs w:val="36"/>
          <w:lang w:val="en-US" w:eastAsia="zh-CN"/>
          <w14:ligatures w14:val="none"/>
        </w:rPr>
        <w:t>7</w:t>
      </w:r>
      <w:r>
        <w:rPr>
          <w:rFonts w:hint="eastAsia" w:ascii="仿宋" w:hAnsi="仿宋" w:eastAsia="仿宋" w:cs="仿宋"/>
          <w:b/>
          <w:bCs/>
          <w:kern w:val="0"/>
          <w:sz w:val="36"/>
          <w:szCs w:val="36"/>
          <w14:ligatures w14:val="none"/>
        </w:rPr>
        <w:t>月</w:t>
      </w:r>
    </w:p>
    <w:p w14:paraId="5FA18115">
      <w:pPr>
        <w:widowControl/>
        <w:jc w:val="left"/>
        <w:rPr>
          <w:rFonts w:ascii="Times New Roman" w:hAnsi="Times New Roman"/>
          <w:b/>
          <w:bCs/>
        </w:rPr>
        <w:sectPr>
          <w:headerReference r:id="rId4" w:type="first"/>
          <w:footerReference r:id="rId7" w:type="first"/>
          <w:footerReference r:id="rId5" w:type="default"/>
          <w:headerReference r:id="rId3" w:type="even"/>
          <w:footerReference r:id="rId6" w:type="even"/>
          <w:pgSz w:w="11906" w:h="16838"/>
          <w:pgMar w:top="1440" w:right="1701" w:bottom="1440" w:left="1701" w:header="851" w:footer="992" w:gutter="0"/>
          <w:cols w:space="425" w:num="1"/>
          <w:docGrid w:type="lines" w:linePitch="312" w:charSpace="0"/>
        </w:sectPr>
      </w:pPr>
    </w:p>
    <w:sdt>
      <w:sdtPr>
        <w:rPr>
          <w:rFonts w:asciiTheme="minorHAnsi" w:hAnsiTheme="minorHAnsi" w:eastAsiaTheme="minorEastAsia" w:cstheme="minorBidi"/>
          <w:color w:val="auto"/>
          <w:kern w:val="2"/>
          <w:sz w:val="21"/>
          <w:szCs w:val="22"/>
          <w:lang w:val="zh-CN"/>
          <w14:ligatures w14:val="standardContextual"/>
        </w:rPr>
        <w:id w:val="-592629260"/>
        <w:docPartObj>
          <w:docPartGallery w:val="Table of Contents"/>
          <w:docPartUnique/>
        </w:docPartObj>
      </w:sdtPr>
      <w:sdtEndPr>
        <w:rPr>
          <w:rFonts w:asciiTheme="minorHAnsi" w:hAnsiTheme="minorHAnsi" w:eastAsiaTheme="minorEastAsia" w:cstheme="minorBidi"/>
          <w:b/>
          <w:bCs/>
          <w:color w:val="auto"/>
          <w:kern w:val="2"/>
          <w:sz w:val="21"/>
          <w:szCs w:val="22"/>
          <w:lang w:val="zh-CN"/>
          <w14:ligatures w14:val="standardContextual"/>
        </w:rPr>
      </w:sdtEndPr>
      <w:sdtContent>
        <w:p w14:paraId="28B037D5">
          <w:pPr>
            <w:pStyle w:val="43"/>
            <w:jc w:val="center"/>
            <w:rPr>
              <w:rFonts w:ascii="黑体" w:hAnsi="黑体" w:eastAsia="黑体"/>
              <w:color w:val="auto"/>
            </w:rPr>
          </w:pPr>
          <w:r>
            <w:rPr>
              <w:rFonts w:hint="eastAsia" w:ascii="Arial Unicode MS" w:hAnsi="Arial Unicode MS" w:eastAsia="Arial Unicode MS" w:cs="Arial Unicode MS"/>
              <w:b/>
              <w:bCs w:val="0"/>
              <w:color w:val="auto"/>
              <w:kern w:val="0"/>
              <w:sz w:val="40"/>
              <w:szCs w:val="40"/>
              <w:lang w:val="zh-CN"/>
              <w14:ligatures w14:val="none"/>
            </w:rPr>
            <w:t>目</w:t>
          </w:r>
          <w:r>
            <w:rPr>
              <w:rFonts w:hint="eastAsia" w:ascii="Arial Unicode MS" w:hAnsi="Arial Unicode MS" w:eastAsia="Arial Unicode MS" w:cs="Arial Unicode MS"/>
              <w:b/>
              <w:bCs w:val="0"/>
              <w:color w:val="auto"/>
              <w:kern w:val="0"/>
              <w:sz w:val="40"/>
              <w:szCs w:val="40"/>
              <w:lang w:val="en-US" w:eastAsia="zh-CN"/>
              <w14:ligatures w14:val="none"/>
            </w:rPr>
            <w:t xml:space="preserve"> </w:t>
          </w:r>
          <w:r>
            <w:rPr>
              <w:rFonts w:hint="eastAsia" w:ascii="Arial Unicode MS" w:hAnsi="Arial Unicode MS" w:eastAsia="Arial Unicode MS" w:cs="Arial Unicode MS"/>
              <w:b/>
              <w:bCs w:val="0"/>
              <w:color w:val="auto"/>
              <w:kern w:val="0"/>
              <w:sz w:val="40"/>
              <w:szCs w:val="40"/>
              <w:lang w:val="zh-CN"/>
              <w14:ligatures w14:val="none"/>
            </w:rPr>
            <w:t>录</w:t>
          </w:r>
        </w:p>
        <w:p w14:paraId="2F4CBBD8">
          <w:pPr>
            <w:pStyle w:val="13"/>
            <w:tabs>
              <w:tab w:val="right" w:leader="dot" w:pos="8306"/>
              <w:tab w:val="clear" w:pos="8296"/>
            </w:tabs>
          </w:pP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TOC \o "1-3" \h \z \u </w:instrText>
          </w:r>
          <w:r>
            <w:rPr>
              <w:rFonts w:hint="eastAsia" w:ascii="仿宋" w:hAnsi="仿宋" w:eastAsia="仿宋" w:cs="仿宋"/>
              <w:sz w:val="40"/>
              <w:szCs w:val="40"/>
            </w:rPr>
            <w:fldChar w:fldCharType="separate"/>
          </w:r>
          <w:r>
            <w:rPr>
              <w:rFonts w:hint="eastAsia" w:ascii="仿宋" w:hAnsi="仿宋" w:eastAsia="仿宋" w:cs="仿宋"/>
              <w:szCs w:val="40"/>
            </w:rPr>
            <w:fldChar w:fldCharType="begin"/>
          </w:r>
          <w:r>
            <w:rPr>
              <w:rFonts w:hint="eastAsia" w:ascii="仿宋" w:hAnsi="仿宋" w:eastAsia="仿宋" w:cs="仿宋"/>
              <w:szCs w:val="40"/>
            </w:rPr>
            <w:instrText xml:space="preserve"> HYPERLINK \l _Toc20539 </w:instrText>
          </w:r>
          <w:r>
            <w:rPr>
              <w:rFonts w:hint="eastAsia" w:ascii="仿宋" w:hAnsi="仿宋" w:eastAsia="仿宋" w:cs="仿宋"/>
              <w:szCs w:val="40"/>
            </w:rPr>
            <w:fldChar w:fldCharType="separate"/>
          </w:r>
          <w:r>
            <w:rPr>
              <w:rFonts w:ascii="Times New Roman" w:hAnsi="Times New Roman"/>
            </w:rPr>
            <w:t>一、总体要求</w:t>
          </w:r>
          <w:r>
            <w:tab/>
          </w:r>
          <w:r>
            <w:fldChar w:fldCharType="begin"/>
          </w:r>
          <w:r>
            <w:instrText xml:space="preserve"> PAGEREF _Toc20539 \h </w:instrText>
          </w:r>
          <w:r>
            <w:fldChar w:fldCharType="separate"/>
          </w:r>
          <w:r>
            <w:t>1</w:t>
          </w:r>
          <w:r>
            <w:fldChar w:fldCharType="end"/>
          </w:r>
          <w:r>
            <w:rPr>
              <w:rFonts w:hint="eastAsia" w:ascii="仿宋" w:hAnsi="仿宋" w:eastAsia="仿宋" w:cs="仿宋"/>
              <w:szCs w:val="40"/>
            </w:rPr>
            <w:fldChar w:fldCharType="end"/>
          </w:r>
        </w:p>
        <w:p w14:paraId="5AB4AC8D">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_Toc25776 </w:instrText>
          </w:r>
          <w:r>
            <w:rPr>
              <w:rFonts w:hint="eastAsia" w:ascii="仿宋" w:hAnsi="仿宋" w:eastAsia="仿宋" w:cs="仿宋"/>
              <w:bCs/>
              <w:szCs w:val="40"/>
              <w:lang w:val="zh-CN"/>
            </w:rPr>
            <w:fldChar w:fldCharType="separate"/>
          </w:r>
          <w:r>
            <w:rPr>
              <w:rFonts w:hint="eastAsia" w:ascii="仿宋" w:hAnsi="仿宋" w:eastAsia="仿宋" w:cs="仿宋"/>
              <w:bCs/>
              <w:szCs w:val="32"/>
            </w:rPr>
            <w:t>（一）指导思想</w:t>
          </w:r>
          <w:r>
            <w:tab/>
          </w:r>
          <w:r>
            <w:fldChar w:fldCharType="begin"/>
          </w:r>
          <w:r>
            <w:instrText xml:space="preserve"> PAGEREF _Toc25776 \h </w:instrText>
          </w:r>
          <w:r>
            <w:fldChar w:fldCharType="separate"/>
          </w:r>
          <w:r>
            <w:t>1</w:t>
          </w:r>
          <w:r>
            <w:fldChar w:fldCharType="end"/>
          </w:r>
          <w:r>
            <w:rPr>
              <w:rFonts w:hint="eastAsia" w:ascii="仿宋" w:hAnsi="仿宋" w:eastAsia="仿宋" w:cs="仿宋"/>
              <w:bCs/>
              <w:szCs w:val="40"/>
              <w:lang w:val="zh-CN"/>
            </w:rPr>
            <w:fldChar w:fldCharType="end"/>
          </w:r>
        </w:p>
        <w:p w14:paraId="228762BA">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_Toc4753 </w:instrText>
          </w:r>
          <w:r>
            <w:rPr>
              <w:rFonts w:hint="eastAsia" w:ascii="仿宋" w:hAnsi="仿宋" w:eastAsia="仿宋" w:cs="仿宋"/>
              <w:bCs/>
              <w:szCs w:val="40"/>
              <w:lang w:val="zh-CN"/>
            </w:rPr>
            <w:fldChar w:fldCharType="separate"/>
          </w:r>
          <w:r>
            <w:rPr>
              <w:rFonts w:hint="eastAsia" w:ascii="仿宋" w:hAnsi="仿宋" w:eastAsia="仿宋" w:cs="仿宋"/>
              <w:bCs/>
              <w:szCs w:val="32"/>
            </w:rPr>
            <w:t>（二）基本原则</w:t>
          </w:r>
          <w:r>
            <w:tab/>
          </w:r>
          <w:r>
            <w:fldChar w:fldCharType="begin"/>
          </w:r>
          <w:r>
            <w:instrText xml:space="preserve"> PAGEREF _Toc4753 \h </w:instrText>
          </w:r>
          <w:r>
            <w:fldChar w:fldCharType="separate"/>
          </w:r>
          <w:r>
            <w:t>2</w:t>
          </w:r>
          <w:r>
            <w:fldChar w:fldCharType="end"/>
          </w:r>
          <w:r>
            <w:rPr>
              <w:rFonts w:hint="eastAsia" w:ascii="仿宋" w:hAnsi="仿宋" w:eastAsia="仿宋" w:cs="仿宋"/>
              <w:bCs/>
              <w:szCs w:val="40"/>
              <w:lang w:val="zh-CN"/>
            </w:rPr>
            <w:fldChar w:fldCharType="end"/>
          </w:r>
        </w:p>
        <w:p w14:paraId="4A410917">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_Toc10850 </w:instrText>
          </w:r>
          <w:r>
            <w:rPr>
              <w:rFonts w:hint="eastAsia" w:ascii="仿宋" w:hAnsi="仿宋" w:eastAsia="仿宋" w:cs="仿宋"/>
              <w:bCs/>
              <w:szCs w:val="40"/>
              <w:lang w:val="zh-CN"/>
            </w:rPr>
            <w:fldChar w:fldCharType="separate"/>
          </w:r>
          <w:r>
            <w:rPr>
              <w:rFonts w:hint="eastAsia" w:ascii="仿宋" w:hAnsi="仿宋" w:eastAsia="仿宋" w:cs="仿宋"/>
              <w:bCs/>
              <w:szCs w:val="32"/>
            </w:rPr>
            <w:t>（三）战略定位</w:t>
          </w:r>
          <w:r>
            <w:tab/>
          </w:r>
          <w:r>
            <w:fldChar w:fldCharType="begin"/>
          </w:r>
          <w:r>
            <w:instrText xml:space="preserve"> PAGEREF _Toc10850 \h </w:instrText>
          </w:r>
          <w:r>
            <w:fldChar w:fldCharType="separate"/>
          </w:r>
          <w:r>
            <w:t>2</w:t>
          </w:r>
          <w:r>
            <w:fldChar w:fldCharType="end"/>
          </w:r>
          <w:r>
            <w:rPr>
              <w:rFonts w:hint="eastAsia" w:ascii="仿宋" w:hAnsi="仿宋" w:eastAsia="仿宋" w:cs="仿宋"/>
              <w:bCs/>
              <w:szCs w:val="40"/>
              <w:lang w:val="zh-CN"/>
            </w:rPr>
            <w:fldChar w:fldCharType="end"/>
          </w:r>
        </w:p>
        <w:p w14:paraId="5272B86F">
          <w:pPr>
            <w:pStyle w:val="13"/>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_Toc5382 </w:instrText>
          </w:r>
          <w:r>
            <w:rPr>
              <w:rFonts w:hint="eastAsia" w:ascii="仿宋" w:hAnsi="仿宋" w:eastAsia="仿宋" w:cs="仿宋"/>
              <w:bCs/>
              <w:szCs w:val="40"/>
              <w:lang w:val="zh-CN"/>
            </w:rPr>
            <w:fldChar w:fldCharType="separate"/>
          </w:r>
          <w:r>
            <w:rPr>
              <w:rFonts w:ascii="Times New Roman" w:hAnsi="Times New Roman"/>
            </w:rPr>
            <w:t>二、主要目标</w:t>
          </w:r>
          <w:r>
            <w:tab/>
          </w:r>
          <w:r>
            <w:fldChar w:fldCharType="begin"/>
          </w:r>
          <w:r>
            <w:instrText xml:space="preserve"> PAGEREF _Toc5382 \h </w:instrText>
          </w:r>
          <w:r>
            <w:fldChar w:fldCharType="separate"/>
          </w:r>
          <w:r>
            <w:t>3</w:t>
          </w:r>
          <w:r>
            <w:fldChar w:fldCharType="end"/>
          </w:r>
          <w:r>
            <w:rPr>
              <w:rFonts w:hint="eastAsia" w:ascii="仿宋" w:hAnsi="仿宋" w:eastAsia="仿宋" w:cs="仿宋"/>
              <w:bCs/>
              <w:szCs w:val="40"/>
              <w:lang w:val="zh-CN"/>
            </w:rPr>
            <w:fldChar w:fldCharType="end"/>
          </w:r>
        </w:p>
        <w:p w14:paraId="05C9C543">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_Toc15234 </w:instrText>
          </w:r>
          <w:r>
            <w:rPr>
              <w:rFonts w:hint="eastAsia" w:ascii="仿宋" w:hAnsi="仿宋" w:eastAsia="仿宋" w:cs="仿宋"/>
              <w:bCs/>
              <w:szCs w:val="40"/>
              <w:lang w:val="zh-CN"/>
            </w:rPr>
            <w:fldChar w:fldCharType="separate"/>
          </w:r>
          <w:r>
            <w:rPr>
              <w:rFonts w:hint="eastAsia" w:ascii="仿宋" w:hAnsi="仿宋" w:eastAsia="仿宋" w:cs="仿宋"/>
              <w:bCs/>
              <w:szCs w:val="32"/>
            </w:rPr>
            <w:t>（一）大气环境治理目标</w:t>
          </w:r>
          <w:r>
            <w:tab/>
          </w:r>
          <w:r>
            <w:fldChar w:fldCharType="begin"/>
          </w:r>
          <w:r>
            <w:instrText xml:space="preserve"> PAGEREF _Toc15234 \h </w:instrText>
          </w:r>
          <w:r>
            <w:fldChar w:fldCharType="separate"/>
          </w:r>
          <w:r>
            <w:t>3</w:t>
          </w:r>
          <w:r>
            <w:fldChar w:fldCharType="end"/>
          </w:r>
          <w:r>
            <w:rPr>
              <w:rFonts w:hint="eastAsia" w:ascii="仿宋" w:hAnsi="仿宋" w:eastAsia="仿宋" w:cs="仿宋"/>
              <w:bCs/>
              <w:szCs w:val="40"/>
              <w:lang w:val="zh-CN"/>
            </w:rPr>
            <w:fldChar w:fldCharType="end"/>
          </w:r>
        </w:p>
        <w:p w14:paraId="19AEECEC">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_Toc24258 </w:instrText>
          </w:r>
          <w:r>
            <w:rPr>
              <w:rFonts w:hint="eastAsia" w:ascii="仿宋" w:hAnsi="仿宋" w:eastAsia="仿宋" w:cs="仿宋"/>
              <w:bCs/>
              <w:szCs w:val="40"/>
              <w:lang w:val="zh-CN"/>
            </w:rPr>
            <w:fldChar w:fldCharType="separate"/>
          </w:r>
          <w:r>
            <w:rPr>
              <w:rFonts w:hint="eastAsia" w:ascii="仿宋" w:hAnsi="仿宋" w:eastAsia="仿宋" w:cs="仿宋"/>
              <w:bCs/>
              <w:szCs w:val="32"/>
            </w:rPr>
            <w:t>（二）水环境治理目标</w:t>
          </w:r>
          <w:r>
            <w:tab/>
          </w:r>
          <w:r>
            <w:fldChar w:fldCharType="begin"/>
          </w:r>
          <w:r>
            <w:instrText xml:space="preserve"> PAGEREF _Toc24258 \h </w:instrText>
          </w:r>
          <w:r>
            <w:fldChar w:fldCharType="separate"/>
          </w:r>
          <w:r>
            <w:t>4</w:t>
          </w:r>
          <w:r>
            <w:fldChar w:fldCharType="end"/>
          </w:r>
          <w:r>
            <w:rPr>
              <w:rFonts w:hint="eastAsia" w:ascii="仿宋" w:hAnsi="仿宋" w:eastAsia="仿宋" w:cs="仿宋"/>
              <w:bCs/>
              <w:szCs w:val="40"/>
              <w:lang w:val="zh-CN"/>
            </w:rPr>
            <w:fldChar w:fldCharType="end"/>
          </w:r>
        </w:p>
        <w:p w14:paraId="2FC6A254">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_Toc4890 </w:instrText>
          </w:r>
          <w:r>
            <w:rPr>
              <w:rFonts w:hint="eastAsia" w:ascii="仿宋" w:hAnsi="仿宋" w:eastAsia="仿宋" w:cs="仿宋"/>
              <w:bCs/>
              <w:szCs w:val="40"/>
              <w:lang w:val="zh-CN"/>
            </w:rPr>
            <w:fldChar w:fldCharType="separate"/>
          </w:r>
          <w:r>
            <w:rPr>
              <w:rFonts w:hint="eastAsia" w:ascii="仿宋" w:hAnsi="仿宋" w:eastAsia="仿宋" w:cs="仿宋"/>
              <w:bCs/>
              <w:szCs w:val="32"/>
            </w:rPr>
            <w:t>（三）土壤与生态保护目标</w:t>
          </w:r>
          <w:r>
            <w:tab/>
          </w:r>
          <w:r>
            <w:fldChar w:fldCharType="begin"/>
          </w:r>
          <w:r>
            <w:instrText xml:space="preserve"> PAGEREF _Toc4890 \h </w:instrText>
          </w:r>
          <w:r>
            <w:fldChar w:fldCharType="separate"/>
          </w:r>
          <w:r>
            <w:t>4</w:t>
          </w:r>
          <w:r>
            <w:fldChar w:fldCharType="end"/>
          </w:r>
          <w:r>
            <w:rPr>
              <w:rFonts w:hint="eastAsia" w:ascii="仿宋" w:hAnsi="仿宋" w:eastAsia="仿宋" w:cs="仿宋"/>
              <w:bCs/>
              <w:szCs w:val="40"/>
              <w:lang w:val="zh-CN"/>
            </w:rPr>
            <w:fldChar w:fldCharType="end"/>
          </w:r>
        </w:p>
        <w:p w14:paraId="7DDB8278">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_Toc13628 </w:instrText>
          </w:r>
          <w:r>
            <w:rPr>
              <w:rFonts w:hint="eastAsia" w:ascii="仿宋" w:hAnsi="仿宋" w:eastAsia="仿宋" w:cs="仿宋"/>
              <w:bCs/>
              <w:szCs w:val="40"/>
              <w:lang w:val="zh-CN"/>
            </w:rPr>
            <w:fldChar w:fldCharType="separate"/>
          </w:r>
          <w:r>
            <w:rPr>
              <w:rFonts w:hint="eastAsia" w:ascii="仿宋" w:hAnsi="仿宋" w:eastAsia="仿宋" w:cs="仿宋"/>
              <w:bCs/>
              <w:szCs w:val="32"/>
            </w:rPr>
            <w:t>（四）固体废物与新污染物治理目标</w:t>
          </w:r>
          <w:r>
            <w:tab/>
          </w:r>
          <w:r>
            <w:fldChar w:fldCharType="begin"/>
          </w:r>
          <w:r>
            <w:instrText xml:space="preserve"> PAGEREF _Toc13628 \h </w:instrText>
          </w:r>
          <w:r>
            <w:fldChar w:fldCharType="separate"/>
          </w:r>
          <w:r>
            <w:t>4</w:t>
          </w:r>
          <w:r>
            <w:fldChar w:fldCharType="end"/>
          </w:r>
          <w:r>
            <w:rPr>
              <w:rFonts w:hint="eastAsia" w:ascii="仿宋" w:hAnsi="仿宋" w:eastAsia="仿宋" w:cs="仿宋"/>
              <w:bCs/>
              <w:szCs w:val="40"/>
              <w:lang w:val="zh-CN"/>
            </w:rPr>
            <w:fldChar w:fldCharType="end"/>
          </w:r>
        </w:p>
        <w:p w14:paraId="6ABCEE69">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_Toc1289 </w:instrText>
          </w:r>
          <w:r>
            <w:rPr>
              <w:rFonts w:hint="eastAsia" w:ascii="仿宋" w:hAnsi="仿宋" w:eastAsia="仿宋" w:cs="仿宋"/>
              <w:bCs/>
              <w:szCs w:val="40"/>
              <w:lang w:val="zh-CN"/>
            </w:rPr>
            <w:fldChar w:fldCharType="separate"/>
          </w:r>
          <w:r>
            <w:rPr>
              <w:rFonts w:hint="eastAsia" w:ascii="仿宋" w:hAnsi="仿宋" w:eastAsia="仿宋" w:cs="仿宋"/>
              <w:bCs/>
              <w:szCs w:val="32"/>
            </w:rPr>
            <w:t>（五）城乡人居环境与治理能力目标</w:t>
          </w:r>
          <w:r>
            <w:tab/>
          </w:r>
          <w:r>
            <w:fldChar w:fldCharType="begin"/>
          </w:r>
          <w:r>
            <w:instrText xml:space="preserve"> PAGEREF _Toc1289 \h </w:instrText>
          </w:r>
          <w:r>
            <w:fldChar w:fldCharType="separate"/>
          </w:r>
          <w:r>
            <w:t>5</w:t>
          </w:r>
          <w:r>
            <w:fldChar w:fldCharType="end"/>
          </w:r>
          <w:r>
            <w:rPr>
              <w:rFonts w:hint="eastAsia" w:ascii="仿宋" w:hAnsi="仿宋" w:eastAsia="仿宋" w:cs="仿宋"/>
              <w:bCs/>
              <w:szCs w:val="40"/>
              <w:lang w:val="zh-CN"/>
            </w:rPr>
            <w:fldChar w:fldCharType="end"/>
          </w:r>
        </w:p>
        <w:p w14:paraId="27378621">
          <w:pPr>
            <w:pStyle w:val="13"/>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_Toc22518 </w:instrText>
          </w:r>
          <w:r>
            <w:rPr>
              <w:rFonts w:hint="eastAsia" w:ascii="仿宋" w:hAnsi="仿宋" w:eastAsia="仿宋" w:cs="仿宋"/>
              <w:bCs/>
              <w:szCs w:val="40"/>
              <w:lang w:val="zh-CN"/>
            </w:rPr>
            <w:fldChar w:fldCharType="separate"/>
          </w:r>
          <w:r>
            <w:rPr>
              <w:rFonts w:hint="eastAsia" w:ascii="黑体" w:hAnsi="黑体" w:eastAsia="黑体" w:cs="黑体"/>
              <w:szCs w:val="32"/>
            </w:rPr>
            <w:t>三、重点任务</w:t>
          </w:r>
          <w:r>
            <w:tab/>
          </w:r>
          <w:r>
            <w:fldChar w:fldCharType="begin"/>
          </w:r>
          <w:r>
            <w:instrText xml:space="preserve"> PAGEREF _Toc22518 \h </w:instrText>
          </w:r>
          <w:r>
            <w:fldChar w:fldCharType="separate"/>
          </w:r>
          <w:r>
            <w:t>8</w:t>
          </w:r>
          <w:r>
            <w:fldChar w:fldCharType="end"/>
          </w:r>
          <w:r>
            <w:rPr>
              <w:rFonts w:hint="eastAsia" w:ascii="仿宋" w:hAnsi="仿宋" w:eastAsia="仿宋" w:cs="仿宋"/>
              <w:bCs/>
              <w:szCs w:val="40"/>
              <w:lang w:val="zh-CN"/>
            </w:rPr>
            <w:fldChar w:fldCharType="end"/>
          </w:r>
        </w:p>
        <w:p w14:paraId="74114F93">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_Toc10599 </w:instrText>
          </w:r>
          <w:r>
            <w:rPr>
              <w:rFonts w:hint="eastAsia" w:ascii="仿宋" w:hAnsi="仿宋" w:eastAsia="仿宋" w:cs="仿宋"/>
              <w:bCs/>
              <w:szCs w:val="40"/>
              <w:lang w:val="zh-CN"/>
            </w:rPr>
            <w:fldChar w:fldCharType="separate"/>
          </w:r>
          <w:r>
            <w:rPr>
              <w:rFonts w:hint="eastAsia" w:ascii="仿宋" w:hAnsi="仿宋" w:eastAsia="仿宋" w:cs="仿宋"/>
              <w:bCs/>
              <w:szCs w:val="32"/>
              <w14:ligatures w14:val="none"/>
            </w:rPr>
            <w:t>（一）深化污染防治攻坚，持续改善生态环境质量</w:t>
          </w:r>
          <w:r>
            <w:tab/>
          </w:r>
          <w:r>
            <w:fldChar w:fldCharType="begin"/>
          </w:r>
          <w:r>
            <w:instrText xml:space="preserve"> PAGEREF _Toc10599 \h </w:instrText>
          </w:r>
          <w:r>
            <w:fldChar w:fldCharType="separate"/>
          </w:r>
          <w:r>
            <w:t>8</w:t>
          </w:r>
          <w:r>
            <w:fldChar w:fldCharType="end"/>
          </w:r>
          <w:r>
            <w:rPr>
              <w:rFonts w:hint="eastAsia" w:ascii="仿宋" w:hAnsi="仿宋" w:eastAsia="仿宋" w:cs="仿宋"/>
              <w:bCs/>
              <w:szCs w:val="40"/>
              <w:lang w:val="zh-CN"/>
            </w:rPr>
            <w:fldChar w:fldCharType="end"/>
          </w:r>
        </w:p>
        <w:p w14:paraId="4B4D9CA3">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_Toc25307 </w:instrText>
          </w:r>
          <w:r>
            <w:rPr>
              <w:rFonts w:hint="eastAsia" w:ascii="仿宋" w:hAnsi="仿宋" w:eastAsia="仿宋" w:cs="仿宋"/>
              <w:bCs/>
              <w:szCs w:val="40"/>
              <w:lang w:val="zh-CN"/>
            </w:rPr>
            <w:fldChar w:fldCharType="separate"/>
          </w:r>
          <w:r>
            <w:rPr>
              <w:rFonts w:hint="eastAsia" w:ascii="仿宋" w:hAnsi="仿宋" w:eastAsia="仿宋" w:cs="仿宋"/>
              <w:szCs w:val="32"/>
            </w:rPr>
            <w:t>（二）筑牢生态安全屏障，提升生态系统稳定性</w:t>
          </w:r>
          <w:r>
            <w:tab/>
          </w:r>
          <w:r>
            <w:fldChar w:fldCharType="begin"/>
          </w:r>
          <w:r>
            <w:instrText xml:space="preserve"> PAGEREF _Toc25307 \h </w:instrText>
          </w:r>
          <w:r>
            <w:fldChar w:fldCharType="separate"/>
          </w:r>
          <w:r>
            <w:t>26</w:t>
          </w:r>
          <w:r>
            <w:fldChar w:fldCharType="end"/>
          </w:r>
          <w:r>
            <w:rPr>
              <w:rFonts w:hint="eastAsia" w:ascii="仿宋" w:hAnsi="仿宋" w:eastAsia="仿宋" w:cs="仿宋"/>
              <w:bCs/>
              <w:szCs w:val="40"/>
              <w:lang w:val="zh-CN"/>
            </w:rPr>
            <w:fldChar w:fldCharType="end"/>
          </w:r>
        </w:p>
        <w:p w14:paraId="33F93819">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_Toc18395 </w:instrText>
          </w:r>
          <w:r>
            <w:rPr>
              <w:rFonts w:hint="eastAsia" w:ascii="仿宋" w:hAnsi="仿宋" w:eastAsia="仿宋" w:cs="仿宋"/>
              <w:bCs/>
              <w:szCs w:val="40"/>
              <w:lang w:val="zh-CN"/>
            </w:rPr>
            <w:fldChar w:fldCharType="separate"/>
          </w:r>
          <w:r>
            <w:rPr>
              <w:rFonts w:hint="eastAsia" w:ascii="仿宋" w:hAnsi="仿宋" w:eastAsia="仿宋" w:cs="仿宋"/>
              <w:szCs w:val="32"/>
            </w:rPr>
            <w:t>（三）聚焦重点优化布局，打造绿色低碳发展新引擎</w:t>
          </w:r>
          <w:r>
            <w:tab/>
          </w:r>
          <w:r>
            <w:fldChar w:fldCharType="begin"/>
          </w:r>
          <w:r>
            <w:instrText xml:space="preserve"> PAGEREF _Toc18395 \h </w:instrText>
          </w:r>
          <w:r>
            <w:fldChar w:fldCharType="separate"/>
          </w:r>
          <w:r>
            <w:t>32</w:t>
          </w:r>
          <w:r>
            <w:fldChar w:fldCharType="end"/>
          </w:r>
          <w:r>
            <w:rPr>
              <w:rFonts w:hint="eastAsia" w:ascii="仿宋" w:hAnsi="仿宋" w:eastAsia="仿宋" w:cs="仿宋"/>
              <w:bCs/>
              <w:szCs w:val="40"/>
              <w:lang w:val="zh-CN"/>
            </w:rPr>
            <w:fldChar w:fldCharType="end"/>
          </w:r>
        </w:p>
        <w:p w14:paraId="4DAF0D49">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_Toc21689 </w:instrText>
          </w:r>
          <w:r>
            <w:rPr>
              <w:rFonts w:hint="eastAsia" w:ascii="仿宋" w:hAnsi="仿宋" w:eastAsia="仿宋" w:cs="仿宋"/>
              <w:bCs/>
              <w:szCs w:val="40"/>
              <w:lang w:val="zh-CN"/>
            </w:rPr>
            <w:fldChar w:fldCharType="separate"/>
          </w:r>
          <w:r>
            <w:rPr>
              <w:rFonts w:hint="eastAsia" w:ascii="仿宋" w:hAnsi="仿宋" w:eastAsia="仿宋" w:cs="仿宋"/>
              <w:szCs w:val="32"/>
            </w:rPr>
            <w:t>（四）强化资源高效节约利用，提升资源承载能力</w:t>
          </w:r>
          <w:r>
            <w:tab/>
          </w:r>
          <w:r>
            <w:fldChar w:fldCharType="begin"/>
          </w:r>
          <w:r>
            <w:instrText xml:space="preserve"> PAGEREF _Toc21689 \h </w:instrText>
          </w:r>
          <w:r>
            <w:fldChar w:fldCharType="separate"/>
          </w:r>
          <w:r>
            <w:t>37</w:t>
          </w:r>
          <w:r>
            <w:fldChar w:fldCharType="end"/>
          </w:r>
          <w:r>
            <w:rPr>
              <w:rFonts w:hint="eastAsia" w:ascii="仿宋" w:hAnsi="仿宋" w:eastAsia="仿宋" w:cs="仿宋"/>
              <w:bCs/>
              <w:szCs w:val="40"/>
              <w:lang w:val="zh-CN"/>
            </w:rPr>
            <w:fldChar w:fldCharType="end"/>
          </w:r>
        </w:p>
        <w:p w14:paraId="5CC71113">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_Toc27315 </w:instrText>
          </w:r>
          <w:r>
            <w:rPr>
              <w:rFonts w:hint="eastAsia" w:ascii="仿宋" w:hAnsi="仿宋" w:eastAsia="仿宋" w:cs="仿宋"/>
              <w:bCs/>
              <w:szCs w:val="40"/>
              <w:lang w:val="zh-CN"/>
            </w:rPr>
            <w:fldChar w:fldCharType="separate"/>
          </w:r>
          <w:r>
            <w:rPr>
              <w:rFonts w:hint="eastAsia" w:ascii="仿宋" w:hAnsi="仿宋" w:eastAsia="仿宋" w:cs="仿宋"/>
              <w:szCs w:val="32"/>
            </w:rPr>
            <w:t>（五）持续推进美丽乡村建设，提升农村人居环境</w:t>
          </w:r>
          <w:r>
            <w:tab/>
          </w:r>
          <w:r>
            <w:fldChar w:fldCharType="begin"/>
          </w:r>
          <w:r>
            <w:instrText xml:space="preserve"> PAGEREF _Toc27315 \h </w:instrText>
          </w:r>
          <w:r>
            <w:fldChar w:fldCharType="separate"/>
          </w:r>
          <w:r>
            <w:t>40</w:t>
          </w:r>
          <w:r>
            <w:fldChar w:fldCharType="end"/>
          </w:r>
          <w:r>
            <w:rPr>
              <w:rFonts w:hint="eastAsia" w:ascii="仿宋" w:hAnsi="仿宋" w:eastAsia="仿宋" w:cs="仿宋"/>
              <w:bCs/>
              <w:szCs w:val="40"/>
              <w:lang w:val="zh-CN"/>
            </w:rPr>
            <w:fldChar w:fldCharType="end"/>
          </w:r>
        </w:p>
        <w:p w14:paraId="3B1F3AE1">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_Toc25207 </w:instrText>
          </w:r>
          <w:r>
            <w:rPr>
              <w:rFonts w:hint="eastAsia" w:ascii="仿宋" w:hAnsi="仿宋" w:eastAsia="仿宋" w:cs="仿宋"/>
              <w:bCs/>
              <w:szCs w:val="40"/>
              <w:lang w:val="zh-CN"/>
            </w:rPr>
            <w:fldChar w:fldCharType="separate"/>
          </w:r>
          <w:r>
            <w:rPr>
              <w:rFonts w:hint="eastAsia" w:ascii="仿宋" w:hAnsi="仿宋" w:eastAsia="仿宋" w:cs="仿宋"/>
              <w:szCs w:val="32"/>
            </w:rPr>
            <w:t>（六）强化科技赋能与智慧环保，提升监管效能</w:t>
          </w:r>
          <w:r>
            <w:tab/>
          </w:r>
          <w:r>
            <w:fldChar w:fldCharType="begin"/>
          </w:r>
          <w:r>
            <w:instrText xml:space="preserve"> PAGEREF _Toc25207 \h </w:instrText>
          </w:r>
          <w:r>
            <w:fldChar w:fldCharType="separate"/>
          </w:r>
          <w:r>
            <w:t>44</w:t>
          </w:r>
          <w:r>
            <w:fldChar w:fldCharType="end"/>
          </w:r>
          <w:r>
            <w:rPr>
              <w:rFonts w:hint="eastAsia" w:ascii="仿宋" w:hAnsi="仿宋" w:eastAsia="仿宋" w:cs="仿宋"/>
              <w:bCs/>
              <w:szCs w:val="40"/>
              <w:lang w:val="zh-CN"/>
            </w:rPr>
            <w:fldChar w:fldCharType="end"/>
          </w:r>
        </w:p>
        <w:p w14:paraId="10975D42">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_Toc16328 </w:instrText>
          </w:r>
          <w:r>
            <w:rPr>
              <w:rFonts w:hint="eastAsia" w:ascii="仿宋" w:hAnsi="仿宋" w:eastAsia="仿宋" w:cs="仿宋"/>
              <w:bCs/>
              <w:szCs w:val="40"/>
              <w:lang w:val="zh-CN"/>
            </w:rPr>
            <w:fldChar w:fldCharType="separate"/>
          </w:r>
          <w:r>
            <w:rPr>
              <w:rFonts w:hint="eastAsia" w:ascii="仿宋" w:hAnsi="仿宋" w:eastAsia="仿宋" w:cs="仿宋"/>
              <w:szCs w:val="32"/>
            </w:rPr>
            <w:t>（七）健全现代环境治理体系，压实生态环保责任</w:t>
          </w:r>
          <w:r>
            <w:tab/>
          </w:r>
          <w:r>
            <w:fldChar w:fldCharType="begin"/>
          </w:r>
          <w:r>
            <w:instrText xml:space="preserve"> PAGEREF _Toc16328 \h </w:instrText>
          </w:r>
          <w:r>
            <w:fldChar w:fldCharType="separate"/>
          </w:r>
          <w:r>
            <w:t>49</w:t>
          </w:r>
          <w:r>
            <w:fldChar w:fldCharType="end"/>
          </w:r>
          <w:r>
            <w:rPr>
              <w:rFonts w:hint="eastAsia" w:ascii="仿宋" w:hAnsi="仿宋" w:eastAsia="仿宋" w:cs="仿宋"/>
              <w:bCs/>
              <w:szCs w:val="40"/>
              <w:lang w:val="zh-CN"/>
            </w:rPr>
            <w:fldChar w:fldCharType="end"/>
          </w:r>
        </w:p>
        <w:p w14:paraId="59756AB1">
          <w:pPr>
            <w:pStyle w:val="13"/>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_Toc17642 </w:instrText>
          </w:r>
          <w:r>
            <w:rPr>
              <w:rFonts w:hint="eastAsia" w:ascii="仿宋" w:hAnsi="仿宋" w:eastAsia="仿宋" w:cs="仿宋"/>
              <w:bCs/>
              <w:szCs w:val="40"/>
              <w:lang w:val="zh-CN"/>
            </w:rPr>
            <w:fldChar w:fldCharType="separate"/>
          </w:r>
          <w:r>
            <w:rPr>
              <w:rFonts w:hint="eastAsia" w:ascii="仿宋" w:hAnsi="仿宋" w:eastAsia="仿宋" w:cs="仿宋"/>
              <w:szCs w:val="32"/>
            </w:rPr>
            <w:t>四、进度安排</w:t>
          </w:r>
          <w:r>
            <w:tab/>
          </w:r>
          <w:r>
            <w:fldChar w:fldCharType="begin"/>
          </w:r>
          <w:r>
            <w:instrText xml:space="preserve"> PAGEREF _Toc17642 \h </w:instrText>
          </w:r>
          <w:r>
            <w:fldChar w:fldCharType="separate"/>
          </w:r>
          <w:r>
            <w:t>53</w:t>
          </w:r>
          <w:r>
            <w:fldChar w:fldCharType="end"/>
          </w:r>
          <w:r>
            <w:rPr>
              <w:rFonts w:hint="eastAsia" w:ascii="仿宋" w:hAnsi="仿宋" w:eastAsia="仿宋" w:cs="仿宋"/>
              <w:bCs/>
              <w:szCs w:val="40"/>
              <w:lang w:val="zh-CN"/>
            </w:rPr>
            <w:fldChar w:fldCharType="end"/>
          </w:r>
        </w:p>
        <w:p w14:paraId="5FA6F194">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_Toc23922 </w:instrText>
          </w:r>
          <w:r>
            <w:rPr>
              <w:rFonts w:hint="eastAsia" w:ascii="仿宋" w:hAnsi="仿宋" w:eastAsia="仿宋" w:cs="仿宋"/>
              <w:bCs/>
              <w:szCs w:val="40"/>
              <w:lang w:val="zh-CN"/>
            </w:rPr>
            <w:fldChar w:fldCharType="separate"/>
          </w:r>
          <w:r>
            <w:rPr>
              <w:rFonts w:hint="eastAsia" w:ascii="仿宋" w:hAnsi="仿宋" w:eastAsia="仿宋" w:cs="仿宋"/>
              <w:szCs w:val="32"/>
            </w:rPr>
            <w:t>（一）启动部署阶段（2026年4月—2026年12月）</w:t>
          </w:r>
          <w:r>
            <w:tab/>
          </w:r>
          <w:r>
            <w:fldChar w:fldCharType="begin"/>
          </w:r>
          <w:r>
            <w:instrText xml:space="preserve"> PAGEREF _Toc23922 \h </w:instrText>
          </w:r>
          <w:r>
            <w:fldChar w:fldCharType="separate"/>
          </w:r>
          <w:r>
            <w:t>53</w:t>
          </w:r>
          <w:r>
            <w:fldChar w:fldCharType="end"/>
          </w:r>
          <w:r>
            <w:rPr>
              <w:rFonts w:hint="eastAsia" w:ascii="仿宋" w:hAnsi="仿宋" w:eastAsia="仿宋" w:cs="仿宋"/>
              <w:bCs/>
              <w:szCs w:val="40"/>
              <w:lang w:val="zh-CN"/>
            </w:rPr>
            <w:fldChar w:fldCharType="end"/>
          </w:r>
        </w:p>
        <w:p w14:paraId="0DEA9520">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_Toc24193 </w:instrText>
          </w:r>
          <w:r>
            <w:rPr>
              <w:rFonts w:hint="eastAsia" w:ascii="仿宋" w:hAnsi="仿宋" w:eastAsia="仿宋" w:cs="仿宋"/>
              <w:bCs/>
              <w:szCs w:val="40"/>
              <w:lang w:val="zh-CN"/>
            </w:rPr>
            <w:fldChar w:fldCharType="separate"/>
          </w:r>
          <w:r>
            <w:rPr>
              <w:rFonts w:hint="eastAsia" w:ascii="仿宋" w:hAnsi="仿宋" w:eastAsia="仿宋" w:cs="仿宋"/>
              <w:szCs w:val="32"/>
            </w:rPr>
            <w:t>（二）全面推进阶段（2027年1月—2029年12月）</w:t>
          </w:r>
          <w:r>
            <w:tab/>
          </w:r>
          <w:r>
            <w:fldChar w:fldCharType="begin"/>
          </w:r>
          <w:r>
            <w:instrText xml:space="preserve"> PAGEREF _Toc24193 \h </w:instrText>
          </w:r>
          <w:r>
            <w:fldChar w:fldCharType="separate"/>
          </w:r>
          <w:r>
            <w:t>53</w:t>
          </w:r>
          <w:r>
            <w:fldChar w:fldCharType="end"/>
          </w:r>
          <w:r>
            <w:rPr>
              <w:rFonts w:hint="eastAsia" w:ascii="仿宋" w:hAnsi="仿宋" w:eastAsia="仿宋" w:cs="仿宋"/>
              <w:bCs/>
              <w:szCs w:val="40"/>
              <w:lang w:val="zh-CN"/>
            </w:rPr>
            <w:fldChar w:fldCharType="end"/>
          </w:r>
        </w:p>
        <w:p w14:paraId="03020F74">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_Toc29712 </w:instrText>
          </w:r>
          <w:r>
            <w:rPr>
              <w:rFonts w:hint="eastAsia" w:ascii="仿宋" w:hAnsi="仿宋" w:eastAsia="仿宋" w:cs="仿宋"/>
              <w:bCs/>
              <w:szCs w:val="40"/>
              <w:lang w:val="zh-CN"/>
            </w:rPr>
            <w:fldChar w:fldCharType="separate"/>
          </w:r>
          <w:r>
            <w:rPr>
              <w:rFonts w:hint="eastAsia" w:ascii="仿宋" w:hAnsi="仿宋" w:eastAsia="仿宋" w:cs="仿宋"/>
              <w:szCs w:val="32"/>
            </w:rPr>
            <w:t>（三）巩固提升阶段（2030年1月—2030年12月）</w:t>
          </w:r>
          <w:r>
            <w:tab/>
          </w:r>
          <w:r>
            <w:fldChar w:fldCharType="begin"/>
          </w:r>
          <w:r>
            <w:instrText xml:space="preserve"> PAGEREF _Toc29712 \h </w:instrText>
          </w:r>
          <w:r>
            <w:fldChar w:fldCharType="separate"/>
          </w:r>
          <w:r>
            <w:t>54</w:t>
          </w:r>
          <w:r>
            <w:fldChar w:fldCharType="end"/>
          </w:r>
          <w:r>
            <w:rPr>
              <w:rFonts w:hint="eastAsia" w:ascii="仿宋" w:hAnsi="仿宋" w:eastAsia="仿宋" w:cs="仿宋"/>
              <w:bCs/>
              <w:szCs w:val="40"/>
              <w:lang w:val="zh-CN"/>
            </w:rPr>
            <w:fldChar w:fldCharType="end"/>
          </w:r>
        </w:p>
        <w:p w14:paraId="47BB8B51">
          <w:pPr>
            <w:pStyle w:val="13"/>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_Toc16157 </w:instrText>
          </w:r>
          <w:r>
            <w:rPr>
              <w:rFonts w:hint="eastAsia" w:ascii="仿宋" w:hAnsi="仿宋" w:eastAsia="仿宋" w:cs="仿宋"/>
              <w:bCs/>
              <w:szCs w:val="40"/>
              <w:lang w:val="zh-CN"/>
            </w:rPr>
            <w:fldChar w:fldCharType="separate"/>
          </w:r>
          <w:r>
            <w:rPr>
              <w:rFonts w:hint="eastAsia" w:ascii="仿宋" w:hAnsi="仿宋" w:eastAsia="仿宋" w:cs="仿宋"/>
              <w:szCs w:val="32"/>
            </w:rPr>
            <w:t>五、保障措施</w:t>
          </w:r>
          <w:r>
            <w:tab/>
          </w:r>
          <w:r>
            <w:fldChar w:fldCharType="begin"/>
          </w:r>
          <w:r>
            <w:instrText xml:space="preserve"> PAGEREF _Toc16157 \h </w:instrText>
          </w:r>
          <w:r>
            <w:fldChar w:fldCharType="separate"/>
          </w:r>
          <w:r>
            <w:t>54</w:t>
          </w:r>
          <w:r>
            <w:fldChar w:fldCharType="end"/>
          </w:r>
          <w:r>
            <w:rPr>
              <w:rFonts w:hint="eastAsia" w:ascii="仿宋" w:hAnsi="仿宋" w:eastAsia="仿宋" w:cs="仿宋"/>
              <w:bCs/>
              <w:szCs w:val="40"/>
              <w:lang w:val="zh-CN"/>
            </w:rPr>
            <w:fldChar w:fldCharType="end"/>
          </w:r>
        </w:p>
        <w:p w14:paraId="3813D7D6">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_Toc30970 </w:instrText>
          </w:r>
          <w:r>
            <w:rPr>
              <w:rFonts w:hint="eastAsia" w:ascii="仿宋" w:hAnsi="仿宋" w:eastAsia="仿宋" w:cs="仿宋"/>
              <w:bCs/>
              <w:szCs w:val="40"/>
              <w:lang w:val="zh-CN"/>
            </w:rPr>
            <w:fldChar w:fldCharType="separate"/>
          </w:r>
          <w:r>
            <w:rPr>
              <w:rFonts w:hint="eastAsia" w:ascii="仿宋" w:hAnsi="仿宋" w:eastAsia="仿宋" w:cs="仿宋"/>
              <w:szCs w:val="32"/>
            </w:rPr>
            <w:t>（一）组织保障</w:t>
          </w:r>
          <w:r>
            <w:tab/>
          </w:r>
          <w:r>
            <w:fldChar w:fldCharType="begin"/>
          </w:r>
          <w:r>
            <w:instrText xml:space="preserve"> PAGEREF _Toc30970 \h </w:instrText>
          </w:r>
          <w:r>
            <w:fldChar w:fldCharType="separate"/>
          </w:r>
          <w:r>
            <w:t>54</w:t>
          </w:r>
          <w:r>
            <w:fldChar w:fldCharType="end"/>
          </w:r>
          <w:r>
            <w:rPr>
              <w:rFonts w:hint="eastAsia" w:ascii="仿宋" w:hAnsi="仿宋" w:eastAsia="仿宋" w:cs="仿宋"/>
              <w:bCs/>
              <w:szCs w:val="40"/>
              <w:lang w:val="zh-CN"/>
            </w:rPr>
            <w:fldChar w:fldCharType="end"/>
          </w:r>
        </w:p>
        <w:p w14:paraId="4875BBB3">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_Toc32713 </w:instrText>
          </w:r>
          <w:r>
            <w:rPr>
              <w:rFonts w:hint="eastAsia" w:ascii="仿宋" w:hAnsi="仿宋" w:eastAsia="仿宋" w:cs="仿宋"/>
              <w:bCs/>
              <w:szCs w:val="40"/>
              <w:lang w:val="zh-CN"/>
            </w:rPr>
            <w:fldChar w:fldCharType="separate"/>
          </w:r>
          <w:r>
            <w:rPr>
              <w:rFonts w:hint="eastAsia" w:ascii="仿宋" w:hAnsi="仿宋" w:eastAsia="仿宋" w:cs="仿宋"/>
              <w:szCs w:val="32"/>
            </w:rPr>
            <w:t>（二）制度保障</w:t>
          </w:r>
          <w:r>
            <w:tab/>
          </w:r>
          <w:r>
            <w:fldChar w:fldCharType="begin"/>
          </w:r>
          <w:r>
            <w:instrText xml:space="preserve"> PAGEREF _Toc32713 \h </w:instrText>
          </w:r>
          <w:r>
            <w:fldChar w:fldCharType="separate"/>
          </w:r>
          <w:r>
            <w:t>55</w:t>
          </w:r>
          <w:r>
            <w:fldChar w:fldCharType="end"/>
          </w:r>
          <w:r>
            <w:rPr>
              <w:rFonts w:hint="eastAsia" w:ascii="仿宋" w:hAnsi="仿宋" w:eastAsia="仿宋" w:cs="仿宋"/>
              <w:bCs/>
              <w:szCs w:val="40"/>
              <w:lang w:val="zh-CN"/>
            </w:rPr>
            <w:fldChar w:fldCharType="end"/>
          </w:r>
        </w:p>
        <w:p w14:paraId="6295597D">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_Toc32212 </w:instrText>
          </w:r>
          <w:r>
            <w:rPr>
              <w:rFonts w:hint="eastAsia" w:ascii="仿宋" w:hAnsi="仿宋" w:eastAsia="仿宋" w:cs="仿宋"/>
              <w:bCs/>
              <w:szCs w:val="40"/>
              <w:lang w:val="zh-CN"/>
            </w:rPr>
            <w:fldChar w:fldCharType="separate"/>
          </w:r>
          <w:r>
            <w:rPr>
              <w:rFonts w:hint="eastAsia" w:ascii="仿宋" w:hAnsi="仿宋" w:eastAsia="仿宋" w:cs="仿宋"/>
              <w:szCs w:val="32"/>
            </w:rPr>
            <w:t>（三）资金保障</w:t>
          </w:r>
          <w:r>
            <w:tab/>
          </w:r>
          <w:r>
            <w:fldChar w:fldCharType="begin"/>
          </w:r>
          <w:r>
            <w:instrText xml:space="preserve"> PAGEREF _Toc32212 \h </w:instrText>
          </w:r>
          <w:r>
            <w:fldChar w:fldCharType="separate"/>
          </w:r>
          <w:r>
            <w:t>55</w:t>
          </w:r>
          <w:r>
            <w:fldChar w:fldCharType="end"/>
          </w:r>
          <w:r>
            <w:rPr>
              <w:rFonts w:hint="eastAsia" w:ascii="仿宋" w:hAnsi="仿宋" w:eastAsia="仿宋" w:cs="仿宋"/>
              <w:bCs/>
              <w:szCs w:val="40"/>
              <w:lang w:val="zh-CN"/>
            </w:rPr>
            <w:fldChar w:fldCharType="end"/>
          </w:r>
        </w:p>
        <w:p w14:paraId="6A92AC99">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_Toc32061 </w:instrText>
          </w:r>
          <w:r>
            <w:rPr>
              <w:rFonts w:hint="eastAsia" w:ascii="仿宋" w:hAnsi="仿宋" w:eastAsia="仿宋" w:cs="仿宋"/>
              <w:bCs/>
              <w:szCs w:val="40"/>
              <w:lang w:val="zh-CN"/>
            </w:rPr>
            <w:fldChar w:fldCharType="separate"/>
          </w:r>
          <w:r>
            <w:rPr>
              <w:rFonts w:hint="eastAsia" w:ascii="仿宋" w:hAnsi="仿宋" w:eastAsia="仿宋" w:cs="仿宋"/>
              <w:szCs w:val="32"/>
            </w:rPr>
            <w:t>（四）人才保障</w:t>
          </w:r>
          <w:r>
            <w:tab/>
          </w:r>
          <w:r>
            <w:fldChar w:fldCharType="begin"/>
          </w:r>
          <w:r>
            <w:instrText xml:space="preserve"> PAGEREF _Toc32061 \h </w:instrText>
          </w:r>
          <w:r>
            <w:fldChar w:fldCharType="separate"/>
          </w:r>
          <w:r>
            <w:t>56</w:t>
          </w:r>
          <w:r>
            <w:fldChar w:fldCharType="end"/>
          </w:r>
          <w:r>
            <w:rPr>
              <w:rFonts w:hint="eastAsia" w:ascii="仿宋" w:hAnsi="仿宋" w:eastAsia="仿宋" w:cs="仿宋"/>
              <w:bCs/>
              <w:szCs w:val="40"/>
              <w:lang w:val="zh-CN"/>
            </w:rPr>
            <w:fldChar w:fldCharType="end"/>
          </w:r>
        </w:p>
        <w:p w14:paraId="3C5B231A">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_Toc16277 </w:instrText>
          </w:r>
          <w:r>
            <w:rPr>
              <w:rFonts w:hint="eastAsia" w:ascii="仿宋" w:hAnsi="仿宋" w:eastAsia="仿宋" w:cs="仿宋"/>
              <w:bCs/>
              <w:szCs w:val="40"/>
              <w:lang w:val="zh-CN"/>
            </w:rPr>
            <w:fldChar w:fldCharType="separate"/>
          </w:r>
          <w:r>
            <w:rPr>
              <w:rFonts w:hint="eastAsia" w:ascii="仿宋" w:hAnsi="仿宋" w:eastAsia="仿宋" w:cs="仿宋"/>
              <w:szCs w:val="32"/>
            </w:rPr>
            <w:t>（五）技术保障</w:t>
          </w:r>
          <w:r>
            <w:tab/>
          </w:r>
          <w:r>
            <w:fldChar w:fldCharType="begin"/>
          </w:r>
          <w:r>
            <w:instrText xml:space="preserve"> PAGEREF _Toc16277 \h </w:instrText>
          </w:r>
          <w:r>
            <w:fldChar w:fldCharType="separate"/>
          </w:r>
          <w:r>
            <w:t>56</w:t>
          </w:r>
          <w:r>
            <w:fldChar w:fldCharType="end"/>
          </w:r>
          <w:r>
            <w:rPr>
              <w:rFonts w:hint="eastAsia" w:ascii="仿宋" w:hAnsi="仿宋" w:eastAsia="仿宋" w:cs="仿宋"/>
              <w:bCs/>
              <w:szCs w:val="40"/>
              <w:lang w:val="zh-CN"/>
            </w:rPr>
            <w:fldChar w:fldCharType="end"/>
          </w:r>
        </w:p>
        <w:p w14:paraId="7C96542B">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_Toc28482 </w:instrText>
          </w:r>
          <w:r>
            <w:rPr>
              <w:rFonts w:hint="eastAsia" w:ascii="仿宋" w:hAnsi="仿宋" w:eastAsia="仿宋" w:cs="仿宋"/>
              <w:bCs/>
              <w:szCs w:val="40"/>
              <w:lang w:val="zh-CN"/>
            </w:rPr>
            <w:fldChar w:fldCharType="separate"/>
          </w:r>
          <w:r>
            <w:rPr>
              <w:rFonts w:hint="eastAsia" w:ascii="仿宋" w:hAnsi="仿宋" w:eastAsia="仿宋" w:cs="仿宋"/>
              <w:szCs w:val="32"/>
              <w:highlight w:val="none"/>
            </w:rPr>
            <w:t>（六）宣传保障</w:t>
          </w:r>
          <w:r>
            <w:tab/>
          </w:r>
          <w:r>
            <w:fldChar w:fldCharType="begin"/>
          </w:r>
          <w:r>
            <w:instrText xml:space="preserve"> PAGEREF _Toc28482 \h </w:instrText>
          </w:r>
          <w:r>
            <w:fldChar w:fldCharType="separate"/>
          </w:r>
          <w:r>
            <w:t>57</w:t>
          </w:r>
          <w:r>
            <w:fldChar w:fldCharType="end"/>
          </w:r>
          <w:r>
            <w:rPr>
              <w:rFonts w:hint="eastAsia" w:ascii="仿宋" w:hAnsi="仿宋" w:eastAsia="仿宋" w:cs="仿宋"/>
              <w:bCs/>
              <w:szCs w:val="40"/>
              <w:lang w:val="zh-CN"/>
            </w:rPr>
            <w:fldChar w:fldCharType="end"/>
          </w:r>
        </w:p>
        <w:p w14:paraId="498B74AD">
          <w:pPr>
            <w:pStyle w:val="13"/>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_Toc4811 </w:instrText>
          </w:r>
          <w:r>
            <w:rPr>
              <w:rFonts w:hint="eastAsia" w:ascii="仿宋" w:hAnsi="仿宋" w:eastAsia="仿宋" w:cs="仿宋"/>
              <w:bCs/>
              <w:szCs w:val="40"/>
              <w:lang w:val="zh-CN"/>
            </w:rPr>
            <w:fldChar w:fldCharType="separate"/>
          </w:r>
          <w:r>
            <w:rPr>
              <w:rFonts w:hint="eastAsia" w:ascii="仿宋" w:hAnsi="仿宋" w:eastAsia="仿宋" w:cs="仿宋"/>
              <w:szCs w:val="32"/>
              <w:highlight w:val="none"/>
            </w:rPr>
            <w:t>附件</w:t>
          </w:r>
          <w:r>
            <w:tab/>
          </w:r>
          <w:r>
            <w:fldChar w:fldCharType="begin"/>
          </w:r>
          <w:r>
            <w:instrText xml:space="preserve"> PAGEREF _Toc4811 \h </w:instrText>
          </w:r>
          <w:r>
            <w:fldChar w:fldCharType="separate"/>
          </w:r>
          <w:r>
            <w:t>57</w:t>
          </w:r>
          <w:r>
            <w:fldChar w:fldCharType="end"/>
          </w:r>
          <w:r>
            <w:rPr>
              <w:rFonts w:hint="eastAsia" w:ascii="仿宋" w:hAnsi="仿宋" w:eastAsia="仿宋" w:cs="仿宋"/>
              <w:bCs/>
              <w:szCs w:val="40"/>
              <w:lang w:val="zh-CN"/>
            </w:rPr>
            <w:fldChar w:fldCharType="end"/>
          </w:r>
        </w:p>
        <w:p w14:paraId="46D1E049">
          <w:pPr>
            <w:pStyle w:val="14"/>
            <w:tabs>
              <w:tab w:val="right" w:leader="dot" w:pos="8306"/>
              <w:tab w:val="clear" w:pos="8296"/>
            </w:tabs>
          </w:pPr>
          <w:r>
            <w:rPr>
              <w:rFonts w:hint="eastAsia" w:ascii="仿宋" w:hAnsi="仿宋" w:eastAsia="仿宋" w:cs="仿宋"/>
              <w:bCs/>
              <w:szCs w:val="40"/>
              <w:lang w:val="zh-CN"/>
            </w:rPr>
            <w:fldChar w:fldCharType="begin"/>
          </w:r>
          <w:r>
            <w:rPr>
              <w:rFonts w:hint="eastAsia" w:ascii="仿宋" w:hAnsi="仿宋" w:eastAsia="仿宋" w:cs="仿宋"/>
              <w:bCs/>
              <w:szCs w:val="40"/>
              <w:lang w:val="zh-CN"/>
            </w:rPr>
            <w:instrText xml:space="preserve"> HYPERLINK \l _Toc16085 </w:instrText>
          </w:r>
          <w:r>
            <w:rPr>
              <w:rFonts w:hint="eastAsia" w:ascii="仿宋" w:hAnsi="仿宋" w:eastAsia="仿宋" w:cs="仿宋"/>
              <w:bCs/>
              <w:szCs w:val="40"/>
              <w:lang w:val="zh-CN"/>
            </w:rPr>
            <w:fldChar w:fldCharType="separate"/>
          </w:r>
          <w:r>
            <w:rPr>
              <w:rFonts w:hint="eastAsia" w:ascii="var(--dsw-font-markdown-table-h" w:hAnsi="var(--dsw-font-markdown-table-h" w:eastAsia="var(--dsw-font-markdown-table-h" w:cs="var(--dsw-font-markdown-table-h"/>
              <w:bCs/>
              <w:kern w:val="0"/>
              <w:highlight w:val="none"/>
              <w:lang w:bidi="ar"/>
            </w:rPr>
            <w:t>《巴里坤县重点管控新污染物清单》</w:t>
          </w:r>
          <w:r>
            <w:tab/>
          </w:r>
          <w:r>
            <w:fldChar w:fldCharType="begin"/>
          </w:r>
          <w:r>
            <w:instrText xml:space="preserve"> PAGEREF _Toc16085 \h </w:instrText>
          </w:r>
          <w:r>
            <w:fldChar w:fldCharType="separate"/>
          </w:r>
          <w:r>
            <w:t>58</w:t>
          </w:r>
          <w:r>
            <w:fldChar w:fldCharType="end"/>
          </w:r>
          <w:r>
            <w:rPr>
              <w:rFonts w:hint="eastAsia" w:ascii="仿宋" w:hAnsi="仿宋" w:eastAsia="仿宋" w:cs="仿宋"/>
              <w:bCs/>
              <w:szCs w:val="40"/>
              <w:lang w:val="zh-CN"/>
            </w:rPr>
            <w:fldChar w:fldCharType="end"/>
          </w:r>
        </w:p>
        <w:p w14:paraId="0B5ABEF3">
          <w:r>
            <w:rPr>
              <w:rFonts w:hint="eastAsia" w:ascii="仿宋" w:hAnsi="仿宋" w:eastAsia="仿宋" w:cs="仿宋"/>
              <w:bCs/>
              <w:szCs w:val="40"/>
              <w:lang w:val="zh-CN"/>
            </w:rPr>
            <w:fldChar w:fldCharType="end"/>
          </w:r>
        </w:p>
      </w:sdtContent>
    </w:sdt>
    <w:p w14:paraId="6A8C58B6">
      <w:pPr>
        <w:widowControl/>
        <w:jc w:val="left"/>
        <w:rPr>
          <w:rFonts w:ascii="Times New Roman" w:hAnsi="Times New Roman" w:eastAsia="黑体" w:cs="Times New Roman"/>
          <w:bCs/>
          <w:kern w:val="44"/>
          <w:sz w:val="32"/>
          <w:szCs w:val="32"/>
          <w14:ligatures w14:val="none"/>
        </w:rPr>
      </w:pPr>
    </w:p>
    <w:p w14:paraId="5EEBD11C">
      <w:pPr>
        <w:widowControl/>
        <w:jc w:val="left"/>
        <w:rPr>
          <w:rFonts w:ascii="Times New Roman" w:hAnsi="Times New Roman" w:eastAsia="黑体" w:cs="Times New Roman"/>
          <w:bCs/>
          <w:kern w:val="44"/>
          <w:sz w:val="32"/>
          <w:szCs w:val="32"/>
          <w14:ligatures w14:val="none"/>
        </w:rPr>
      </w:pPr>
    </w:p>
    <w:p w14:paraId="07669AAC">
      <w:pPr>
        <w:widowControl/>
        <w:jc w:val="left"/>
        <w:rPr>
          <w:rFonts w:ascii="Times New Roman" w:hAnsi="Times New Roman" w:eastAsia="黑体" w:cs="Times New Roman"/>
          <w:bCs/>
          <w:kern w:val="44"/>
          <w:sz w:val="32"/>
          <w:szCs w:val="32"/>
          <w14:ligatures w14:val="none"/>
        </w:rPr>
      </w:pPr>
    </w:p>
    <w:p w14:paraId="21E43F3E">
      <w:pPr>
        <w:widowControl/>
        <w:jc w:val="left"/>
        <w:rPr>
          <w:rFonts w:ascii="Times New Roman" w:hAnsi="Times New Roman" w:eastAsia="黑体" w:cs="Times New Roman"/>
          <w:bCs/>
          <w:kern w:val="44"/>
          <w:sz w:val="32"/>
          <w:szCs w:val="32"/>
          <w14:ligatures w14:val="none"/>
        </w:rPr>
      </w:pPr>
    </w:p>
    <w:p w14:paraId="5FFF7BE9">
      <w:pPr>
        <w:widowControl/>
        <w:jc w:val="left"/>
        <w:rPr>
          <w:rFonts w:ascii="Times New Roman" w:hAnsi="Times New Roman" w:eastAsia="黑体" w:cs="Times New Roman"/>
          <w:bCs/>
          <w:kern w:val="44"/>
          <w:sz w:val="32"/>
          <w:szCs w:val="32"/>
          <w14:ligatures w14:val="none"/>
        </w:rPr>
        <w:sectPr>
          <w:footerReference r:id="rId8" w:type="default"/>
          <w:pgSz w:w="11906" w:h="16838"/>
          <w:pgMar w:top="1440" w:right="1800" w:bottom="1440" w:left="1800" w:header="851" w:footer="992" w:gutter="0"/>
          <w:pgNumType w:fmt="upperRoman"/>
          <w:cols w:space="425" w:num="1"/>
          <w:docGrid w:type="lines" w:linePitch="312" w:charSpace="0"/>
        </w:sectPr>
      </w:pPr>
    </w:p>
    <w:p w14:paraId="62726487">
      <w:pPr>
        <w:pStyle w:val="38"/>
        <w:pageBreakBefore w:val="0"/>
        <w:widowControl w:val="0"/>
        <w:kinsoku/>
        <w:wordWrap/>
        <w:overflowPunct/>
        <w:topLinePunct w:val="0"/>
        <w:autoSpaceDE/>
        <w:autoSpaceDN/>
        <w:bidi w:val="0"/>
        <w:adjustRightInd/>
        <w:snapToGrid/>
        <w:spacing w:before="120" w:beforeAutospacing="0" w:after="120" w:afterAutospacing="0" w:line="560" w:lineRule="exact"/>
        <w:ind w:firstLine="643"/>
        <w:jc w:val="both"/>
        <w:textAlignment w:val="auto"/>
        <w:rPr>
          <w:rFonts w:hint="default" w:ascii="Times New Roman" w:hAnsi="Times New Roman"/>
        </w:rPr>
      </w:pPr>
      <w:bookmarkStart w:id="0" w:name="_Toc20539"/>
      <w:r>
        <w:rPr>
          <w:rFonts w:ascii="Times New Roman" w:hAnsi="Times New Roman"/>
        </w:rPr>
        <w:t>一、总体要求</w:t>
      </w:r>
      <w:bookmarkEnd w:id="0"/>
    </w:p>
    <w:p w14:paraId="28509F65">
      <w:pPr>
        <w:pageBreakBefore w:val="0"/>
        <w:widowControl w:val="0"/>
        <w:kinsoku/>
        <w:wordWrap/>
        <w:overflowPunct/>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以习近平新时代中国特色社会主义思想为指导，全面贯彻落实党的二十大和二十届二中、三中、四中全会精神，深入学习贯彻习近平生态文明思想和习近平总书记关于新疆工作的重要讲话重要指示批示精神，完整准确</w:t>
      </w:r>
      <w:r>
        <w:rPr>
          <w:rFonts w:hint="eastAsia" w:ascii="仿宋" w:hAnsi="仿宋" w:eastAsia="仿宋" w:cs="仿宋"/>
          <w:sz w:val="32"/>
          <w:szCs w:val="32"/>
          <w:lang w:val="en-US" w:eastAsia="zh-CN"/>
        </w:rPr>
        <w:t>全面</w:t>
      </w:r>
      <w:r>
        <w:rPr>
          <w:rFonts w:hint="eastAsia" w:ascii="仿宋" w:hAnsi="仿宋" w:eastAsia="仿宋" w:cs="仿宋"/>
          <w:sz w:val="32"/>
          <w:szCs w:val="32"/>
        </w:rPr>
        <w:t>贯彻新时代党的治疆方略，牢牢扭住社会稳定和长治久安总目标，立足</w:t>
      </w:r>
      <w:r>
        <w:rPr>
          <w:rFonts w:hint="eastAsia" w:ascii="仿宋" w:hAnsi="仿宋" w:eastAsia="仿宋" w:cs="仿宋"/>
          <w:sz w:val="32"/>
          <w:szCs w:val="32"/>
          <w:lang w:eastAsia="zh-CN"/>
        </w:rPr>
        <w:t>巴里坤县</w:t>
      </w:r>
      <w:r>
        <w:rPr>
          <w:rFonts w:hint="eastAsia" w:ascii="仿宋" w:hAnsi="仿宋" w:eastAsia="仿宋" w:cs="仿宋"/>
          <w:sz w:val="32"/>
          <w:szCs w:val="32"/>
        </w:rPr>
        <w:t>能源资源禀赋和“国家级现代综合能源产业化示范基地核心区”“丝绸之路经济带核心区北通道重要节点”的战略定位，结合县域“山地、草原、湿地、荒漠”多元生态格局和“农业、牧业、能源产业”协同发展特点，以筑牢东疆生态安全屏障为根本，以改善生态环境质量为核心，以减污降碳协同增效为总抓手，统筹污染治理、生态保护、应对气候变化，强化源头治理、系统治理、综合治理，精准科学依法治污，着力解决突出生态环境问题，推动生态环境治理体系和治理能力现代化，实现生态保护与经济社会高质量发展协同共进，奋力建设天更蓝、山更绿、水更清、空气更清新的美丽巴里坤。</w:t>
      </w:r>
    </w:p>
    <w:p w14:paraId="55960186">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3" w:firstLineChars="200"/>
        <w:jc w:val="both"/>
        <w:textAlignment w:val="auto"/>
        <w:outlineLvl w:val="1"/>
        <w:rPr>
          <w:rFonts w:hint="eastAsia" w:ascii="仿宋" w:hAnsi="仿宋" w:eastAsia="仿宋" w:cs="仿宋"/>
          <w:b/>
          <w:bCs/>
          <w:sz w:val="32"/>
          <w:szCs w:val="32"/>
        </w:rPr>
      </w:pPr>
      <w:bookmarkStart w:id="1" w:name="_Toc25776"/>
      <w:r>
        <w:rPr>
          <w:rFonts w:hint="eastAsia" w:ascii="仿宋" w:hAnsi="仿宋" w:eastAsia="仿宋" w:cs="仿宋"/>
          <w:b/>
          <w:bCs/>
          <w:sz w:val="32"/>
          <w:szCs w:val="32"/>
        </w:rPr>
        <w:t>（一）指导思想</w:t>
      </w:r>
      <w:bookmarkEnd w:id="1"/>
    </w:p>
    <w:p w14:paraId="6B356B41">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坚持以习近平生态文明思想为根本遵循，全面贯彻党中央、国务院关于生态环境保护的重大决策部署和自治区、哈密市工作要求，立足</w:t>
      </w:r>
      <w:r>
        <w:rPr>
          <w:rFonts w:hint="eastAsia" w:ascii="仿宋" w:hAnsi="仿宋" w:eastAsia="仿宋" w:cs="仿宋"/>
          <w:sz w:val="32"/>
          <w:szCs w:val="32"/>
          <w:lang w:eastAsia="zh-CN"/>
        </w:rPr>
        <w:t>巴里坤哈萨克自治县</w:t>
      </w:r>
      <w:r>
        <w:rPr>
          <w:rFonts w:hint="eastAsia" w:ascii="仿宋" w:hAnsi="仿宋" w:eastAsia="仿宋" w:cs="仿宋"/>
          <w:sz w:val="32"/>
          <w:szCs w:val="32"/>
        </w:rPr>
        <w:t>生态功能定位和发展实际，坚守生态保护底线、红线、生命线，统筹推进“五位一体”总体布局，协调推进“四个全面”战略布局，把生态文明建设融入经济建设、政治建设、文化建设、社会建设各方面和全过程，以高质量生态环境保护支撑高质量发展，为建设人与自然和谐共生的现代化巴里坤奠定坚实基础。</w:t>
      </w:r>
    </w:p>
    <w:p w14:paraId="4D62E7D4">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3" w:firstLineChars="200"/>
        <w:jc w:val="both"/>
        <w:textAlignment w:val="auto"/>
        <w:outlineLvl w:val="1"/>
        <w:rPr>
          <w:rFonts w:hint="eastAsia" w:ascii="仿宋" w:hAnsi="仿宋" w:eastAsia="仿宋" w:cs="仿宋"/>
          <w:b/>
          <w:bCs/>
          <w:sz w:val="32"/>
          <w:szCs w:val="32"/>
        </w:rPr>
      </w:pPr>
      <w:bookmarkStart w:id="2" w:name="_Toc4753"/>
      <w:r>
        <w:rPr>
          <w:rFonts w:hint="eastAsia" w:ascii="仿宋" w:hAnsi="仿宋" w:eastAsia="仿宋" w:cs="仿宋"/>
          <w:b/>
          <w:bCs/>
          <w:sz w:val="32"/>
          <w:szCs w:val="32"/>
        </w:rPr>
        <w:t>（二）基本原则</w:t>
      </w:r>
      <w:bookmarkEnd w:id="2"/>
    </w:p>
    <w:p w14:paraId="41B50805">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坚持生态优先、绿色发展</w:t>
      </w:r>
      <w:r>
        <w:rPr>
          <w:rFonts w:hint="eastAsia" w:ascii="仿宋" w:hAnsi="仿宋" w:eastAsia="仿宋" w:cs="仿宋"/>
          <w:sz w:val="32"/>
          <w:szCs w:val="32"/>
        </w:rPr>
        <w:t>。始终把生态环境保护放在优先位置，统筹生态保护与经济发展，推动产业结构优化升级，推广绿色生产生活方式，实现生态效益、经济效益、社会效益同步提升。</w:t>
      </w:r>
    </w:p>
    <w:p w14:paraId="6411922B">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2.坚持问题导向，精准施策。聚焦县域大气、水、土壤、固体废物等突出生态环境问题，精准排查污染源、精准制定治理措施、精准落实治理责任，确保问题整改见底见效。</w:t>
      </w:r>
    </w:p>
    <w:p w14:paraId="775CBB88">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3.坚持系统观念，统筹推进。统筹山水林田湖草沙冰一体化保护和系统治理，统筹污染治理与生态修复，统筹城乡生态环境保护，统筹区域协同治理，提升生态系统稳定性和可持续性。</w:t>
      </w:r>
    </w:p>
    <w:p w14:paraId="3852F013">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4.坚持依法治理，从严管控。严格执</w:t>
      </w:r>
      <w:r>
        <w:rPr>
          <w:rFonts w:hint="eastAsia" w:ascii="仿宋" w:hAnsi="仿宋" w:eastAsia="仿宋" w:cs="仿宋"/>
          <w:sz w:val="32"/>
          <w:szCs w:val="32"/>
          <w:highlight w:val="none"/>
        </w:rPr>
        <w:t>行生态环境保护法</w:t>
      </w:r>
      <w:r>
        <w:rPr>
          <w:rFonts w:hint="eastAsia" w:ascii="仿宋" w:hAnsi="仿宋" w:eastAsia="仿宋" w:cs="仿宋"/>
          <w:sz w:val="32"/>
          <w:szCs w:val="32"/>
        </w:rPr>
        <w:t>律法规和标准，健全生态环境监管体系，强化执法监管，严厉打击生态环境违法违规行为，确保生态环境保护各项工作依法推进。</w:t>
      </w:r>
    </w:p>
    <w:p w14:paraId="5D380196">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5.坚持政府主导，多元共治。强化政府主体责任，明确部门职责分工，引导企业履行主体责任，鼓励公众参与生态环境保护，形成政府、企业、社会组织、公众协同共治的良好格局。</w:t>
      </w:r>
    </w:p>
    <w:p w14:paraId="0807822F">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3" w:firstLineChars="200"/>
        <w:jc w:val="both"/>
        <w:textAlignment w:val="auto"/>
        <w:outlineLvl w:val="1"/>
        <w:rPr>
          <w:rFonts w:hint="eastAsia" w:ascii="仿宋" w:hAnsi="仿宋" w:eastAsia="仿宋" w:cs="仿宋"/>
          <w:b/>
          <w:bCs/>
          <w:sz w:val="32"/>
          <w:szCs w:val="32"/>
        </w:rPr>
      </w:pPr>
      <w:bookmarkStart w:id="3" w:name="_Toc10850"/>
      <w:r>
        <w:rPr>
          <w:rFonts w:hint="eastAsia" w:ascii="仿宋" w:hAnsi="仿宋" w:eastAsia="仿宋" w:cs="仿宋"/>
          <w:b/>
          <w:bCs/>
          <w:sz w:val="32"/>
          <w:szCs w:val="32"/>
        </w:rPr>
        <w:t>（三）战略定位</w:t>
      </w:r>
      <w:bookmarkEnd w:id="3"/>
    </w:p>
    <w:p w14:paraId="4B458A45">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1.东疆生态安全屏障核心区。立足县域“山地、草原、湿地、荒漠”多元生态格局，强化生态保护修复，筑牢东疆生态安全底线，保障区域生态安全。</w:t>
      </w:r>
    </w:p>
    <w:p w14:paraId="1F5428DC">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eastAsiaTheme="minorEastAsia"/>
          <w:lang w:eastAsia="zh-CN"/>
        </w:rPr>
      </w:pPr>
      <w:r>
        <w:rPr>
          <w:rFonts w:hint="eastAsia" w:ascii="仿宋" w:hAnsi="仿宋" w:eastAsia="仿宋" w:cs="仿宋"/>
          <w:sz w:val="32"/>
          <w:szCs w:val="32"/>
          <w:lang w:eastAsia="zh-CN"/>
        </w:rPr>
        <w:t>2. 绿色低碳能源示范基地。依靠</w:t>
      </w:r>
      <w:r>
        <w:rPr>
          <w:rFonts w:hint="eastAsia" w:ascii="仿宋" w:hAnsi="仿宋" w:eastAsia="仿宋" w:cs="仿宋"/>
          <w:sz w:val="32"/>
          <w:szCs w:val="32"/>
          <w:lang w:val="en-US" w:eastAsia="zh-CN"/>
        </w:rPr>
        <w:t>煤炭、石油以及风光资源的优势，推进能源产业向绿色转型，发展新能源领域，构建“风光氢储用”一体化的绿色低碳能源示范基地。</w:t>
      </w:r>
    </w:p>
    <w:p w14:paraId="348FC045">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3.生态宜居美丽乡村样板区。持续推进农村人居环境整治提升，打造生态优美、宜居宜业的美丽乡村，推动城乡生态环境协同发展。</w:t>
      </w:r>
    </w:p>
    <w:p w14:paraId="532BF6D8">
      <w:pPr>
        <w:keepNext w:val="0"/>
        <w:keepLines w:val="0"/>
        <w:pageBreakBefore w:val="0"/>
        <w:widowControl w:val="0"/>
        <w:kinsoku/>
        <w:wordWrap/>
        <w:overflowPunct/>
        <w:topLinePunct w:val="0"/>
        <w:autoSpaceDE/>
        <w:autoSpaceDN/>
        <w:bidi w:val="0"/>
        <w:adjustRightInd/>
        <w:snapToGrid/>
        <w:spacing w:before="120" w:beforeAutospacing="0" w:after="120" w:afterAutospacing="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4.生态旅游与绿色农业融合发展示范区。依托优质生态资源，推动生态旅游与绿色农业深度融合，实现生态保护与产业发展良性互动。</w:t>
      </w:r>
    </w:p>
    <w:p w14:paraId="5BF839B6">
      <w:pPr>
        <w:pStyle w:val="38"/>
        <w:pageBreakBefore w:val="0"/>
        <w:widowControl w:val="0"/>
        <w:kinsoku/>
        <w:wordWrap/>
        <w:topLinePunct w:val="0"/>
        <w:autoSpaceDE/>
        <w:autoSpaceDN/>
        <w:bidi w:val="0"/>
        <w:adjustRightInd/>
        <w:snapToGrid/>
        <w:spacing w:before="120" w:beforeAutospacing="0" w:after="120" w:afterAutospacing="0" w:line="560" w:lineRule="exact"/>
        <w:ind w:firstLine="643" w:firstLineChars="200"/>
        <w:jc w:val="both"/>
        <w:textAlignment w:val="auto"/>
        <w:rPr>
          <w:rFonts w:hint="default" w:ascii="Times New Roman" w:hAnsi="Times New Roman"/>
        </w:rPr>
      </w:pPr>
      <w:bookmarkStart w:id="4" w:name="_Toc5382"/>
      <w:r>
        <w:rPr>
          <w:rFonts w:ascii="Times New Roman" w:hAnsi="Times New Roman"/>
        </w:rPr>
        <w:t>二、主要目标</w:t>
      </w:r>
      <w:bookmarkEnd w:id="4"/>
    </w:p>
    <w:p w14:paraId="289E4E61">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围绕“筑牢生态安全屏障、改善生态环境质量、推动绿色低碳发展、提升治理能力水平”四大核心，到2030年，巴里坤县生态环境质量持续改善，生态系统稳定性显著提升，绿色低碳发展水平大幅提高，生态环境治理体系更加健全，公众生态环境满意度达到95%以上，基本建成人与自然和谐共生的现代化生态巴里坤。</w:t>
      </w:r>
    </w:p>
    <w:p w14:paraId="0E70359C">
      <w:pPr>
        <w:pageBreakBefore w:val="0"/>
        <w:widowControl w:val="0"/>
        <w:kinsoku/>
        <w:wordWrap/>
        <w:topLinePunct w:val="0"/>
        <w:autoSpaceDE/>
        <w:autoSpaceDN/>
        <w:bidi w:val="0"/>
        <w:adjustRightInd/>
        <w:snapToGrid/>
        <w:spacing w:before="120" w:beforeAutospacing="0" w:after="120" w:afterAutospacing="0" w:line="560" w:lineRule="exact"/>
        <w:ind w:firstLine="643" w:firstLineChars="200"/>
        <w:jc w:val="both"/>
        <w:textAlignment w:val="auto"/>
        <w:outlineLvl w:val="1"/>
        <w:rPr>
          <w:rFonts w:hint="eastAsia" w:ascii="仿宋" w:hAnsi="仿宋" w:eastAsia="仿宋" w:cs="仿宋"/>
          <w:b/>
          <w:bCs/>
          <w:sz w:val="32"/>
          <w:szCs w:val="32"/>
        </w:rPr>
      </w:pPr>
      <w:bookmarkStart w:id="5" w:name="_Toc15234"/>
      <w:r>
        <w:rPr>
          <w:rFonts w:hint="eastAsia" w:ascii="仿宋" w:hAnsi="仿宋" w:eastAsia="仿宋" w:cs="仿宋"/>
          <w:b/>
          <w:bCs/>
          <w:sz w:val="32"/>
          <w:szCs w:val="32"/>
        </w:rPr>
        <w:t>（一）大气环境治理目标</w:t>
      </w:r>
      <w:bookmarkEnd w:id="5"/>
    </w:p>
    <w:p w14:paraId="30A1F363">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城市空气质量优良天数比率（扣除沙尘）达</w:t>
      </w:r>
      <w:r>
        <w:rPr>
          <w:rFonts w:hint="eastAsia" w:ascii="仿宋" w:hAnsi="仿宋" w:eastAsia="仿宋" w:cs="仿宋"/>
          <w:sz w:val="32"/>
          <w:szCs w:val="32"/>
          <w:highlight w:val="none"/>
        </w:rPr>
        <w:t>到98%以</w:t>
      </w:r>
      <w:r>
        <w:rPr>
          <w:rFonts w:hint="eastAsia" w:ascii="仿宋" w:hAnsi="仿宋" w:eastAsia="仿宋" w:cs="仿宋"/>
          <w:sz w:val="32"/>
          <w:szCs w:val="32"/>
        </w:rPr>
        <w:t>上，细颗粒物（PM</w:t>
      </w:r>
      <w:r>
        <w:rPr>
          <w:rFonts w:hint="eastAsia" w:ascii="仿宋" w:hAnsi="仿宋" w:eastAsia="仿宋" w:cs="仿宋"/>
          <w:sz w:val="32"/>
          <w:szCs w:val="32"/>
          <w:vertAlign w:val="subscript"/>
        </w:rPr>
        <w:t>2.5</w:t>
      </w:r>
      <w:r>
        <w:rPr>
          <w:rFonts w:hint="eastAsia" w:ascii="仿宋" w:hAnsi="仿宋" w:eastAsia="仿宋" w:cs="仿宋"/>
          <w:sz w:val="32"/>
          <w:szCs w:val="32"/>
        </w:rPr>
        <w:t>）浓度（扣除沙尘）控制在15.0μg/m³以下，二氧化硫、氮氧化物、挥发性有机物（VOCs）排放</w:t>
      </w:r>
      <w:r>
        <w:rPr>
          <w:rFonts w:hint="eastAsia" w:ascii="仿宋" w:hAnsi="仿宋" w:eastAsia="仿宋" w:cs="仿宋"/>
          <w:sz w:val="32"/>
          <w:szCs w:val="32"/>
          <w:lang w:val="en-US" w:eastAsia="zh-CN"/>
        </w:rPr>
        <w:t>浓度</w:t>
      </w:r>
      <w:r>
        <w:rPr>
          <w:rFonts w:hint="eastAsia" w:ascii="仿宋" w:hAnsi="仿宋" w:eastAsia="仿宋" w:cs="仿宋"/>
          <w:sz w:val="32"/>
          <w:szCs w:val="32"/>
        </w:rPr>
        <w:t>较2025年分别下降15%、20%、30%以上；重点行业超低排放改造全覆盖，移动源、扬尘源、面源污染得到有效管控，重污染天气零发生。</w:t>
      </w:r>
    </w:p>
    <w:p w14:paraId="383828BF">
      <w:pPr>
        <w:pageBreakBefore w:val="0"/>
        <w:widowControl w:val="0"/>
        <w:kinsoku/>
        <w:wordWrap/>
        <w:topLinePunct w:val="0"/>
        <w:autoSpaceDE/>
        <w:autoSpaceDN/>
        <w:bidi w:val="0"/>
        <w:adjustRightInd/>
        <w:snapToGrid/>
        <w:spacing w:before="120" w:beforeAutospacing="0" w:after="120" w:afterAutospacing="0" w:line="560" w:lineRule="exact"/>
        <w:ind w:firstLine="643" w:firstLineChars="200"/>
        <w:jc w:val="both"/>
        <w:textAlignment w:val="auto"/>
        <w:outlineLvl w:val="1"/>
        <w:rPr>
          <w:rFonts w:hint="eastAsia" w:ascii="仿宋" w:hAnsi="仿宋" w:eastAsia="仿宋" w:cs="仿宋"/>
          <w:b/>
          <w:bCs/>
          <w:sz w:val="32"/>
          <w:szCs w:val="32"/>
        </w:rPr>
      </w:pPr>
      <w:bookmarkStart w:id="6" w:name="_Toc24258"/>
      <w:r>
        <w:rPr>
          <w:rFonts w:hint="eastAsia" w:ascii="仿宋" w:hAnsi="仿宋" w:eastAsia="仿宋" w:cs="仿宋"/>
          <w:b/>
          <w:bCs/>
          <w:sz w:val="32"/>
          <w:szCs w:val="32"/>
        </w:rPr>
        <w:t>（二）水环境治理目标</w:t>
      </w:r>
      <w:bookmarkEnd w:id="6"/>
    </w:p>
    <w:p w14:paraId="6AD2AE8E">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地表水优良（达到或优于Ⅲ类）水体比例保持100%，劣V类水体比例持续保持0，黑臭水体动态清零；县级及乡镇集中式饮用水水源地水质达标率100%；地下水质量V类水比例保持0，地下水超采得到有效遏制，水资源利用效率显著提升，农业灌溉水有效利用系数达到0.65以上。</w:t>
      </w:r>
    </w:p>
    <w:p w14:paraId="10508A63">
      <w:pPr>
        <w:pageBreakBefore w:val="0"/>
        <w:widowControl w:val="0"/>
        <w:kinsoku/>
        <w:wordWrap/>
        <w:topLinePunct w:val="0"/>
        <w:autoSpaceDE/>
        <w:autoSpaceDN/>
        <w:bidi w:val="0"/>
        <w:adjustRightInd/>
        <w:snapToGrid/>
        <w:spacing w:before="120" w:beforeAutospacing="0" w:after="120" w:afterAutospacing="0" w:line="560" w:lineRule="exact"/>
        <w:ind w:firstLine="643" w:firstLineChars="200"/>
        <w:jc w:val="both"/>
        <w:textAlignment w:val="auto"/>
        <w:outlineLvl w:val="1"/>
        <w:rPr>
          <w:rFonts w:hint="eastAsia" w:ascii="仿宋" w:hAnsi="仿宋" w:eastAsia="仿宋" w:cs="仿宋"/>
          <w:b/>
          <w:bCs/>
          <w:sz w:val="32"/>
          <w:szCs w:val="32"/>
        </w:rPr>
      </w:pPr>
      <w:bookmarkStart w:id="7" w:name="_Toc4890"/>
      <w:r>
        <w:rPr>
          <w:rFonts w:hint="eastAsia" w:ascii="仿宋" w:hAnsi="仿宋" w:eastAsia="仿宋" w:cs="仿宋"/>
          <w:b/>
          <w:bCs/>
          <w:sz w:val="32"/>
          <w:szCs w:val="32"/>
        </w:rPr>
        <w:t>（三）土壤与生态保护目标</w:t>
      </w:r>
      <w:bookmarkEnd w:id="7"/>
    </w:p>
    <w:p w14:paraId="1601CE45">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土壤环境质量总体稳定，受污染耕地安全利用率达到100%，重点建设用地安全利用率达到100%；土壤污染源头得到有效管控，重点行业土壤污染风险得到全面防范。</w:t>
      </w:r>
      <w:r>
        <w:rPr>
          <w:rFonts w:hint="eastAsia" w:ascii="仿宋" w:hAnsi="仿宋" w:eastAsia="仿宋" w:cs="仿宋"/>
          <w:color w:val="auto"/>
          <w:sz w:val="32"/>
          <w:szCs w:val="32"/>
        </w:rPr>
        <w:t>森林覆盖率</w:t>
      </w:r>
      <w:r>
        <w:rPr>
          <w:rFonts w:hint="eastAsia" w:ascii="仿宋" w:hAnsi="仿宋" w:eastAsia="仿宋" w:cs="仿宋"/>
          <w:color w:val="auto"/>
          <w:sz w:val="32"/>
          <w:szCs w:val="32"/>
          <w:lang w:val="en-US" w:eastAsia="zh-CN"/>
        </w:rPr>
        <w:t>保持</w:t>
      </w:r>
      <w:r>
        <w:rPr>
          <w:rFonts w:hint="eastAsia" w:ascii="仿宋" w:hAnsi="仿宋" w:eastAsia="仿宋" w:cs="仿宋"/>
          <w:color w:val="auto"/>
          <w:sz w:val="32"/>
          <w:szCs w:val="32"/>
        </w:rPr>
        <w:t>至4.</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%以上，草原综合植被盖度达到42%以上</w:t>
      </w:r>
      <w:r>
        <w:rPr>
          <w:rFonts w:hint="eastAsia" w:ascii="仿宋" w:hAnsi="仿宋" w:eastAsia="仿宋" w:cs="仿宋"/>
          <w:sz w:val="32"/>
          <w:szCs w:val="32"/>
        </w:rPr>
        <w:t>，湿地保护率达到100%，沙化土地治理率达到92%以上，重点生态脆弱区综合治理率达到92%以上；野生动植物资源得到有效保护，水生生物多样性显著提升，生态系统稳定性持续增强。</w:t>
      </w:r>
    </w:p>
    <w:p w14:paraId="19D889F5">
      <w:pPr>
        <w:pageBreakBefore w:val="0"/>
        <w:widowControl w:val="0"/>
        <w:kinsoku/>
        <w:wordWrap/>
        <w:topLinePunct w:val="0"/>
        <w:autoSpaceDE/>
        <w:autoSpaceDN/>
        <w:bidi w:val="0"/>
        <w:adjustRightInd/>
        <w:snapToGrid/>
        <w:spacing w:before="120" w:beforeAutospacing="0" w:after="120" w:afterAutospacing="0" w:line="560" w:lineRule="exact"/>
        <w:ind w:firstLine="643" w:firstLineChars="200"/>
        <w:jc w:val="both"/>
        <w:textAlignment w:val="auto"/>
        <w:outlineLvl w:val="1"/>
        <w:rPr>
          <w:rFonts w:hint="eastAsia" w:ascii="仿宋" w:hAnsi="仿宋" w:eastAsia="仿宋" w:cs="仿宋"/>
          <w:b/>
          <w:bCs/>
          <w:sz w:val="32"/>
          <w:szCs w:val="32"/>
        </w:rPr>
      </w:pPr>
      <w:bookmarkStart w:id="8" w:name="_Toc13628"/>
      <w:r>
        <w:rPr>
          <w:rFonts w:hint="eastAsia" w:ascii="仿宋" w:hAnsi="仿宋" w:eastAsia="仿宋" w:cs="仿宋"/>
          <w:b/>
          <w:bCs/>
          <w:sz w:val="32"/>
          <w:szCs w:val="32"/>
        </w:rPr>
        <w:t>（四）固体废物与新污染物治理目标</w:t>
      </w:r>
      <w:bookmarkEnd w:id="8"/>
    </w:p>
    <w:p w14:paraId="1FECF198">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1.固体废物：一般工业固体废物综合利用率达到7</w:t>
      </w:r>
      <w:r>
        <w:rPr>
          <w:rFonts w:hint="eastAsia" w:ascii="仿宋" w:hAnsi="仿宋" w:eastAsia="仿宋" w:cs="仿宋"/>
          <w:sz w:val="32"/>
          <w:szCs w:val="32"/>
          <w:lang w:val="en-US" w:eastAsia="zh-CN"/>
        </w:rPr>
        <w:t>0</w:t>
      </w:r>
      <w:r>
        <w:rPr>
          <w:rFonts w:hint="eastAsia" w:ascii="仿宋" w:hAnsi="仿宋" w:eastAsia="仿宋" w:cs="仿宋"/>
          <w:sz w:val="32"/>
          <w:szCs w:val="32"/>
        </w:rPr>
        <w:t>%以上，危险废物全过程监管覆盖率100%，安全处置率达到100%；</w:t>
      </w:r>
      <w:r>
        <w:rPr>
          <w:rFonts w:hint="eastAsia" w:ascii="仿宋" w:hAnsi="仿宋" w:eastAsia="仿宋" w:cs="仿宋"/>
          <w:color w:val="auto"/>
          <w:sz w:val="32"/>
          <w:szCs w:val="32"/>
        </w:rPr>
        <w:t>生活垃圾无害化处理率100%，生活垃圾分类覆盖率100%</w:t>
      </w:r>
      <w:r>
        <w:rPr>
          <w:rFonts w:hint="eastAsia" w:ascii="仿宋" w:hAnsi="仿宋" w:eastAsia="仿宋" w:cs="仿宋"/>
          <w:sz w:val="32"/>
          <w:szCs w:val="32"/>
        </w:rPr>
        <w:t>；农膜回收率稳定在85%以上，秸秆综合利用率达到90%以上。</w:t>
      </w:r>
    </w:p>
    <w:p w14:paraId="0E9A25F3">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新污染物：建立县级重点管控新污染物清单，完成重点行业、集中式饮用水水源地新污染物调查监测全覆盖；新污染物环境风险管控率达到100%，建立健全新污染物全生命周期环境风险管控体系，有效防范新污染物环境风险。</w:t>
      </w:r>
    </w:p>
    <w:p w14:paraId="06D979E0">
      <w:pPr>
        <w:pageBreakBefore w:val="0"/>
        <w:widowControl w:val="0"/>
        <w:kinsoku/>
        <w:wordWrap/>
        <w:topLinePunct w:val="0"/>
        <w:autoSpaceDE/>
        <w:autoSpaceDN/>
        <w:bidi w:val="0"/>
        <w:adjustRightInd/>
        <w:snapToGrid/>
        <w:spacing w:before="120" w:beforeAutospacing="0" w:after="120" w:afterAutospacing="0" w:line="560" w:lineRule="exact"/>
        <w:ind w:firstLine="643" w:firstLineChars="200"/>
        <w:jc w:val="both"/>
        <w:textAlignment w:val="auto"/>
        <w:outlineLvl w:val="1"/>
        <w:rPr>
          <w:rFonts w:hint="eastAsia" w:ascii="仿宋" w:hAnsi="仿宋" w:eastAsia="仿宋" w:cs="仿宋"/>
          <w:b/>
          <w:bCs/>
          <w:sz w:val="32"/>
          <w:szCs w:val="32"/>
        </w:rPr>
      </w:pPr>
      <w:bookmarkStart w:id="9" w:name="_Toc1289"/>
      <w:r>
        <w:rPr>
          <w:rFonts w:hint="eastAsia" w:ascii="仿宋" w:hAnsi="仿宋" w:eastAsia="仿宋" w:cs="仿宋"/>
          <w:b/>
          <w:bCs/>
          <w:sz w:val="32"/>
          <w:szCs w:val="32"/>
        </w:rPr>
        <w:t>（五）城乡人居环境与治理能力目标</w:t>
      </w:r>
      <w:bookmarkEnd w:id="9"/>
    </w:p>
    <w:p w14:paraId="29DBCDA7">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1.城乡人居环境：农村生活污水治理率达到</w:t>
      </w:r>
      <w:r>
        <w:rPr>
          <w:rFonts w:hint="eastAsia" w:ascii="仿宋" w:hAnsi="仿宋" w:eastAsia="仿宋" w:cs="仿宋"/>
          <w:sz w:val="32"/>
          <w:szCs w:val="32"/>
          <w:lang w:val="en-US" w:eastAsia="zh-CN"/>
        </w:rPr>
        <w:t>5</w:t>
      </w:r>
      <w:r>
        <w:rPr>
          <w:rFonts w:hint="eastAsia" w:ascii="仿宋" w:hAnsi="仿宋" w:eastAsia="仿宋" w:cs="仿宋"/>
          <w:sz w:val="32"/>
          <w:szCs w:val="32"/>
        </w:rPr>
        <w:t>0%以上，农村卫生厕所普及率达到90%以上，美丽乡村整县建成比例达到55%以上；县城建成区绿化覆盖率达到40%以上，人均公园绿地面积达到25㎡以上，城乡生态环境差距显著缩小。</w:t>
      </w:r>
    </w:p>
    <w:p w14:paraId="37E0D4D2">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治理能力：“天地空”一体化生态环境监测网络实现全覆盖、全要素、全周期监测；智慧环保平台全面建成并投入使用，环境风险预警响应时间不超过1小时，突发环境事件处置率达到100%；生态环境治理体系更加健全，第三方治理覆盖率达到60%以上，公众生态环境满意度达到95%以上。</w:t>
      </w:r>
    </w:p>
    <w:p w14:paraId="478FF290">
      <w:pPr>
        <w:pageBreakBefore w:val="0"/>
        <w:widowControl w:val="0"/>
        <w:kinsoku/>
        <w:wordWrap/>
        <w:topLinePunct w:val="0"/>
        <w:autoSpaceDE/>
        <w:autoSpaceDN/>
        <w:bidi w:val="0"/>
        <w:adjustRightInd/>
        <w:snapToGrid/>
        <w:spacing w:before="120" w:beforeAutospacing="0" w:after="120" w:afterAutospacing="0" w:line="560" w:lineRule="exact"/>
        <w:ind w:firstLine="640" w:firstLineChars="200"/>
        <w:jc w:val="both"/>
        <w:textAlignment w:val="auto"/>
        <w:rPr>
          <w:rFonts w:hint="eastAsia" w:ascii="仿宋" w:hAnsi="仿宋" w:eastAsia="仿宋" w:cs="仿宋"/>
          <w:sz w:val="32"/>
          <w:szCs w:val="32"/>
        </w:rPr>
      </w:pPr>
    </w:p>
    <w:p w14:paraId="371E1C5C">
      <w:pPr>
        <w:pageBreakBefore w:val="0"/>
        <w:widowControl w:val="0"/>
        <w:kinsoku/>
        <w:wordWrap/>
        <w:topLinePunct w:val="0"/>
        <w:autoSpaceDE/>
        <w:autoSpaceDN/>
        <w:bidi w:val="0"/>
        <w:adjustRightInd/>
        <w:snapToGrid/>
        <w:spacing w:before="120" w:beforeAutospacing="0" w:after="120" w:afterAutospacing="0" w:line="560" w:lineRule="exact"/>
        <w:ind w:firstLine="420" w:firstLineChars="200"/>
        <w:jc w:val="both"/>
        <w:textAlignment w:val="auto"/>
        <w:rPr>
          <w:rFonts w:ascii="仿宋" w:hAnsi="仿宋" w:eastAsia="仿宋"/>
          <w:sz w:val="31"/>
          <w:szCs w:val="31"/>
        </w:rPr>
      </w:pPr>
      <w:r>
        <w:br w:type="page"/>
      </w:r>
    </w:p>
    <w:p w14:paraId="0C5D5C0C">
      <w:pPr>
        <w:pageBreakBefore w:val="0"/>
        <w:widowControl w:val="0"/>
        <w:kinsoku/>
        <w:wordWrap/>
        <w:overflowPunct w:val="0"/>
        <w:topLinePunct w:val="0"/>
        <w:autoSpaceDE/>
        <w:autoSpaceDN/>
        <w:bidi w:val="0"/>
        <w:adjustRightInd/>
        <w:snapToGrid/>
        <w:spacing w:before="120" w:beforeAutospacing="0" w:after="120" w:afterAutospacing="0" w:line="560" w:lineRule="exact"/>
        <w:jc w:val="center"/>
        <w:textAlignment w:val="auto"/>
        <w:rPr>
          <w:rFonts w:hint="eastAsia" w:ascii="黑体" w:hAnsi="黑体" w:eastAsia="黑体"/>
          <w:b/>
          <w:bCs/>
          <w:sz w:val="28"/>
          <w:szCs w:val="28"/>
        </w:rPr>
      </w:pPr>
      <w:r>
        <w:rPr>
          <w:rFonts w:hint="eastAsia" w:ascii="黑体" w:hAnsi="黑体" w:eastAsia="黑体"/>
          <w:b/>
          <w:bCs/>
          <w:sz w:val="28"/>
          <w:szCs w:val="28"/>
        </w:rPr>
        <w:t>巴里坤县“十五五”生态环境保护主要指标</w:t>
      </w:r>
    </w:p>
    <w:tbl>
      <w:tblPr>
        <w:tblStyle w:val="18"/>
        <w:tblW w:w="9071"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647"/>
        <w:gridCol w:w="2066"/>
        <w:gridCol w:w="992"/>
        <w:gridCol w:w="1050"/>
        <w:gridCol w:w="1177"/>
        <w:gridCol w:w="3139"/>
      </w:tblGrid>
      <w:tr w14:paraId="6348765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41CC3F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22"/>
                <w:szCs w:val="22"/>
              </w:rPr>
            </w:pPr>
            <w:r>
              <w:rPr>
                <w:rFonts w:hint="eastAsia" w:ascii="仿宋" w:hAnsi="仿宋" w:eastAsia="仿宋" w:cs="仿宋"/>
                <w:b/>
                <w:sz w:val="22"/>
                <w:szCs w:val="22"/>
              </w:rPr>
              <w:t>序号</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EA6F00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22"/>
                <w:szCs w:val="22"/>
              </w:rPr>
            </w:pPr>
            <w:r>
              <w:rPr>
                <w:rFonts w:hint="eastAsia" w:ascii="仿宋" w:hAnsi="仿宋" w:eastAsia="仿宋" w:cs="仿宋"/>
                <w:b/>
                <w:sz w:val="22"/>
                <w:szCs w:val="22"/>
              </w:rPr>
              <w:t>指标名称</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E5727C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仿宋" w:hAnsi="仿宋" w:eastAsia="仿宋" w:cs="仿宋"/>
                <w:b/>
                <w:sz w:val="22"/>
                <w:szCs w:val="22"/>
                <w:lang w:val="en-US" w:eastAsia="zh-CN"/>
              </w:rPr>
            </w:pPr>
            <w:r>
              <w:rPr>
                <w:rFonts w:hint="eastAsia" w:ascii="仿宋" w:hAnsi="仿宋" w:eastAsia="仿宋" w:cs="仿宋"/>
                <w:b/>
                <w:sz w:val="22"/>
                <w:szCs w:val="22"/>
              </w:rPr>
              <w:t>2025年基准值</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1D4A96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22"/>
                <w:szCs w:val="22"/>
              </w:rPr>
            </w:pPr>
            <w:r>
              <w:rPr>
                <w:rFonts w:hint="eastAsia" w:ascii="仿宋" w:hAnsi="仿宋" w:eastAsia="仿宋" w:cs="仿宋"/>
                <w:b/>
                <w:sz w:val="22"/>
                <w:szCs w:val="22"/>
              </w:rPr>
              <w:t>2030年目标值</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60D67F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22"/>
                <w:szCs w:val="22"/>
              </w:rPr>
            </w:pPr>
            <w:r>
              <w:rPr>
                <w:rFonts w:hint="eastAsia" w:ascii="仿宋" w:hAnsi="仿宋" w:eastAsia="仿宋" w:cs="仿宋"/>
                <w:b/>
                <w:sz w:val="22"/>
                <w:szCs w:val="22"/>
              </w:rPr>
              <w:t>指标属性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DE3A70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b/>
                <w:sz w:val="22"/>
                <w:szCs w:val="22"/>
              </w:rPr>
            </w:pPr>
            <w:r>
              <w:rPr>
                <w:rFonts w:hint="eastAsia" w:ascii="仿宋" w:hAnsi="仿宋" w:eastAsia="仿宋" w:cs="仿宋"/>
                <w:b/>
                <w:sz w:val="22"/>
                <w:szCs w:val="22"/>
              </w:rPr>
              <w:t>监测范围/实施要求</w:t>
            </w:r>
          </w:p>
        </w:tc>
      </w:tr>
      <w:tr w14:paraId="6E1283FF">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774A5B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1</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37C32E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城市空气质量优良天数比率（%，扣除沙尘）</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954F79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98</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1E8C92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≥98</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F1D1B1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F2EEAC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监测范围为县城建成区，含PM</w:t>
            </w:r>
            <w:r>
              <w:rPr>
                <w:rFonts w:hint="eastAsia" w:ascii="仿宋" w:hAnsi="仿宋" w:eastAsia="仿宋" w:cs="仿宋"/>
                <w:sz w:val="22"/>
                <w:szCs w:val="22"/>
                <w:highlight w:val="none"/>
                <w:vertAlign w:val="subscript"/>
                <w:lang w:val="en-US" w:eastAsia="zh-CN"/>
              </w:rPr>
              <w:t>2.5</w:t>
            </w:r>
            <w:r>
              <w:rPr>
                <w:rFonts w:hint="eastAsia" w:ascii="仿宋" w:hAnsi="仿宋" w:eastAsia="仿宋" w:cs="仿宋"/>
                <w:sz w:val="22"/>
                <w:szCs w:val="22"/>
                <w:highlight w:val="none"/>
              </w:rPr>
              <w:t>、PM</w:t>
            </w:r>
            <w:r>
              <w:rPr>
                <w:rFonts w:hint="eastAsia" w:ascii="仿宋" w:hAnsi="仿宋" w:eastAsia="仿宋" w:cs="仿宋"/>
                <w:sz w:val="22"/>
                <w:szCs w:val="22"/>
                <w:highlight w:val="none"/>
                <w:vertAlign w:val="subscript"/>
                <w:lang w:val="en-US" w:eastAsia="zh-CN"/>
              </w:rPr>
              <w:t>10</w:t>
            </w:r>
            <w:r>
              <w:rPr>
                <w:rFonts w:hint="eastAsia" w:ascii="仿宋" w:hAnsi="仿宋" w:eastAsia="仿宋" w:cs="仿宋"/>
                <w:sz w:val="22"/>
                <w:szCs w:val="22"/>
                <w:highlight w:val="none"/>
              </w:rPr>
              <w:t>、SO</w:t>
            </w:r>
            <w:r>
              <w:rPr>
                <w:rFonts w:hint="eastAsia" w:ascii="仿宋" w:hAnsi="仿宋" w:eastAsia="仿宋" w:cs="仿宋"/>
                <w:sz w:val="22"/>
                <w:szCs w:val="22"/>
                <w:highlight w:val="none"/>
                <w:vertAlign w:val="subscript"/>
                <w:lang w:val="en-US" w:eastAsia="zh-CN"/>
              </w:rPr>
              <w:t>2</w:t>
            </w:r>
            <w:r>
              <w:rPr>
                <w:rFonts w:hint="eastAsia" w:ascii="仿宋" w:hAnsi="仿宋" w:eastAsia="仿宋" w:cs="仿宋"/>
                <w:sz w:val="22"/>
                <w:szCs w:val="22"/>
                <w:highlight w:val="none"/>
              </w:rPr>
              <w:t>、NO₂</w:t>
            </w:r>
            <w:r>
              <w:rPr>
                <w:rFonts w:hint="eastAsia" w:ascii="仿宋" w:hAnsi="仿宋" w:eastAsia="仿宋" w:cs="仿宋"/>
                <w:sz w:val="22"/>
                <w:szCs w:val="22"/>
                <w:highlight w:val="none"/>
                <w:lang w:eastAsia="zh-CN"/>
              </w:rPr>
              <w:t>、</w:t>
            </w:r>
            <w:r>
              <w:rPr>
                <w:rFonts w:hint="eastAsia" w:ascii="仿宋" w:hAnsi="仿宋" w:eastAsia="仿宋" w:cs="仿宋"/>
                <w:sz w:val="22"/>
                <w:szCs w:val="22"/>
                <w:highlight w:val="none"/>
              </w:rPr>
              <w:t>O₃、CO六项指标，沙尘天气单独剔除统计</w:t>
            </w:r>
          </w:p>
        </w:tc>
      </w:tr>
      <w:tr w14:paraId="06FB85E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639D64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2</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4E6D7C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城市细颗粒物</w:t>
            </w:r>
            <w:r>
              <w:rPr>
                <w:rFonts w:hint="eastAsia" w:ascii="仿宋" w:hAnsi="仿宋" w:eastAsia="仿宋" w:cs="仿宋"/>
                <w:sz w:val="22"/>
                <w:szCs w:val="22"/>
                <w:highlight w:val="none"/>
                <w:lang w:eastAsia="zh-CN"/>
              </w:rPr>
              <w:t>（</w:t>
            </w:r>
            <w:r>
              <w:rPr>
                <w:rFonts w:hint="eastAsia" w:ascii="仿宋" w:hAnsi="仿宋" w:eastAsia="仿宋" w:cs="仿宋"/>
                <w:sz w:val="22"/>
                <w:szCs w:val="22"/>
                <w:highlight w:val="none"/>
              </w:rPr>
              <w:t>PM</w:t>
            </w:r>
            <w:r>
              <w:rPr>
                <w:rFonts w:hint="eastAsia" w:ascii="仿宋" w:hAnsi="仿宋" w:eastAsia="仿宋" w:cs="仿宋"/>
                <w:sz w:val="22"/>
                <w:szCs w:val="22"/>
                <w:highlight w:val="none"/>
                <w:vertAlign w:val="subscript"/>
                <w:lang w:val="en-US" w:eastAsia="zh-CN"/>
              </w:rPr>
              <w:t>2.5</w:t>
            </w:r>
            <w:r>
              <w:rPr>
                <w:rFonts w:hint="eastAsia" w:ascii="仿宋" w:hAnsi="仿宋" w:eastAsia="仿宋" w:cs="仿宋"/>
                <w:sz w:val="22"/>
                <w:szCs w:val="22"/>
                <w:highlight w:val="none"/>
              </w:rPr>
              <w:t>)浓度（μg/m³，扣除沙尘）</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1A895C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1</w:t>
            </w:r>
            <w:r>
              <w:rPr>
                <w:rFonts w:hint="eastAsia" w:ascii="仿宋" w:hAnsi="仿宋" w:eastAsia="仿宋" w:cs="仿宋"/>
                <w:color w:val="auto"/>
                <w:sz w:val="22"/>
                <w:szCs w:val="22"/>
                <w:highlight w:val="none"/>
                <w:lang w:val="en-US" w:eastAsia="zh-CN"/>
              </w:rPr>
              <w:t>5</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75D116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≤1</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2C61E3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7D6BC0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监测范围为县城建成区，年均浓度，沙尘天气数据剔除</w:t>
            </w:r>
          </w:p>
        </w:tc>
      </w:tr>
      <w:tr w14:paraId="36706AD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991CC27">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3</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E49A50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优良（达到或优于Ⅲ类）水体比例（%）</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9B7E92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100</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160FB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100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9CF88B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940066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涵盖巴里坤湖、柳条河、西黑沟等所有县级及以上考核断面</w:t>
            </w:r>
          </w:p>
        </w:tc>
      </w:tr>
      <w:tr w14:paraId="29A8E72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1E0609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4</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FB20E7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lang w:eastAsia="zh-CN"/>
              </w:rPr>
            </w:pPr>
            <w:r>
              <w:rPr>
                <w:rFonts w:hint="eastAsia" w:ascii="仿宋" w:hAnsi="仿宋" w:eastAsia="仿宋" w:cs="仿宋"/>
                <w:sz w:val="22"/>
                <w:szCs w:val="22"/>
              </w:rPr>
              <w:t>劣V类水体比例（%）</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1F7F2D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0</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E7435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E0A7E7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91E554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全域所有地表水水体无新增劣V类水体，动态清零黑臭水体</w:t>
            </w:r>
          </w:p>
        </w:tc>
      </w:tr>
      <w:tr w14:paraId="6B7C223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C4ABDA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5</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FBC96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地下水质量V类水比例（%）</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1A31B1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0</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DF7D68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94ACB7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预期性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3FB3E5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监测范围包括县城、乡镇集中式饮用水水源地及重点矿区、工业园区周边</w:t>
            </w:r>
          </w:p>
        </w:tc>
      </w:tr>
      <w:tr w14:paraId="7CEFAC7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2C1E27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6</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6C7C93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农村生活污水治理率（%）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73E01B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30</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9697E0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3E98BF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预期性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6AC20F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涵盖全县所有行政村，治理方式包括集中式、分散式治理，设施运行率≥90%</w:t>
            </w:r>
          </w:p>
        </w:tc>
      </w:tr>
      <w:tr w14:paraId="583C2EA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850AC7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7</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C2582E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单位GDP二氧化碳排放降低（%）</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060D91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8CB2AD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完成自治区下达任务</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0EAAF1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3040CE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涵盖全县重点管控能源、化工、建材等高耗能行业</w:t>
            </w:r>
          </w:p>
        </w:tc>
      </w:tr>
      <w:tr w14:paraId="1D9EA3CD">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D9770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8</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C2AB9B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非化石能源占一次能源消费比重（%）</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9B9240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F22C75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r>
              <w:rPr>
                <w:rFonts w:hint="eastAsia" w:ascii="仿宋" w:hAnsi="仿宋" w:eastAsia="仿宋" w:cs="仿宋"/>
                <w:color w:val="auto"/>
                <w:sz w:val="22"/>
                <w:szCs w:val="22"/>
                <w:highlight w:val="none"/>
                <w:lang w:val="en-US" w:eastAsia="zh-CN"/>
              </w:rPr>
              <w:t>24</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7A6498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预期性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F5942E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包括风电、光伏、生物质能等，不含化石能源加工转换损耗</w:t>
            </w:r>
          </w:p>
        </w:tc>
      </w:tr>
      <w:tr w14:paraId="490B57F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72D7BD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9</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ECF83B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一般工业固体废物综合利用率（%）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E2AD84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2B02D3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rPr>
              <w:t>≥7</w:t>
            </w:r>
            <w:r>
              <w:rPr>
                <w:rFonts w:hint="eastAsia" w:ascii="仿宋" w:hAnsi="仿宋" w:eastAsia="仿宋" w:cs="仿宋"/>
                <w:color w:val="auto"/>
                <w:sz w:val="22"/>
                <w:szCs w:val="22"/>
                <w:highlight w:val="none"/>
                <w:lang w:val="en-US" w:eastAsia="zh-CN"/>
              </w:rPr>
              <w:t>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F5016A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E97B98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涵盖煤炭、化工、建材等行业产生的粉煤灰、炉渣、脱硫石膏等</w:t>
            </w:r>
          </w:p>
        </w:tc>
      </w:tr>
      <w:tr w14:paraId="221DFA0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CB0D3D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10</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1CD938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氮氧化物重点工程减排量（吨）</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01B28E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lang w:eastAsia="zh-CN"/>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ADD925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完成自治区下达任务</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E92BD4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BBDA63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重点覆盖燃煤电厂、煤化工等行业减排项目</w:t>
            </w:r>
          </w:p>
        </w:tc>
      </w:tr>
      <w:tr w14:paraId="0681F52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C9F95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11</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B83AF8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挥发性有机物重点工程减排量（吨）</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39E8C4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lang w:eastAsia="zh-CN"/>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37AA10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完成自治区下达任务</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42F842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C1416E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重点覆盖化工、涂装、包装印刷等行业</w:t>
            </w:r>
          </w:p>
        </w:tc>
      </w:tr>
      <w:tr w14:paraId="12A2ED3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278F3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12</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9C81A5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化学需氧量重点工程减排量（吨）</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DFAEFD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lang w:eastAsia="zh-CN"/>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E113BC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完成自治区下达任务</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948513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75282B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重点覆盖城镇污水处理、畜禽养殖、工业废水治理等项目</w:t>
            </w:r>
          </w:p>
        </w:tc>
      </w:tr>
      <w:tr w14:paraId="584CEFD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424B29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13</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CB0FEF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氨氮重点工程减排量（吨）</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C6997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51</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983897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完成自治区下达任务</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D958F2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ACBD9E0">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重点覆盖城镇污水处理、畜禽养殖、工业废水治理等项目</w:t>
            </w:r>
          </w:p>
        </w:tc>
      </w:tr>
      <w:tr w14:paraId="637B5B00">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3FECB4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14</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71E786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县域生态质量指数(EQI)</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5B3DF9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稳中向好</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B818C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稳中向好</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AD5FCA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预期性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1B3DE9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涵盖森林、草原、湿地、荒漠等生态系统，每年开展一次评价</w:t>
            </w:r>
          </w:p>
        </w:tc>
      </w:tr>
      <w:tr w14:paraId="65C97E6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B1B7A3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15</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AA18CB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森林覆盖率(%)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ABD9A3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4.15</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C5C68D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4.15</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C275C1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F710B5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全域森林面积统计，包括天然林、人工林、公益林等</w:t>
            </w:r>
          </w:p>
        </w:tc>
      </w:tr>
      <w:tr w14:paraId="05E4220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58EA38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16</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2B520C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生态保护红线面积（平方公里）</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BC9763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不降低</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CD6B6A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不降低</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BB77A1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预期性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202ABE5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严格按照国家、自治区划定范围管控，严禁非法占用、破坏</w:t>
            </w:r>
          </w:p>
        </w:tc>
      </w:tr>
      <w:tr w14:paraId="45C49B4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608BDE7">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17</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720CAF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重点建设用地安全利用率（%）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C85C5A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有效保障</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ACF8B1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100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527F10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highlight w:val="none"/>
              </w:rPr>
            </w:pPr>
            <w:r>
              <w:rPr>
                <w:rFonts w:hint="eastAsia" w:ascii="仿宋" w:hAnsi="仿宋" w:eastAsia="仿宋" w:cs="仿宋"/>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FC2C6A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涵盖“一住两公”地块及工业用地，严格落实土壤污染状况调查评估制度</w:t>
            </w:r>
          </w:p>
        </w:tc>
      </w:tr>
      <w:tr w14:paraId="691AD1E5">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E171CC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18</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FDF689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受污染耕地安全利用率（%）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B006C18">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98</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F4B1E6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100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A4C020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E5600B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涵盖全县所有受污染耕地，采用农艺调控、替代种植等安全利用措施</w:t>
            </w:r>
          </w:p>
        </w:tc>
      </w:tr>
      <w:tr w14:paraId="55DC0AE9">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5F18E3EF">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19</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B22E60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新污染物环境风险管控率（%）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CDB7D8B">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87878F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有效管控</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C4BF70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F36A924">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涵盖持久性有机污染物、抗生素、内分泌干扰物等，建立全生命周期管控</w:t>
            </w:r>
          </w:p>
        </w:tc>
      </w:tr>
      <w:tr w14:paraId="0BF06E1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8B8AFD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20</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56D489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放射源辐射事故年发生率（起/万枚）</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DB5F47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D76102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54E9395">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约束性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4E0EB85C">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涵盖全县所有放射源使用单位，实现全过程监管</w:t>
            </w:r>
          </w:p>
        </w:tc>
      </w:tr>
      <w:tr w14:paraId="4D3E10A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AFBB70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sz w:val="22"/>
                <w:szCs w:val="22"/>
              </w:rPr>
            </w:pPr>
            <w:r>
              <w:rPr>
                <w:rFonts w:hint="eastAsia" w:ascii="仿宋" w:hAnsi="仿宋" w:eastAsia="仿宋" w:cs="仿宋"/>
                <w:sz w:val="22"/>
                <w:szCs w:val="22"/>
              </w:rPr>
              <w:t>21</w:t>
            </w:r>
          </w:p>
        </w:tc>
        <w:tc>
          <w:tcPr>
            <w:tcW w:w="2066"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AB504F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sz w:val="22"/>
                <w:szCs w:val="22"/>
              </w:rPr>
            </w:pPr>
            <w:r>
              <w:rPr>
                <w:rFonts w:hint="eastAsia" w:ascii="仿宋" w:hAnsi="仿宋" w:eastAsia="仿宋" w:cs="仿宋"/>
                <w:sz w:val="22"/>
                <w:szCs w:val="22"/>
              </w:rPr>
              <w:t>美丽河湖建成率（%）</w:t>
            </w:r>
          </w:p>
        </w:tc>
        <w:tc>
          <w:tcPr>
            <w:tcW w:w="992"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09B8BA9">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093FAA1">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≥60</w:t>
            </w:r>
          </w:p>
        </w:tc>
        <w:tc>
          <w:tcPr>
            <w:tcW w:w="1177"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9D07267">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预期性</w:t>
            </w:r>
          </w:p>
        </w:tc>
        <w:tc>
          <w:tcPr>
            <w:tcW w:w="3139"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5910B823">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sz w:val="22"/>
                <w:szCs w:val="22"/>
              </w:rPr>
            </w:pPr>
            <w:r>
              <w:rPr>
                <w:rFonts w:hint="eastAsia" w:ascii="仿宋" w:hAnsi="仿宋" w:eastAsia="仿宋" w:cs="仿宋"/>
                <w:sz w:val="22"/>
                <w:szCs w:val="22"/>
              </w:rPr>
              <w:t>涵盖巴里坤湖、柳条河等重点河湖，按照自治区美丽河湖建设标准创建</w:t>
            </w:r>
          </w:p>
        </w:tc>
      </w:tr>
      <w:tr w14:paraId="31449B8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647" w:type="dxa"/>
            <w:tcBorders>
              <w:top w:val="single" w:color="auto" w:sz="4" w:space="0"/>
              <w:left w:val="single" w:color="auto" w:sz="4" w:space="0"/>
              <w:bottom w:val="single" w:color="auto" w:sz="4" w:space="0"/>
              <w:right w:val="nil"/>
            </w:tcBorders>
            <w:shd w:val="clear" w:color="auto" w:fill="auto"/>
            <w:noWrap w:val="0"/>
            <w:tcMar>
              <w:top w:w="60" w:type="dxa"/>
              <w:left w:w="120" w:type="dxa"/>
              <w:bottom w:w="30" w:type="dxa"/>
              <w:right w:w="120" w:type="dxa"/>
            </w:tcMar>
            <w:vAlign w:val="center"/>
          </w:tcPr>
          <w:p w14:paraId="6571A69D">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kern w:val="2"/>
                <w:sz w:val="22"/>
                <w:szCs w:val="22"/>
                <w:lang w:val="en-US" w:eastAsia="zh-CN" w:bidi="ar-SA"/>
                <w14:ligatures w14:val="standardContextual"/>
              </w:rPr>
            </w:pPr>
            <w:r>
              <w:rPr>
                <w:rFonts w:hint="eastAsia" w:ascii="仿宋" w:hAnsi="仿宋" w:eastAsia="仿宋" w:cs="仿宋"/>
                <w:sz w:val="22"/>
                <w:szCs w:val="22"/>
              </w:rPr>
              <w:t>22</w:t>
            </w:r>
          </w:p>
        </w:tc>
        <w:tc>
          <w:tcPr>
            <w:tcW w:w="2066" w:type="dxa"/>
            <w:tcBorders>
              <w:top w:val="single" w:color="auto" w:sz="4" w:space="0"/>
              <w:left w:val="single" w:color="auto" w:sz="4" w:space="0"/>
              <w:bottom w:val="single" w:color="auto" w:sz="4" w:space="0"/>
              <w:right w:val="nil"/>
            </w:tcBorders>
            <w:shd w:val="clear" w:color="auto" w:fill="auto"/>
            <w:noWrap w:val="0"/>
            <w:tcMar>
              <w:top w:w="60" w:type="dxa"/>
              <w:left w:w="120" w:type="dxa"/>
              <w:bottom w:w="30" w:type="dxa"/>
              <w:right w:w="120" w:type="dxa"/>
            </w:tcMar>
            <w:vAlign w:val="center"/>
          </w:tcPr>
          <w:p w14:paraId="1E694C62">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 w:hAnsi="仿宋" w:eastAsia="仿宋" w:cs="仿宋"/>
                <w:kern w:val="2"/>
                <w:sz w:val="22"/>
                <w:szCs w:val="22"/>
                <w:lang w:val="en-US" w:eastAsia="zh-CN" w:bidi="ar-SA"/>
                <w14:ligatures w14:val="standardContextual"/>
              </w:rPr>
            </w:pPr>
            <w:r>
              <w:rPr>
                <w:rFonts w:hint="eastAsia" w:ascii="仿宋" w:hAnsi="仿宋" w:eastAsia="仿宋" w:cs="仿宋"/>
                <w:sz w:val="22"/>
                <w:szCs w:val="22"/>
              </w:rPr>
              <w:t>美丽乡村整县建成比例（%）</w:t>
            </w:r>
          </w:p>
        </w:tc>
        <w:tc>
          <w:tcPr>
            <w:tcW w:w="992" w:type="dxa"/>
            <w:tcBorders>
              <w:top w:val="single" w:color="auto" w:sz="4" w:space="0"/>
              <w:left w:val="single" w:color="auto" w:sz="4" w:space="0"/>
              <w:bottom w:val="single" w:color="auto" w:sz="4" w:space="0"/>
              <w:right w:val="nil"/>
            </w:tcBorders>
            <w:shd w:val="clear" w:color="auto" w:fill="auto"/>
            <w:noWrap w:val="0"/>
            <w:tcMar>
              <w:top w:w="60" w:type="dxa"/>
              <w:left w:w="120" w:type="dxa"/>
              <w:bottom w:w="30" w:type="dxa"/>
              <w:right w:w="120" w:type="dxa"/>
            </w:tcMar>
            <w:vAlign w:val="center"/>
          </w:tcPr>
          <w:p w14:paraId="6222E23E">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kern w:val="2"/>
                <w:sz w:val="22"/>
                <w:szCs w:val="22"/>
                <w:highlight w:val="none"/>
                <w:lang w:val="en-US" w:eastAsia="zh-CN" w:bidi="ar-SA"/>
                <w14:ligatures w14:val="standardContextual"/>
              </w:rPr>
            </w:pPr>
            <w:r>
              <w:rPr>
                <w:rFonts w:hint="eastAsia" w:ascii="仿宋" w:hAnsi="仿宋" w:eastAsia="仿宋" w:cs="仿宋"/>
                <w:color w:val="auto"/>
                <w:sz w:val="22"/>
                <w:szCs w:val="22"/>
                <w:highlight w:val="none"/>
              </w:rPr>
              <w:t>—</w:t>
            </w:r>
          </w:p>
        </w:tc>
        <w:tc>
          <w:tcPr>
            <w:tcW w:w="1050" w:type="dxa"/>
            <w:tcBorders>
              <w:top w:val="single" w:color="auto" w:sz="4" w:space="0"/>
              <w:left w:val="single" w:color="auto" w:sz="4" w:space="0"/>
              <w:bottom w:val="single" w:color="auto" w:sz="4" w:space="0"/>
              <w:right w:val="nil"/>
            </w:tcBorders>
            <w:shd w:val="clear" w:color="auto" w:fill="auto"/>
            <w:noWrap w:val="0"/>
            <w:tcMar>
              <w:top w:w="60" w:type="dxa"/>
              <w:left w:w="120" w:type="dxa"/>
              <w:bottom w:w="30" w:type="dxa"/>
              <w:right w:w="120" w:type="dxa"/>
            </w:tcMar>
            <w:vAlign w:val="center"/>
          </w:tcPr>
          <w:p w14:paraId="76CDC63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kern w:val="2"/>
                <w:sz w:val="22"/>
                <w:szCs w:val="22"/>
                <w:highlight w:val="none"/>
                <w:lang w:val="en-US" w:eastAsia="zh-CN" w:bidi="ar-SA"/>
                <w14:ligatures w14:val="standardContextual"/>
              </w:rPr>
            </w:pPr>
            <w:r>
              <w:rPr>
                <w:rFonts w:hint="eastAsia" w:ascii="仿宋" w:hAnsi="仿宋" w:eastAsia="仿宋" w:cs="仿宋"/>
                <w:color w:val="auto"/>
                <w:sz w:val="22"/>
                <w:szCs w:val="22"/>
                <w:highlight w:val="none"/>
              </w:rPr>
              <w:t>≥55</w:t>
            </w:r>
          </w:p>
        </w:tc>
        <w:tc>
          <w:tcPr>
            <w:tcW w:w="1177" w:type="dxa"/>
            <w:tcBorders>
              <w:top w:val="single" w:color="auto" w:sz="4" w:space="0"/>
              <w:left w:val="single" w:color="auto" w:sz="4" w:space="0"/>
              <w:bottom w:val="single" w:color="auto" w:sz="4" w:space="0"/>
              <w:right w:val="nil"/>
            </w:tcBorders>
            <w:shd w:val="clear" w:color="auto" w:fill="auto"/>
            <w:noWrap w:val="0"/>
            <w:tcMar>
              <w:top w:w="60" w:type="dxa"/>
              <w:left w:w="120" w:type="dxa"/>
              <w:bottom w:w="30" w:type="dxa"/>
              <w:right w:w="120" w:type="dxa"/>
            </w:tcMar>
            <w:vAlign w:val="center"/>
          </w:tcPr>
          <w:p w14:paraId="1E7420A6">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 w:hAnsi="仿宋" w:eastAsia="仿宋" w:cs="仿宋"/>
                <w:color w:val="auto"/>
                <w:kern w:val="2"/>
                <w:sz w:val="22"/>
                <w:szCs w:val="22"/>
                <w:highlight w:val="none"/>
                <w:lang w:val="en-US" w:eastAsia="zh-CN" w:bidi="ar-SA"/>
                <w14:ligatures w14:val="standardContextual"/>
              </w:rPr>
            </w:pPr>
            <w:r>
              <w:rPr>
                <w:rFonts w:hint="eastAsia" w:ascii="仿宋" w:hAnsi="仿宋" w:eastAsia="仿宋" w:cs="仿宋"/>
                <w:color w:val="auto"/>
                <w:sz w:val="22"/>
                <w:szCs w:val="22"/>
                <w:highlight w:val="none"/>
              </w:rPr>
              <w:t>预期性</w:t>
            </w:r>
          </w:p>
        </w:tc>
        <w:tc>
          <w:tcPr>
            <w:tcW w:w="3139" w:type="dxa"/>
            <w:tcBorders>
              <w:top w:val="single" w:color="auto" w:sz="4" w:space="0"/>
              <w:left w:val="single" w:color="auto" w:sz="4" w:space="0"/>
              <w:bottom w:val="single" w:color="auto" w:sz="4" w:space="0"/>
              <w:right w:val="single" w:color="auto" w:sz="4" w:space="0"/>
            </w:tcBorders>
            <w:shd w:val="clear" w:color="auto" w:fill="auto"/>
            <w:noWrap w:val="0"/>
            <w:tcMar>
              <w:top w:w="60" w:type="dxa"/>
              <w:left w:w="120" w:type="dxa"/>
              <w:bottom w:w="30" w:type="dxa"/>
              <w:right w:w="120" w:type="dxa"/>
            </w:tcMar>
            <w:vAlign w:val="center"/>
          </w:tcPr>
          <w:p w14:paraId="4FE1C1BA">
            <w:pPr>
              <w:keepNext w:val="0"/>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both"/>
              <w:textAlignment w:val="auto"/>
              <w:rPr>
                <w:rFonts w:hint="eastAsia" w:ascii="仿宋" w:hAnsi="仿宋" w:eastAsia="仿宋" w:cs="仿宋"/>
                <w:kern w:val="2"/>
                <w:sz w:val="22"/>
                <w:szCs w:val="22"/>
                <w:lang w:val="en-US" w:eastAsia="zh-CN" w:bidi="ar-SA"/>
                <w14:ligatures w14:val="standardContextual"/>
              </w:rPr>
            </w:pPr>
            <w:r>
              <w:rPr>
                <w:rFonts w:hint="eastAsia" w:ascii="仿宋" w:hAnsi="仿宋" w:eastAsia="仿宋" w:cs="仿宋"/>
                <w:sz w:val="22"/>
                <w:szCs w:val="22"/>
              </w:rPr>
              <w:t>涵盖全县所有行政村，按照美丽乡村建设标准考核验收</w:t>
            </w:r>
          </w:p>
        </w:tc>
      </w:tr>
    </w:tbl>
    <w:p w14:paraId="0040C649">
      <w:pPr>
        <w:pStyle w:val="38"/>
        <w:pageBreakBefore w:val="0"/>
        <w:kinsoku/>
        <w:wordWrap/>
        <w:topLinePunct w:val="0"/>
        <w:autoSpaceDE/>
        <w:autoSpaceDN/>
        <w:bidi w:val="0"/>
        <w:adjustRightInd/>
        <w:spacing w:before="120" w:beforeAutospacing="0" w:after="120" w:afterAutospacing="0" w:line="560" w:lineRule="exact"/>
        <w:ind w:firstLine="643"/>
        <w:jc w:val="both"/>
        <w:textAlignment w:val="auto"/>
        <w:rPr>
          <w:rFonts w:hint="eastAsia" w:ascii="黑体" w:hAnsi="黑体" w:eastAsia="黑体" w:cs="黑体"/>
          <w:sz w:val="32"/>
          <w:szCs w:val="32"/>
        </w:rPr>
      </w:pPr>
      <w:bookmarkStart w:id="10" w:name="_Toc22518"/>
      <w:r>
        <w:rPr>
          <w:rFonts w:hint="eastAsia" w:ascii="黑体" w:hAnsi="黑体" w:eastAsia="黑体" w:cs="黑体"/>
          <w:sz w:val="32"/>
          <w:szCs w:val="32"/>
        </w:rPr>
        <w:t>三、重点任务</w:t>
      </w:r>
      <w:bookmarkEnd w:id="10"/>
    </w:p>
    <w:p w14:paraId="0C5F490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bookmarkStart w:id="11" w:name="OLE_LINK14"/>
      <w:r>
        <w:rPr>
          <w:rFonts w:hint="eastAsia" w:ascii="仿宋" w:hAnsi="仿宋" w:eastAsia="仿宋" w:cs="仿宋"/>
          <w:sz w:val="32"/>
          <w:szCs w:val="32"/>
        </w:rPr>
        <w:t>全面落实精准科学依法治污，坚持系统观念，突出问题导向、目标导向、结果导向，持续推进污染防治攻坚，更加注重源头治理、系统治理、综合治理，大力推进多污染物控制协同和区域治理协同，深入打好蓝天、碧水、净土保卫战。强化多污染物协同控制和区域联防联控，持续提升空气质量；统筹水资源、水环境、水生态治理，保障饮用水安全，改善河湖生态质量；加强土壤污染源头防控和风险管控，推进固体废物和新污染物治理，守牢环境安全底线；同时，聚焦生态保护修复、绿色低碳发展、资源节约利用、农村人居环境改善、智慧环保建设和环境治理体系完善，明确各项任务的具体实施举措、责任分工、完成时限和量化标准，确保各项目标落地见效。</w:t>
      </w:r>
    </w:p>
    <w:bookmarkEnd w:id="11"/>
    <w:p w14:paraId="5EEF5884">
      <w:pPr>
        <w:pageBreakBefore w:val="0"/>
        <w:kinsoku/>
        <w:wordWrap/>
        <w:overflowPunct w:val="0"/>
        <w:topLinePunct w:val="0"/>
        <w:autoSpaceDE/>
        <w:autoSpaceDN/>
        <w:bidi w:val="0"/>
        <w:adjustRightInd/>
        <w:spacing w:before="120" w:beforeAutospacing="0" w:after="120" w:afterAutospacing="0" w:line="560" w:lineRule="exact"/>
        <w:ind w:firstLine="643" w:firstLineChars="200"/>
        <w:jc w:val="both"/>
        <w:textAlignment w:val="auto"/>
        <w:outlineLvl w:val="1"/>
        <w:rPr>
          <w:rFonts w:hint="eastAsia" w:ascii="仿宋" w:hAnsi="仿宋" w:eastAsia="仿宋" w:cs="仿宋"/>
          <w:b/>
          <w:bCs/>
          <w:sz w:val="32"/>
          <w:szCs w:val="32"/>
          <w14:ligatures w14:val="none"/>
        </w:rPr>
      </w:pPr>
      <w:bookmarkStart w:id="12" w:name="_Toc10599"/>
      <w:r>
        <w:rPr>
          <w:rFonts w:hint="eastAsia" w:ascii="仿宋" w:hAnsi="仿宋" w:eastAsia="仿宋" w:cs="仿宋"/>
          <w:b/>
          <w:bCs/>
          <w:sz w:val="32"/>
          <w:szCs w:val="32"/>
          <w14:ligatures w14:val="none"/>
        </w:rPr>
        <w:t>（一）深化污染防治攻坚，持续改善生态环境质量</w:t>
      </w:r>
      <w:bookmarkEnd w:id="12"/>
    </w:p>
    <w:p w14:paraId="067F54F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聚焦大气、水、土壤、固体废物、新污染物等重点领域，实施精准治污、科学治污、依法治污，补齐污染治理短板，持续提升生态环境质量，确保各项污染物排放总量持续下降，环境安全得到有效保障。</w:t>
      </w:r>
    </w:p>
    <w:p w14:paraId="195D3BBF">
      <w:pPr>
        <w:pageBreakBefore w:val="0"/>
        <w:widowControl/>
        <w:kinsoku/>
        <w:wordWrap/>
        <w:topLinePunct w:val="0"/>
        <w:autoSpaceDE/>
        <w:autoSpaceDN/>
        <w:bidi w:val="0"/>
        <w:adjustRightInd/>
        <w:spacing w:before="120" w:beforeAutospacing="0" w:after="120" w:afterAutospacing="0" w:line="560" w:lineRule="exact"/>
        <w:ind w:firstLine="643" w:firstLineChars="200"/>
        <w:jc w:val="both"/>
        <w:textAlignment w:val="auto"/>
        <w:rPr>
          <w:rFonts w:hint="eastAsia" w:ascii="仿宋" w:hAnsi="仿宋" w:eastAsia="仿宋" w:cs="仿宋"/>
          <w:b/>
          <w:bCs w:val="0"/>
          <w:sz w:val="32"/>
          <w:szCs w:val="32"/>
        </w:rPr>
      </w:pPr>
      <w:r>
        <w:rPr>
          <w:rFonts w:hint="eastAsia" w:ascii="仿宋" w:hAnsi="仿宋" w:eastAsia="仿宋" w:cs="仿宋"/>
          <w:b/>
          <w:bCs w:val="0"/>
          <w:sz w:val="32"/>
          <w:szCs w:val="32"/>
        </w:rPr>
        <w:t>1. 推进大气环境质量巩固提升</w:t>
      </w:r>
    </w:p>
    <w:p w14:paraId="126EEC8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围绕能源矿产发展区（三塘湖工业园区、巴里坤矿区、三塘湖矿区）工业源、移动源、扬尘源、面源等重点污染源治理，细化管控措施，强化协同治理，持续改善县域空气质量，确保优良天数比例稳定提升，重污染天气零发生。</w:t>
      </w:r>
    </w:p>
    <w:p w14:paraId="69FB30D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重点行业超低排放改造：对全县重点排污单位（涵盖煤炭、化工、建材、电力等行业）实施“一企一策”精准监管，严格落实排污许可制度，建立“许可—监测—执法—处罚”闭环管理机制，确保排污单位依法持证排污、按证排污。逐步完成焦化、煤化工等重点行业、重点园区超低排放改造或深度治理，煤化工行业2027年底前完成VOCs、二氧化硫、氮氧化物超低排放改造。从源头上消减煤炭消费产生的多污染协同排放，实施从原料投入、生产工艺到末端治理的全流程、一体化管控，配套建设高效除尘、脱硫、脱硝设施，确保二氧化硫、氮氧化物、颗粒物、挥发性有机物（VOCs）等污染物稳定达标排放，排放浓度达到行业超低排放标准。同时，推动重点企业安装烟气在线监测系统和用电监管系统，实现数据实时上传、异常预警、闭环处置，在线监测数据有效传输率达到99%以上。</w:t>
      </w:r>
      <w:r>
        <w:rPr>
          <w:rFonts w:hint="eastAsia" w:ascii="仿宋" w:hAnsi="仿宋" w:eastAsia="仿宋" w:cs="仿宋"/>
          <w:sz w:val="32"/>
          <w:szCs w:val="32"/>
          <w:lang w:eastAsia="zh-CN"/>
        </w:rPr>
        <w:t>（</w:t>
      </w:r>
      <w:r>
        <w:rPr>
          <w:rFonts w:hint="eastAsia" w:ascii="仿宋" w:hAnsi="仿宋" w:eastAsia="仿宋" w:cs="仿宋"/>
          <w:sz w:val="32"/>
          <w:szCs w:val="32"/>
        </w:rPr>
        <w:t>牵头单位：生态环境分局；配合单位：发改委、</w:t>
      </w:r>
      <w:r>
        <w:rPr>
          <w:rFonts w:hint="eastAsia" w:ascii="仿宋" w:hAnsi="仿宋" w:eastAsia="仿宋" w:cs="仿宋"/>
          <w:sz w:val="32"/>
          <w:szCs w:val="32"/>
          <w:lang w:eastAsia="zh-CN"/>
        </w:rPr>
        <w:t>商科工局</w:t>
      </w:r>
      <w:r>
        <w:rPr>
          <w:rFonts w:hint="eastAsia" w:ascii="仿宋" w:hAnsi="仿宋" w:eastAsia="仿宋" w:cs="仿宋"/>
          <w:sz w:val="32"/>
          <w:szCs w:val="32"/>
        </w:rPr>
        <w:t>、市场监管局</w:t>
      </w:r>
      <w:r>
        <w:rPr>
          <w:rFonts w:hint="eastAsia" w:ascii="仿宋" w:hAnsi="仿宋" w:eastAsia="仿宋" w:cs="仿宋"/>
          <w:sz w:val="32"/>
          <w:szCs w:val="32"/>
          <w:lang w:eastAsia="zh-CN"/>
        </w:rPr>
        <w:t>；</w:t>
      </w:r>
      <w:r>
        <w:rPr>
          <w:rFonts w:hint="eastAsia" w:ascii="仿宋" w:hAnsi="仿宋" w:eastAsia="仿宋" w:cs="仿宋"/>
          <w:sz w:val="32"/>
          <w:szCs w:val="32"/>
        </w:rPr>
        <w:t>责任分工：生态环境分局负责统筹推进改造工作、日常监测监管及执法处罚，发改委负责协调能源供应及清洁能源替代相关事宜，</w:t>
      </w:r>
      <w:r>
        <w:rPr>
          <w:rFonts w:hint="eastAsia" w:ascii="仿宋" w:hAnsi="仿宋" w:eastAsia="仿宋" w:cs="仿宋"/>
          <w:sz w:val="32"/>
          <w:szCs w:val="32"/>
          <w:lang w:eastAsia="zh-CN"/>
        </w:rPr>
        <w:t>商科工局</w:t>
      </w:r>
      <w:r>
        <w:rPr>
          <w:rFonts w:hint="eastAsia" w:ascii="仿宋" w:hAnsi="仿宋" w:eastAsia="仿宋" w:cs="仿宋"/>
          <w:sz w:val="32"/>
          <w:szCs w:val="32"/>
        </w:rPr>
        <w:t>负责督促工业企业落实改造主体责任、优化生产工艺，市场监管局负责锅炉等相关设备的质量监管；完成时限：2028年底前全部完成，长期坚持监管）</w:t>
      </w:r>
    </w:p>
    <w:p w14:paraId="208051D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VOCs全过程综合治理：全面开展县域VOCs排放源排查，建立完善的VOCs排放源清单，明确排放源位置、排放量、污染类型等信息，实行动态更新管理。聚焦化工、涂装、包装印刷、油品储运、汽修等重点行业，全面推进源头替代、过程控制和高效末端治理。化工行业重点推进泄漏检测与修复（LDAR）技术全覆盖，每季度开展一次泄漏检测，及时修复泄漏点，泄漏点修复率达到100%；包装印刷行业推广使用水性油墨、无溶剂油墨，VOCs收集率达到90%以上，治理设施去除率达到85%以上；油品储运行业严格落实油气回收制度，汽油储罐、加油站、油罐车油气回收设施运行率达到100%，回收效率达到行业标准。同时，加强VOCs无组织排放管控，企业生产车间、原料储存区、废弃物堆放区等区域实现密闭管理，无组织排放浓度达到相关标准要求。（牵头单位：生态环境分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、市场监管局、交通运输局；责任分工：生态环境分局负责VOCs排放源排查、清单更新、治理效果监测及执法监管，</w:t>
      </w:r>
      <w:r>
        <w:rPr>
          <w:rFonts w:hint="eastAsia" w:ascii="仿宋" w:hAnsi="仿宋" w:eastAsia="仿宋" w:cs="仿宋"/>
          <w:sz w:val="32"/>
          <w:szCs w:val="32"/>
          <w:lang w:eastAsia="zh-CN"/>
        </w:rPr>
        <w:t>商科工局</w:t>
      </w:r>
      <w:r>
        <w:rPr>
          <w:rFonts w:hint="eastAsia" w:ascii="仿宋" w:hAnsi="仿宋" w:eastAsia="仿宋" w:cs="仿宋"/>
          <w:sz w:val="32"/>
          <w:szCs w:val="32"/>
        </w:rPr>
        <w:t>负责督促工业企业落实治理措施、推广清洁生产技术，市场监管局负责规范VOCs相关产品销售行为、查处不合格产品，交通运输局负责油品储运环节及汽修行业VOCs治理的督促落实；完成时限：2027年底前取得阶段性成效，2028年底前全面完成治理，长期坚持监管）</w:t>
      </w:r>
    </w:p>
    <w:p w14:paraId="50374906">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燃煤锅炉综合整治：严格落实燃煤锅炉淘汰和改造要求，全面淘汰县城建成区、工业园区内10蒸吨/小时以下燃煤锅炉，淘汰后不得擅自恢复使用。对全县10蒸吨/小时以上燃煤锅炉全部完成超低排放改造，配套建设高效除尘、脱硫、脱硝设施，改造后污染物排放浓度达到超低排放标准。同时，加强燃煤锅炉日常监管，建立燃煤锅炉台账，定期开展监督检测，确保锅炉稳定运行、达标排放，对超标排放的依法严肃处罚。推进清洁能源替代，鼓励企业、单位使用天然气、电、生物质能等清洁能源替代燃煤，减少燃煤污染。（牵头单位：生态环境分局；配合单位：市场监管局、住建局、发改委；责任分工：生态环境分局负责锅炉淘汰、改造的统筹推进及排放监管，市场监管局负责锅炉安全监察及改造质量监管，住建局负责县城建成区锅炉淘汰的具体落实，发改委负责清洁能源供应保障及替代方案统筹；完成时限：2028年底前全部完成淘汰和改造，长期坚持监管）</w:t>
      </w:r>
    </w:p>
    <w:p w14:paraId="1A6246A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（4）移动源污染管控：全面淘汰国三及以下排放标准柴油货车，加快国四及以下柴油货车淘汰进程，“十五五”期间累计淘汰老旧柴油货车</w:t>
      </w:r>
      <w:r>
        <w:rPr>
          <w:rFonts w:hint="eastAsia" w:ascii="仿宋" w:hAnsi="仿宋" w:eastAsia="仿宋" w:cs="仿宋"/>
          <w:sz w:val="32"/>
          <w:szCs w:val="32"/>
          <w:lang w:val="en-US" w:eastAsia="zh-CN"/>
        </w:rPr>
        <w:t>100</w:t>
      </w:r>
      <w:r>
        <w:rPr>
          <w:rFonts w:hint="eastAsia" w:ascii="仿宋" w:hAnsi="仿宋" w:eastAsia="仿宋" w:cs="仿宋"/>
          <w:sz w:val="32"/>
          <w:szCs w:val="32"/>
        </w:rPr>
        <w:t>辆以上，其中2027年底前淘汰</w:t>
      </w:r>
      <w:r>
        <w:rPr>
          <w:rFonts w:hint="eastAsia" w:ascii="仿宋" w:hAnsi="仿宋" w:eastAsia="仿宋" w:cs="仿宋"/>
          <w:sz w:val="32"/>
          <w:szCs w:val="32"/>
          <w:lang w:val="en-US" w:eastAsia="zh-CN"/>
        </w:rPr>
        <w:t>50</w:t>
      </w:r>
      <w:r>
        <w:rPr>
          <w:rFonts w:hint="eastAsia" w:ascii="仿宋" w:hAnsi="仿宋" w:eastAsia="仿宋" w:cs="仿宋"/>
          <w:sz w:val="32"/>
          <w:szCs w:val="32"/>
        </w:rPr>
        <w:t>辆，2028年底前全部完成淘汰。严格落实机动车尾气排放标准，加强机动车尾气精准执法，在县城东、西、北3个主要出入口设置机动车遥感监测点，24小时不间断监测柴油货车、重型卡车尾气排放，对超标排放车辆依法予以处罚，并责令限期整改，超标车辆整改率达到100%。推进公交、出租、环卫、物流等公共领域车辆新能源化，“十五五”期间新增/更新公交、出租车辆100%采用新能源车辆，机关事业单位新增公务用车新能源占比不低于50%，到2030年，全县新能源车辆保有量较2025年增长50%以上。完善充电基础设施网络，在县城、三塘湖工业园区、重点景区、乡镇政府所在地建设充电桩，实现全覆盖，其中县城建设集中式充电站5座、分散式充电桩</w:t>
      </w:r>
      <w:r>
        <w:rPr>
          <w:rFonts w:hint="eastAsia" w:ascii="仿宋" w:hAnsi="仿宋" w:eastAsia="仿宋" w:cs="仿宋"/>
          <w:sz w:val="32"/>
          <w:szCs w:val="32"/>
          <w:lang w:val="en-US" w:eastAsia="zh-CN"/>
        </w:rPr>
        <w:t>5</w:t>
      </w:r>
      <w:r>
        <w:rPr>
          <w:rFonts w:hint="eastAsia" w:ascii="仿宋" w:hAnsi="仿宋" w:eastAsia="仿宋" w:cs="仿宋"/>
          <w:sz w:val="32"/>
          <w:szCs w:val="32"/>
        </w:rPr>
        <w:t>0个，工业园区建设集中式充电站2座，重点景区建设充电桩30个，满足新能源车辆出行需求。加强非道路移动机械污染管控，划定非道路移动机械禁止使用区域，对进入区域的非道路移动机械进行尾气检测，超标机械禁止使用，检测合格率达到95%以上。（牵头单位：公安局、交通运输局；配合单位：生态环境分局、住建局、发改委；责任分工：公安局负责机动车尾气执法、老旧车辆淘汰管控及非道路移动机械禁止区域划定，交通运输局负责营运车辆（公交、出租、物流车）新能源替代及充电桩布局统筹，生态环境分局负责尾气检测技术支撑及排放监管，住建局负责县城充电桩建设落实，发改委负责新能源车辆推广及充电设施资金统筹；完成时限：2028年底前完成淘汰和基础设施建设，长期坚持监管）</w:t>
      </w:r>
    </w:p>
    <w:p w14:paraId="72AD1640">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扬尘精细化管控：严格落实施工工地扬尘管控“六个百分百”要求（工地周边围挡、物料堆放覆盖、土方开挖湿法作业、路面硬化、出入车辆清洗、渣土车辆密闭运输），全县所有在建施工工地（包括房地产开发、道路建设、水利工程、矿山开采等）必须安装扬尘监测设备和视频监控设备，数据实时接入住建部门和生态环境部门监管平台，监测数据异常时及时预警、督促整改，整改率达到100%。施工工地出入口必须设置车辆冲洗设施，车辆冲洗干净后方可驶出，严禁带泥上路。推进道路机械化清扫和雾炮联合作业，县城建成区道路机械化清扫率保持在85%以上，其中主次干道机械化清扫率达到90%以上，每日洒水抑尘，重点路段（如县城主干道、工业园区道路）增加洒水频次，雾炮车循环作业。加强道路扬尘管控，及时修补破损路面，减少道路扬尘产生；对运输砂石、煤炭、渣土等易产生扬尘物料的车辆，必须采取密闭运输措施，严禁沿途抛洒，对违规车辆依法予以处罚。加强堆场扬尘管控，工业物料、煤炭、砂石等堆场必须实现全封闭仓储，露天堆场必须采取全覆盖、喷淋抑尘等措施，取缔非法露天堆场，“十五五”期间取缔非法堆场10处以上。（牵头单位：住建局；配合单位：生态环境分局、交通运输局、自然资源局、水利局；责任分工：住建局负责施工工地扬尘管控、县城道路清扫洒水及堆场扬尘整治的统筹推进，生态环境分局负责扬尘监测数据监管及污染执法，交通运输局负责渣土运输车辆管控及道路扬尘治理，自然资源局负责矿山开采工地扬尘管控及非法堆场取缔，水利局负责水利工程施工扬尘管控；完成时限：长期坚持）</w:t>
      </w:r>
    </w:p>
    <w:p w14:paraId="60CD276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（6）智慧大气监管体系建设：依托县域“天地空”一体化生态环境监测网络，完善大气环境监测站点布局，在县城建成区、三塘湖工业园区、重点矿区、交通主干道等关键区域，新增10个大气微型监测站，实现PM</w:t>
      </w:r>
      <w:r>
        <w:rPr>
          <w:rFonts w:hint="eastAsia" w:ascii="仿宋" w:hAnsi="仿宋" w:eastAsia="仿宋" w:cs="仿宋"/>
          <w:sz w:val="32"/>
          <w:szCs w:val="32"/>
          <w:vertAlign w:val="subscript"/>
          <w:lang w:val="en-US" w:eastAsia="zh-CN"/>
        </w:rPr>
        <w:t>2.5</w:t>
      </w:r>
      <w:r>
        <w:rPr>
          <w:rFonts w:hint="eastAsia" w:ascii="仿宋" w:hAnsi="仿宋" w:eastAsia="仿宋" w:cs="仿宋"/>
          <w:sz w:val="32"/>
          <w:szCs w:val="32"/>
        </w:rPr>
        <w:t>、PM</w:t>
      </w:r>
      <w:r>
        <w:rPr>
          <w:rFonts w:hint="eastAsia" w:ascii="仿宋" w:hAnsi="仿宋" w:eastAsia="仿宋" w:cs="仿宋"/>
          <w:sz w:val="32"/>
          <w:szCs w:val="32"/>
          <w:vertAlign w:val="subscript"/>
          <w:lang w:val="en-US" w:eastAsia="zh-CN"/>
        </w:rPr>
        <w:t>10</w:t>
      </w:r>
      <w:r>
        <w:rPr>
          <w:rFonts w:hint="eastAsia" w:ascii="仿宋" w:hAnsi="仿宋" w:eastAsia="仿宋" w:cs="仿宋"/>
          <w:sz w:val="32"/>
          <w:szCs w:val="32"/>
        </w:rPr>
        <w:t>、O₃、VOCs等主要污染物全时段、全覆盖监测，监测数据实时接入智慧环保平台，形成“监测—分析—预警—处置”闭环管理。建立大气污染溯源体系，运用无人机巡查、大数据分析等技术，精准识别大气污染源头，对工业源、扬尘源、移动源等污染隐患进行提前预警。</w:t>
      </w:r>
      <w:r>
        <w:rPr>
          <w:rFonts w:hint="eastAsia" w:ascii="仿宋" w:hAnsi="仿宋" w:eastAsia="仿宋" w:cs="仿宋"/>
          <w:color w:val="auto"/>
          <w:sz w:val="32"/>
          <w:szCs w:val="32"/>
          <w:highlight w:val="none"/>
        </w:rPr>
        <w:t>建立预警信息发布、响应、反馈的闭环管理机制，不断提升预警的精准度和时效性。</w:t>
      </w:r>
      <w:r>
        <w:rPr>
          <w:rFonts w:hint="eastAsia" w:ascii="仿宋" w:hAnsi="仿宋" w:eastAsia="仿宋" w:cs="仿宋"/>
          <w:sz w:val="32"/>
          <w:szCs w:val="32"/>
        </w:rPr>
        <w:t>制定重污染天气应急预案（修订版），明确应急响应流程、责任分工和管控措施，定期开展应急演练，每年至少开展2次实战化演练，提升应急处置能力，确保重污染天气零发生。加强区域联防联控，与周边</w:t>
      </w:r>
      <w:r>
        <w:rPr>
          <w:rFonts w:hint="eastAsia" w:ascii="仿宋" w:hAnsi="仿宋" w:eastAsia="仿宋" w:cs="仿宋"/>
          <w:sz w:val="32"/>
          <w:szCs w:val="32"/>
          <w:lang w:val="en-US" w:eastAsia="zh-CN"/>
        </w:rPr>
        <w:t>兵团</w:t>
      </w:r>
      <w:r>
        <w:rPr>
          <w:rFonts w:hint="eastAsia" w:ascii="仿宋" w:hAnsi="仿宋" w:eastAsia="仿宋" w:cs="仿宋"/>
          <w:sz w:val="32"/>
          <w:szCs w:val="32"/>
        </w:rPr>
        <w:t>建立大气污染联防联控机制，共享监测数据、协同处置污染问题，共同提升区域空气质量。（牵头单位：生态环境分局；配合单位：住建局、公安局、交通运输局、</w:t>
      </w:r>
      <w:r>
        <w:rPr>
          <w:rFonts w:hint="eastAsia" w:ascii="仿宋" w:hAnsi="仿宋" w:eastAsia="仿宋" w:cs="仿宋"/>
          <w:sz w:val="32"/>
          <w:szCs w:val="32"/>
          <w:lang w:eastAsia="zh-CN"/>
        </w:rPr>
        <w:t>商科工局</w:t>
      </w:r>
      <w:r>
        <w:rPr>
          <w:rFonts w:hint="eastAsia" w:ascii="仿宋" w:hAnsi="仿宋" w:eastAsia="仿宋" w:cs="仿宋"/>
          <w:sz w:val="32"/>
          <w:szCs w:val="32"/>
        </w:rPr>
        <w:t>；责任分工：生态环境分局负责智慧大气监管体系建设、监测网络完善、污染溯源及应急统筹，住建局、公安局、交通运输局、</w:t>
      </w:r>
      <w:r>
        <w:rPr>
          <w:rFonts w:hint="eastAsia" w:ascii="仿宋" w:hAnsi="仿宋" w:eastAsia="仿宋" w:cs="仿宋"/>
          <w:sz w:val="32"/>
          <w:szCs w:val="32"/>
          <w:lang w:eastAsia="zh-CN"/>
        </w:rPr>
        <w:t>商科工局</w:t>
      </w:r>
      <w:r>
        <w:rPr>
          <w:rFonts w:hint="eastAsia" w:ascii="仿宋" w:hAnsi="仿宋" w:eastAsia="仿宋" w:cs="仿宋"/>
          <w:sz w:val="32"/>
          <w:szCs w:val="32"/>
        </w:rPr>
        <w:t>按照职责分工，落实应急状态下的污染管控措施，配合开展应急演练；完成时限：2029年底前全面建成智慧大气监管体系，长期坚持运行和优化）</w:t>
      </w:r>
    </w:p>
    <w:p w14:paraId="1311BAE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（7）面源污染综合治理：加强农业面源大气污染管控，严禁露天焚烧秸秆、杂草、农膜等农业废弃物，建立“县、乡（镇）、村、组”四级防控体系，明确各级防控责任，配备专</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兼</w:t>
      </w:r>
      <w:r>
        <w:rPr>
          <w:rFonts w:hint="eastAsia" w:ascii="仿宋" w:hAnsi="仿宋" w:eastAsia="仿宋" w:cs="仿宋"/>
          <w:sz w:val="32"/>
          <w:szCs w:val="32"/>
          <w:lang w:eastAsia="zh-CN"/>
        </w:rPr>
        <w:t>）</w:t>
      </w:r>
      <w:r>
        <w:rPr>
          <w:rFonts w:hint="eastAsia" w:ascii="仿宋" w:hAnsi="仿宋" w:eastAsia="仿宋" w:cs="仿宋"/>
          <w:sz w:val="32"/>
          <w:szCs w:val="32"/>
        </w:rPr>
        <w:t>职巡查人员，实行常态化巡查，对露天焚烧行为依法予以处罚，露天焚烧发生率控制在0.1‰以下。推进秸秆综合利用，推广秸秆还田、饲料化、基料化等利用模式，提升秸秆综合利用率，到2030年达到90%以上。加强畜禽养殖大气污染治理，规模化畜禽养殖场（小区）必须配套建设粪污储存、处理和利用设施，采用密闭式养殖、发酵处理等方式，减少氨气、硫化氢等恶臭气体排放，恶臭气体排放达到相关标准要求，规模化畜禽养殖场（小区）治理覆盖率达到100%。加强餐饮油烟污染治理，县城建成区所有餐饮单位（含个体工商户）必须安装高效油烟净化设施，定期清洗维护，确保油烟达标排放，油烟净化设施安装率、运行率均达到100%；严禁露天烧烤，划定露天烧烤禁止区域，对违规露天烧烤行为依法予以取缔和处罚。（牵头单位：农业农村局、市场监管局；配合单位：生态环境分局、各乡镇人民政府；责任分工：农业农村局负责农业面源、畜禽养殖大气污染治理及秸秆综合利用的统筹推进，市场监管局负责餐饮油烟污染治理及露天烧烤管控，生态环境分局负责排放监测及执法监管，各乡镇人民政府负责本辖区内露天焚烧防控、秸秆综合利用及畜禽养殖污染治理的具体落实；完成时限：2027年底前完成四级防控体系建设及餐饮油烟、畜禽养殖污染治理，2030年底前完成秸秆综合利用目标，长期坚持管控）</w:t>
      </w:r>
      <w:bookmarkStart w:id="13" w:name="heading_12"/>
    </w:p>
    <w:p w14:paraId="5EAFE00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2.持续提升水环境质量</w:t>
      </w:r>
      <w:bookmarkEnd w:id="13"/>
    </w:p>
    <w:p w14:paraId="734B877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立足巴里坤县“河湖相连、山水相依”的水环境格局，统筹水资源、水环境、水生态“三水共治”，聚焦地表水、地下水、饮用水水源地、农村生活污水等重点领域，强化污染防控和生态修复，确保水环境质量持续保持优良，守牢饮用水安全底线。</w:t>
      </w:r>
    </w:p>
    <w:p w14:paraId="0DBDA14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地表水生态保护与治理：严格落实河（湖）长制，健全县、乡（镇）、村三级河（湖）长体系，明确各级河（湖）长职责，实行“一河一策、一湖一策”治理方案，定期开展巡河巡湖，及时排查整治河湖沿岸污染隐患，确保河湖生态安全。重点加强巴里坤湖、柳条河、西黑沟等重点河湖生态保护，实施河湖岸线生态修复工程，清理河湖沿岸垃圾、废弃构筑物，整治乱占、乱采、乱堆、乱建等问题。加强入河湖排污口管控，全面排查县域内入河湖排污口，建立排污口清单，实行“一口一策”管控，依法取缔非法入河湖排污口，规范合法排污口设置，确保入河湖排污口达标排放率达到100%。推进河湖生态流量保障，科学调配水资源，保障重点河湖生态流量，防止河湖断流，维护河湖生态系统完整性，巴里坤湖水位保持稳定，柳条河等河流生态流量满足生态需求。（牵头单位：水利局、生态环境分局；配合单位：各乡镇人民政府、自然资源局；责任分工：水利局负责河（湖）长制落实、河湖岸线整治、生态流量调配，生态环境分局负责入河湖排污口排查管控及水质监测，各乡镇人民政府负责本辖区内河湖巡护及污染隐患排查整治，自然资源局负责河湖岸线生态修复用地保障；完成时限：2028年底前完成排污口排查管控及河湖岸线整治，长期坚持巡护和生态保障）</w:t>
      </w:r>
    </w:p>
    <w:p w14:paraId="13C30B6E">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地下水保护与治理：严格落实地下水超采管控措施，划定地下水超采区、禁采区和限采区，实行地下水取用水总量控制，严控地下水开采量，“十五五”期间地下水取用水总量控制在自治区下达指标内，地下水超采得到有效遏制。加强地下水污染防控，重点管控工业园区、矿山开采区、畜禽养殖区、垃圾填埋场等重点区域地下水污染，定期开展地下水水质监测，建立地下水污染隐患清单，及时整改污染隐患，确保地下水质量V类水比例保持0。规范地下水取水许可管理，严格审批地下水取水许可，严禁非法开采地下水，对违规取水行为依法予以处罚。（牵头单位：水利局、生态环境分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、农业农村局；责任分工：水利局负责地下水取用水总量控制、取水许可管理及超采管控，生态环境分局负责地下水水质监测、污染隐患排查及修复工程统筹，</w:t>
      </w:r>
      <w:r>
        <w:rPr>
          <w:rFonts w:hint="eastAsia" w:ascii="仿宋" w:hAnsi="仿宋" w:eastAsia="仿宋" w:cs="仿宋"/>
          <w:sz w:val="32"/>
          <w:szCs w:val="32"/>
          <w:lang w:eastAsia="zh-CN"/>
        </w:rPr>
        <w:t>商科工局</w:t>
      </w:r>
      <w:r>
        <w:rPr>
          <w:rFonts w:hint="eastAsia" w:ascii="仿宋" w:hAnsi="仿宋" w:eastAsia="仿宋" w:cs="仿宋"/>
          <w:sz w:val="32"/>
          <w:szCs w:val="32"/>
        </w:rPr>
        <w:t>、农业农村局分别负责工业园区、畜禽养殖区地下水污染防控；完成时限：长期坚持管控和监测）</w:t>
      </w:r>
    </w:p>
    <w:p w14:paraId="2642630D">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饮用水水源地保护：严格落实饮用水水源地保护制度，全面加强县级及乡镇集中式饮用水水源地保护，划定饮用水水源保护区，设置保护区标识、隔离设施，严禁在保护区内从事非法建设、养殖、种植等活动。定期开展饮用水水源地水质监测</w:t>
      </w:r>
      <w:r>
        <w:rPr>
          <w:rFonts w:hint="eastAsia" w:ascii="仿宋" w:hAnsi="仿宋" w:eastAsia="仿宋" w:cs="仿宋"/>
          <w:color w:val="auto"/>
          <w:sz w:val="32"/>
          <w:szCs w:val="32"/>
        </w:rPr>
        <w:t>，县级集中式饮用水水源地</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乡镇集中式饮用水水源地每</w:t>
      </w:r>
      <w:r>
        <w:rPr>
          <w:rFonts w:hint="eastAsia" w:ascii="仿宋" w:hAnsi="仿宋" w:eastAsia="仿宋" w:cs="仿宋"/>
          <w:color w:val="auto"/>
          <w:sz w:val="32"/>
          <w:szCs w:val="32"/>
          <w:lang w:val="en-US" w:eastAsia="zh-CN"/>
        </w:rPr>
        <w:t>半年</w:t>
      </w:r>
      <w:r>
        <w:rPr>
          <w:rFonts w:hint="eastAsia" w:ascii="仿宋" w:hAnsi="仿宋" w:eastAsia="仿宋" w:cs="仿宋"/>
          <w:color w:val="auto"/>
          <w:sz w:val="32"/>
          <w:szCs w:val="32"/>
        </w:rPr>
        <w:t>监测1次，监</w:t>
      </w:r>
      <w:r>
        <w:rPr>
          <w:rFonts w:hint="eastAsia" w:ascii="仿宋" w:hAnsi="仿宋" w:eastAsia="仿宋" w:cs="仿宋"/>
          <w:sz w:val="32"/>
          <w:szCs w:val="32"/>
        </w:rPr>
        <w:t>测数据及时公开，确保饮用水水源地水质达标率达到100%。推进饮用水水源地规范化建设，完善水源地污染防控设施，建设水源地应急防护工程，提升水源地应急保障能力。加强饮用水水源地周边污染治理，清理水源地周边垃圾、污水，整治畜禽养殖、农业种植等面源污染，建立水源地周边污染防控长效机制。（牵头单位：生态环境分局、水利局；配合单位：各乡镇人民政府、住建局、农业农村局；责任分工：生态环境分局负责饮用水水源地水质监测、保护区划定及污染防控，水利局负责备用水源地建设及水源调配，各乡镇人民政府负责本辖区内饮用水水源地周边污染治理，住建局负责县城饮用水供水保障，农业农村局负责水源地周边农业面源、畜禽养殖污染防控；完成时限：2028年底前全部完成备用水源地建设，长期坚持保护和监测）</w:t>
      </w:r>
    </w:p>
    <w:p w14:paraId="0967BEA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农村生活污水治理：结合美丽乡村建设，推进农村生活污水治理，因地制宜采用集中式、分散式、生态化等治理模式，优先治理乡镇政府所在地、中心村、旅游景点周边村庄的生活污水。“十五五”期间，全县农村生活污水治理率达到</w:t>
      </w:r>
      <w:r>
        <w:rPr>
          <w:rFonts w:hint="eastAsia" w:ascii="仿宋" w:hAnsi="仿宋" w:eastAsia="仿宋" w:cs="仿宋"/>
          <w:sz w:val="32"/>
          <w:szCs w:val="32"/>
          <w:lang w:val="en-US" w:eastAsia="zh-CN"/>
        </w:rPr>
        <w:t>5</w:t>
      </w:r>
      <w:r>
        <w:rPr>
          <w:rFonts w:hint="eastAsia" w:ascii="仿宋" w:hAnsi="仿宋" w:eastAsia="仿宋" w:cs="仿宋"/>
          <w:sz w:val="32"/>
          <w:szCs w:val="32"/>
        </w:rPr>
        <w:t>0%以上，其中乡镇政府所在地村庄生活污水治理率达到100%，中心村治理率达到80%以上。完善农村生活污水收集管网建设，推进污水管网全覆盖，避免污水直排河湖、土壤。加强农村生活污水处理设施运维管理，建立“政府主导、第三方运维、群众监督”的运维机制，确保污水处理设施运行率达到90%以上，处理后污水达标排放。推广农村生活污水资源化利用，将处理达标后的污水用于农田灌溉、林地浇灌等，提高水资源利用效率。（牵头单位：农业农村局、住建局；配合单位：生态环境分局、各乡镇人民政府、发改委；责任分工：农业农村局负责农村生活污水治理统筹推进及资源化利用，住建局负责</w:t>
      </w:r>
      <w:r>
        <w:rPr>
          <w:rFonts w:hint="eastAsia" w:ascii="仿宋" w:hAnsi="仿宋" w:eastAsia="仿宋" w:cs="仿宋"/>
          <w:sz w:val="32"/>
          <w:szCs w:val="32"/>
          <w:lang w:val="en-US" w:eastAsia="zh-CN"/>
        </w:rPr>
        <w:t>县城镇</w:t>
      </w:r>
      <w:r>
        <w:rPr>
          <w:rFonts w:hint="eastAsia" w:ascii="仿宋" w:hAnsi="仿宋" w:eastAsia="仿宋" w:cs="仿宋"/>
          <w:sz w:val="32"/>
          <w:szCs w:val="32"/>
        </w:rPr>
        <w:t>污水管网及处理设施建设，生态环境分局负责污水处理设施排放监测及执法监管，各乡镇人民政府负责本辖区内农村生活污水治理具体落实，发改委负责资金统筹；完成时限：2030年底前完成治理目标，长期坚持运维管理）</w:t>
      </w:r>
    </w:p>
    <w:p w14:paraId="0754E2E8">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（5）水生态修复工程：实施山水林田湖草沙冰一体化生态修复工程，重点推进柳条河流域、巴里坤湖周边生态修复，种植水生植物、乔灌木，提升水体自净能力，改善水生态环境。开展</w:t>
      </w:r>
      <w:r>
        <w:rPr>
          <w:rFonts w:hint="eastAsia" w:ascii="仿宋" w:hAnsi="仿宋" w:eastAsia="仿宋" w:cs="仿宋"/>
          <w:sz w:val="32"/>
          <w:szCs w:val="32"/>
          <w:lang w:eastAsia="zh-CN"/>
        </w:rPr>
        <w:t>湿地保护修复</w:t>
      </w:r>
      <w:r>
        <w:rPr>
          <w:rFonts w:hint="eastAsia" w:ascii="仿宋" w:hAnsi="仿宋" w:eastAsia="仿宋" w:cs="仿宋"/>
          <w:sz w:val="32"/>
          <w:szCs w:val="32"/>
        </w:rPr>
        <w:t>，加强巴里坤湖湿地、柳条河湿地等重点湿地保护，修复退化湿地15平方公里，提升湿地生态功能，确保湿地保护率达到100%。推进水土流失治理，重点治理县域内水土流失严重区域，实施坡耕地整治、植树造林、固土保水等</w:t>
      </w:r>
      <w:r>
        <w:rPr>
          <w:rFonts w:hint="eastAsia" w:ascii="仿宋" w:hAnsi="仿宋" w:eastAsia="仿宋" w:cs="仿宋"/>
          <w:color w:val="auto"/>
          <w:sz w:val="32"/>
          <w:szCs w:val="32"/>
        </w:rPr>
        <w:t>措施，“十五五”期间完成水土流失治理面积50平方公里以上，提升水土保持能力。（牵头单</w:t>
      </w:r>
      <w:r>
        <w:rPr>
          <w:rFonts w:hint="eastAsia" w:ascii="仿宋" w:hAnsi="仿宋" w:eastAsia="仿宋" w:cs="仿宋"/>
          <w:sz w:val="32"/>
          <w:szCs w:val="32"/>
        </w:rPr>
        <w:t>位：自然资源局、水利局、林业和草原局；配合单位：生态环境分局、各乡镇人民政府；责任分工：自然资源局负责山水林田湖草沙冰一体化生态修复工程统筹，水利局负责水土流失治理及河湖生态修复，林业和草原局负责</w:t>
      </w:r>
      <w:r>
        <w:rPr>
          <w:rFonts w:hint="eastAsia" w:ascii="仿宋" w:hAnsi="仿宋" w:eastAsia="仿宋" w:cs="仿宋"/>
          <w:sz w:val="32"/>
          <w:szCs w:val="32"/>
          <w:lang w:eastAsia="zh-CN"/>
        </w:rPr>
        <w:t>湿地保护修复</w:t>
      </w:r>
      <w:r>
        <w:rPr>
          <w:rFonts w:hint="eastAsia" w:ascii="仿宋" w:hAnsi="仿宋" w:eastAsia="仿宋" w:cs="仿宋"/>
          <w:sz w:val="32"/>
          <w:szCs w:val="32"/>
        </w:rPr>
        <w:t>及植树造林，生态环境分局负责生态修复效果监测，各乡镇人民政府负责本辖区内生态修复工程具体落实；完成时限：2030年底前完成修复目标，长期坚持保护）</w:t>
      </w:r>
      <w:bookmarkStart w:id="14" w:name="heading_13"/>
    </w:p>
    <w:p w14:paraId="069BD4D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3. 强化土壤与地下水污染协同防控</w:t>
      </w:r>
      <w:bookmarkEnd w:id="14"/>
    </w:p>
    <w:p w14:paraId="4E86AD1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坚持“预防为主、防治结合、风险管控”的原则，加强土壤污染源头防控，强化重点区域、重点行业土壤污染风险管控，推进土壤污染修复，实现土壤与地下水污染协同防控，守牢土壤环境安全底线。</w:t>
      </w:r>
    </w:p>
    <w:p w14:paraId="1D86BEB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土壤污染源头防控：严格管控重点行业土壤污染，聚焦煤炭、化工、建材、矿山开采、畜禽养殖等重点行业，加强企业生产过程中土壤污染防控，督促企业落实土壤污染防治主体责任，规范生产工艺，配套建设土壤污染防控设施，防止污染物渗漏、流失，污染土壤和地下水。加强农业面源土壤污染防控，合理使用化肥、农药、农膜，推广测土配方施肥、绿色防控等技术，减少化肥、农药使用量，“十五五”期间化肥、农药使用量较2025年分别下降10%以上，农膜回收率稳定在85%以上。加强固体废物处置场所土壤污染防控，规范垃圾填埋场、危险废物处置场、一般工业固体废物堆场等场所建设和运维，配套建设防渗、防渗漏设施，定期开展土壤和地下水监测，及时排查整治污染隐患。（牵头单位：生态环境分局、农业农村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、自然资源局、住建局；责任分工：生态环境分局负责重点行业土壤污染防控及固体废物处置场所监管，农业农村局负责农业面源土壤污染防控及农膜回收、化肥农药减量，</w:t>
      </w:r>
      <w:r>
        <w:rPr>
          <w:rFonts w:hint="eastAsia" w:ascii="仿宋" w:hAnsi="仿宋" w:eastAsia="仿宋" w:cs="仿宋"/>
          <w:sz w:val="32"/>
          <w:szCs w:val="32"/>
          <w:lang w:eastAsia="zh-CN"/>
        </w:rPr>
        <w:t>商科工局</w:t>
      </w:r>
      <w:r>
        <w:rPr>
          <w:rFonts w:hint="eastAsia" w:ascii="仿宋" w:hAnsi="仿宋" w:eastAsia="仿宋" w:cs="仿宋"/>
          <w:sz w:val="32"/>
          <w:szCs w:val="32"/>
        </w:rPr>
        <w:t>负责督促工业企业落实土壤污染防控责任，自然资源局负责矿山开采区域土壤污染防控，住建局负责垃圾填埋场运维监管；完成时限：长期坚持）</w:t>
      </w:r>
    </w:p>
    <w:p w14:paraId="0C2D822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土壤污染风险管控：开展县域土壤污染状况详细调查，全面摸清土壤污染底数，建立土壤污染状况数据库，实行动态更新管理。划定土壤污染重点监管单元，明确重点监管企业和区域，对重点监管单元实行常态化监测，每年开展1次土壤和地下水监测，及时掌握土壤污染变化情况。加强受污染耕地风险管控，对受污染耕地实行分类管控，采用农艺调控、替代种植、土壤改良等措施，确保受污染耕地安全利用率达到100%。加强重点建设用地风险管控，</w:t>
      </w:r>
      <w:r>
        <w:rPr>
          <w:rFonts w:hint="eastAsia" w:ascii="仿宋" w:hAnsi="仿宋" w:eastAsia="仿宋" w:cs="仿宋"/>
          <w:sz w:val="32"/>
          <w:szCs w:val="32"/>
          <w:highlight w:val="none"/>
        </w:rPr>
        <w:t>严格落实建设用地土壤污染状况调查评估制度，对用途变更为住宅、公共管理与公共服务用地的地块，以及土壤污染重点监管单位生产经营用地的用途变更或者在其土地使用权收回、转让前，必须完成土壤污染状况调查评估；对受污染建设用地，实施风险管控或修复后，方可投入使用，确保重点建设用</w:t>
      </w:r>
      <w:r>
        <w:rPr>
          <w:rFonts w:hint="eastAsia" w:ascii="仿宋" w:hAnsi="仿宋" w:eastAsia="仿宋" w:cs="仿宋"/>
          <w:sz w:val="32"/>
          <w:szCs w:val="32"/>
        </w:rPr>
        <w:t>地安全利用率达到100%。（牵头单位：生态环境分局、自然资源局、农业农村局；配合单位：各乡镇人民政府；责任分工：生态环境分局负责土壤污染状况调查、重点监管单元管控及土壤污染风险评估，自然资源局负责重点建设用地土地出让环节监管，农业农村局负责受污染耕地风险管控及土壤改良，各乡镇人民政府负责本辖区内土壤污染风险管控具体落实；完成时限：2027年底前完成土壤污染状况详细调查，长期坚持风险管控）</w:t>
      </w:r>
    </w:p>
    <w:p w14:paraId="14022D9A">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土壤污染修复：针对受污染耕地、重点建设用地等区域，制定“一地一策”修复方案，采用物理修复、化学修复、生物修复等多种修复技术，推进土壤污染修复工程。加强土壤污染修复技术推广，引进先进修复技术和设备，提升土壤修复能力和水平。建立土壤污染修复效果评估机制，修复工程完成后，及时开展效果评估，确保修复效果达到相关标准要求。（牵头单位：生态环境分局、自然资源局、农业农村局；配合单位：各乡镇人民政府；责任分工：生态环境分局负责土壤污染修复工程统筹、技术指导及效果评估，自然资源局负责重点建设用地修复工程具体落实，农业农村局负责受污染耕地修复工程具体落实，各乡镇人民政府负责本辖区内修复工程协调保障；完成时限：长期坚持效果监管）</w:t>
      </w:r>
    </w:p>
    <w:p w14:paraId="376F62ED">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土壤与地下水污染协同防控：建立土壤与地下水污染协同监测体系，同步开展土壤和地下水监测，实现监测数据共享，精准掌握土壤与地下水污染关联情况。推进土壤与地下水污染协同治理，对同时存在土壤和地下水污染的区域，实施一体化治理，同步开展土壤修复和地下水修复，提升治理效果。加强重点区域土壤与地下水污染协同防控，聚焦工业园区、矿山开采区、垃圾填埋场等重点区域，建立协同防控机制，定期开展污染排查和监测，及时整改污染隐患，防止土壤污染扩散至地下水，或地下水污染影响土壤环境。（牵头单位：生态环境分局、水利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、住建局；责任分工：生态环境分局负责协同监测体系建设及协同治理统筹，水利局负责地下水污染治理，</w:t>
      </w:r>
      <w:r>
        <w:rPr>
          <w:rFonts w:hint="eastAsia" w:ascii="仿宋" w:hAnsi="仿宋" w:eastAsia="仿宋" w:cs="仿宋"/>
          <w:sz w:val="32"/>
          <w:szCs w:val="32"/>
          <w:lang w:eastAsia="zh-CN"/>
        </w:rPr>
        <w:t>商科工局</w:t>
      </w:r>
      <w:r>
        <w:rPr>
          <w:rFonts w:hint="eastAsia" w:ascii="仿宋" w:hAnsi="仿宋" w:eastAsia="仿宋" w:cs="仿宋"/>
          <w:sz w:val="32"/>
          <w:szCs w:val="32"/>
        </w:rPr>
        <w:t>、住建局分别负责工业园区、垃圾填埋场协同防控；完成时限：2028年底前建立协同监测体系，2030年底前完成重点区域协同治理，长期坚持防控）</w:t>
      </w:r>
      <w:bookmarkStart w:id="15" w:name="heading_14"/>
    </w:p>
    <w:p w14:paraId="68D1FF0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4. 推进固体废物与新污染物治理</w:t>
      </w:r>
      <w:bookmarkEnd w:id="15"/>
    </w:p>
    <w:p w14:paraId="53EE6916">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坚持“减量化、资源化、无害化”原则，全面加强固体废物全过程管控，推进固体废物资源化利用，强化新污染物环境风险管控，建立健全</w:t>
      </w:r>
      <w:r>
        <w:rPr>
          <w:rFonts w:hint="eastAsia" w:ascii="仿宋" w:hAnsi="仿宋" w:eastAsia="仿宋" w:cs="仿宋"/>
          <w:sz w:val="32"/>
          <w:szCs w:val="32"/>
          <w:lang w:val="en-US" w:eastAsia="zh-CN"/>
        </w:rPr>
        <w:t>闭环</w:t>
      </w:r>
      <w:r>
        <w:rPr>
          <w:rFonts w:hint="eastAsia" w:ascii="仿宋" w:hAnsi="仿宋" w:eastAsia="仿宋" w:cs="仿宋"/>
          <w:sz w:val="32"/>
          <w:szCs w:val="32"/>
        </w:rPr>
        <w:t>治理体系，防范固体废物和新污染物环境风险。</w:t>
      </w:r>
    </w:p>
    <w:p w14:paraId="6FB3D408">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一般工业固体废物治理：全面排查县域内一般工业固体废物产生、储存、运输、处置情况，建立一般工业固体废物台账，实行动态更新管理。推进一般工业固体废物资源化利用，鼓励企业开展粉煤灰、炉渣、脱硫石膏等一般工业固体废物综合利用，推广利用技术和模式，提升综合利用率，</w:t>
      </w:r>
      <w:r>
        <w:rPr>
          <w:rFonts w:hint="eastAsia" w:ascii="仿宋" w:hAnsi="仿宋" w:eastAsia="仿宋" w:cs="仿宋"/>
          <w:color w:val="auto"/>
          <w:sz w:val="32"/>
          <w:szCs w:val="32"/>
        </w:rPr>
        <w:t>到2030年一般工业固体废物综合利用率达到7</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以上。规范一般工业固体废物储存和处置，企业必须建设规范的储存设施，实行分类储存、专人管理，严禁随意堆放、倾倒一般工业固体废物；对无法资源化利用的一般工业固体废物，送至合规处置场所进行无害化处置，确保处置率达到100%。加强</w:t>
      </w:r>
      <w:r>
        <w:rPr>
          <w:rFonts w:hint="eastAsia" w:ascii="仿宋" w:hAnsi="仿宋" w:eastAsia="仿宋" w:cs="仿宋"/>
          <w:sz w:val="32"/>
          <w:szCs w:val="32"/>
        </w:rPr>
        <w:t>一般工业固体废物运输管控，规范运输车辆管理，采用密闭运输方式，防止运输过程中泄漏、遗撒，对违规运输行为依法予以处罚。（牵头单位：生态环境分局；配合单位：自然资源局、交通运输局；责任分工：生态环境分局负责一般工业固体废物全过程监管及资源化利用统筹，自然资源局负责处置场所用地保障，交通运输局负责运输管控；完成时限：2030年底前达到综合利用目标，长期坚持监管）</w:t>
      </w:r>
    </w:p>
    <w:p w14:paraId="576CB97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危险废物治理：严格落实危险废物全过程监管制度，全面排查县域内危险废物产生、储存、运输、处置情况，建立危险废物台账，实行“一物一码”追溯管理，确保危险废物全过程可追溯。加强危险废物产生单位管控，督促企业规范危险废物储存，建设标准化储存设施，分类储存危险废物，严禁混存、混放；规范危险废物转移审批，危险废物转移必须依法办理转移手续，严禁非法转移、倾倒危险废物。加强危险废物运输管控，危险废物运输必须由具备相应资质的单位和车辆承担，严格按照规定路线运输，确保运输安全。加强危险废物处置管控，危险废物必须送至具备相应资质的处置场所进行无害化处置，确保危险废物安全处置率达到100%，全过程监管覆盖率达到100%</w:t>
      </w:r>
      <w:r>
        <w:rPr>
          <w:rFonts w:hint="eastAsia" w:ascii="仿宋" w:hAnsi="仿宋" w:eastAsia="仿宋" w:cs="仿宋"/>
          <w:color w:val="auto"/>
          <w:sz w:val="32"/>
          <w:szCs w:val="32"/>
        </w:rPr>
        <w:t>。“十五五”期间，建设1处危险废物</w:t>
      </w:r>
      <w:r>
        <w:rPr>
          <w:rFonts w:hint="eastAsia" w:ascii="仿宋" w:hAnsi="仿宋" w:eastAsia="仿宋" w:cs="仿宋"/>
          <w:color w:val="auto"/>
          <w:sz w:val="32"/>
          <w:szCs w:val="32"/>
          <w:lang w:val="en-US" w:eastAsia="zh-CN"/>
        </w:rPr>
        <w:t>综合利用处置场所</w:t>
      </w:r>
      <w:r>
        <w:rPr>
          <w:rFonts w:hint="eastAsia" w:ascii="仿宋" w:hAnsi="仿宋" w:eastAsia="仿宋" w:cs="仿宋"/>
          <w:color w:val="auto"/>
          <w:sz w:val="32"/>
          <w:szCs w:val="32"/>
        </w:rPr>
        <w:t>，提升危险废物暂存</w:t>
      </w:r>
      <w:r>
        <w:rPr>
          <w:rFonts w:hint="eastAsia" w:ascii="仿宋" w:hAnsi="仿宋" w:eastAsia="仿宋" w:cs="仿宋"/>
          <w:color w:val="auto"/>
          <w:sz w:val="32"/>
          <w:szCs w:val="32"/>
          <w:lang w:val="en-US" w:eastAsia="zh-CN"/>
        </w:rPr>
        <w:t>及处置</w:t>
      </w:r>
      <w:r>
        <w:rPr>
          <w:rFonts w:hint="eastAsia" w:ascii="仿宋" w:hAnsi="仿宋" w:eastAsia="仿宋" w:cs="仿宋"/>
          <w:color w:val="auto"/>
          <w:sz w:val="32"/>
          <w:szCs w:val="32"/>
        </w:rPr>
        <w:t>能力，规范危险废物管理。（牵头单位：生</w:t>
      </w:r>
      <w:r>
        <w:rPr>
          <w:rFonts w:hint="eastAsia" w:ascii="仿宋" w:hAnsi="仿宋" w:eastAsia="仿宋" w:cs="仿宋"/>
          <w:sz w:val="32"/>
          <w:szCs w:val="32"/>
        </w:rPr>
        <w:t>态环境分局；配合单位：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、交通运输局、公安局；责任分工：生态环境分局负责危险废物全过程监管、转移审批及处置监管，</w:t>
      </w:r>
      <w:r>
        <w:rPr>
          <w:rFonts w:hint="eastAsia" w:ascii="仿宋" w:hAnsi="仿宋" w:eastAsia="仿宋" w:cs="仿宋"/>
          <w:sz w:val="32"/>
          <w:szCs w:val="32"/>
          <w:lang w:eastAsia="zh-CN"/>
        </w:rPr>
        <w:t>商科工局</w:t>
      </w:r>
      <w:r>
        <w:rPr>
          <w:rFonts w:hint="eastAsia" w:ascii="仿宋" w:hAnsi="仿宋" w:eastAsia="仿宋" w:cs="仿宋"/>
          <w:sz w:val="32"/>
          <w:szCs w:val="32"/>
        </w:rPr>
        <w:t>负责督促工业企业落实危险废物治理责任，交通运输局负责危险废物运输管控，公安局负责危险废物运输安全保障及非法转移打击；完成时限：2027年底前建成危险废物暂存点，长期坚持监管）</w:t>
      </w:r>
    </w:p>
    <w:p w14:paraId="5E2C4EBD">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（3）城乡生活垃圾治理：推进生活垃圾分类全覆盖，县城建成区、乡镇政府所在地、中心村全面实行生活垃圾分类，建立“分类收集、分类运输、分类处置”体系，配备分类收集设</w:t>
      </w:r>
      <w:r>
        <w:rPr>
          <w:rFonts w:hint="eastAsia" w:ascii="仿宋" w:hAnsi="仿宋" w:eastAsia="仿宋" w:cs="仿宋"/>
          <w:color w:val="auto"/>
          <w:sz w:val="32"/>
          <w:szCs w:val="32"/>
        </w:rPr>
        <w:t>施，加强垃圾分类宣传引导，</w:t>
      </w:r>
      <w:r>
        <w:rPr>
          <w:rFonts w:hint="eastAsia" w:ascii="仿宋" w:hAnsi="仿宋" w:eastAsia="仿宋" w:cs="仿宋"/>
          <w:color w:val="auto"/>
          <w:sz w:val="32"/>
          <w:szCs w:val="32"/>
          <w:lang w:eastAsia="zh-CN"/>
        </w:rPr>
        <w:t>增强</w:t>
      </w:r>
      <w:r>
        <w:rPr>
          <w:rFonts w:hint="eastAsia" w:ascii="仿宋" w:hAnsi="仿宋" w:eastAsia="仿宋" w:cs="仿宋"/>
          <w:color w:val="auto"/>
          <w:sz w:val="32"/>
          <w:szCs w:val="32"/>
        </w:rPr>
        <w:t>群众垃圾分类意识和参与率，到2030年生活垃圾分类覆盖率达到100%。</w:t>
      </w:r>
      <w:r>
        <w:rPr>
          <w:rFonts w:hint="eastAsia" w:ascii="仿宋" w:hAnsi="仿宋" w:eastAsia="仿宋" w:cs="仿宋"/>
          <w:sz w:val="32"/>
          <w:szCs w:val="32"/>
        </w:rPr>
        <w:t>推进生活垃圾无害化处置，完善县城生活垃圾无害化处理设施，提升处理能力，确保生活垃圾无害化处理率达到100%；推进乡镇生活垃圾集中处置，建立乡镇生活垃圾收集转运体系，将乡镇生活垃圾转运至县城无害化处理设施处置，实现全域生活垃圾无害化处置。推进生活垃圾资源化利用，推广生活垃圾焚烧发电、生物处理等资源化利用模式，提升资源化利用水平，“十五五”期间生活垃圾资源化利用率达到30%以上。加强生活垃圾处置设施运维管理，定期开展设施检修维护，确保设施稳定运行，达标排放。（牵头单位：住建局；配合单位：生态环境分局、各乡镇人民政府；责任分工：住建局负责生活垃圾分类推进、收集转运体系建设及处置设施运维，生态环境分局负责处置设施排放监测及执法监管，各乡镇人民政府负责本辖区内生活垃圾分类落实及收集转运；完成时限：2028年底前实现生活垃圾分类全覆盖，2030年底前达到资源化利用目标，长期坚持运维管理）</w:t>
      </w:r>
    </w:p>
    <w:p w14:paraId="4347B89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农业固体废物治理：推进农膜回收利用，建立“政府引导、企业主导、农户参与”的农膜回收体系，在乡镇、村设置农膜回收点，鼓励农户交售废旧农膜，推广使用可降解农膜，“十五五”期间农膜回收率稳定在85%以上。推进秸秆综合利用，推广秸秆还田、饲料化、基料化等模式，建立秸秆收储运体系，提升秸秆综合利用率，到2030年达到90%以上。推进畜禽养殖废弃物资源化利用，规模化畜禽养殖场（小区）必须配套建设粪污储存、处理和利用设施，推广粪污还田、沼气利用、有机肥生产等模式，实现粪污资源化利用，规模化畜禽养殖场（小区）粪污资源化利用率达到90%以上；散养畜禽粪污实行集中收集、统一处理，防止污染土壤和水环境。（牵头单位：农业农村局；配合单位：生态环境分局、各乡镇人民政府；责任分工：农业农村局负责农业固体废物治理统筹推进及资源化利用，生态环境分局负责污染监测及执法监管，各乡镇人民政府负责本辖区内农业固体废物收集、回收及处置具体落实；完成时限：2030年底前达到各项利用目标，长期坚持治理）</w:t>
      </w:r>
    </w:p>
    <w:p w14:paraId="600FE8F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5）新污染物治理：建立县级重点管控新污染物清单，结合县域产业特点，重点排查持久性有机污染物、抗生素、内分泌干扰物、微塑料等新污染物，明确新污染物种类、排放源、排放量等信息，实行动态更新管理。开展新污染物调查监测，完成重点行业（化工、畜禽养殖、污水处理等）、集中式饮用水水源地、重点河湖等区域新污染物调查监测全覆盖，每年开展1次监测，掌握新污染物环境赋存状况和变化趋势。强化新污染物源头管控，严格管控新污染物生产、使用、排放，禁止生产、使用国家明令禁止的新污染物，推广使用低环境风险替代产品；加强新污染物排放管控，督促企业落实污染防治责任，配套建设治理设施，确保新污染物达标排放。建立健全新污染物全生命周期环境风险管控体系，加强新污染物环境风险评估，制定风险管控措施，及时防范化解新污染物环境风险，到2030年新污染物环境风险管控率达到100%。加强新污染物治理技术推广，引进先进治理技术和设备，提升新污染物治理能力。（牵头单位：生态环境分局；配合单位：农业农村局、水利局、市场监管局；责任分工：生态环境分局负责新污染物清单建立、调查监测、风险管控及治理统筹</w:t>
      </w:r>
      <w:r>
        <w:rPr>
          <w:rFonts w:hint="eastAsia" w:ascii="仿宋" w:hAnsi="仿宋" w:eastAsia="仿宋" w:cs="仿宋"/>
          <w:sz w:val="32"/>
          <w:szCs w:val="32"/>
          <w:lang w:val="en-US" w:eastAsia="zh-CN"/>
        </w:rPr>
        <w:t>及</w:t>
      </w:r>
      <w:r>
        <w:rPr>
          <w:rFonts w:hint="eastAsia" w:ascii="仿宋" w:hAnsi="仿宋" w:eastAsia="仿宋" w:cs="仿宋"/>
          <w:sz w:val="32"/>
          <w:szCs w:val="32"/>
        </w:rPr>
        <w:t>工业领域新污染物管控，农业农村局负责农业领域新污染物管控，水利局负责水环境中新污染物监测管控，市场监管局负责新污染物相关产品销售管控；完成时限：2027年底前建立重点管控新污染物清单并完成首次调查监测，2030年底前建立完善全生命周期管控体系，长期坚持管控）</w:t>
      </w:r>
      <w:bookmarkStart w:id="16" w:name="heading_15"/>
    </w:p>
    <w:p w14:paraId="5508E1B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17" w:name="_Toc25307"/>
      <w:r>
        <w:rPr>
          <w:rFonts w:hint="eastAsia" w:ascii="仿宋" w:hAnsi="仿宋" w:eastAsia="仿宋" w:cs="仿宋"/>
          <w:b/>
          <w:sz w:val="32"/>
          <w:szCs w:val="32"/>
        </w:rPr>
        <w:t>（二）筑牢生态安全屏障，提升生态系统稳定性</w:t>
      </w:r>
      <w:bookmarkEnd w:id="16"/>
      <w:bookmarkEnd w:id="17"/>
    </w:p>
    <w:p w14:paraId="13E1E33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立足巴里坤县“山地、草原、湿地、荒漠”多元生态格局，坚持山水林田湖草沙冰一体化保护和系统治理，强化生态保护修复，严守生态保护红线、底线、生命线，提升生态系统质量和稳定性，筑牢东疆生态安全屏障。</w:t>
      </w:r>
      <w:bookmarkStart w:id="18" w:name="heading_16"/>
    </w:p>
    <w:p w14:paraId="2880B00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1. 严守生态保护红线</w:t>
      </w:r>
      <w:bookmarkEnd w:id="18"/>
    </w:p>
    <w:p w14:paraId="168667C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严格落实生态保护红线管控要求，明确生态保护红线范围，划定生态保护红线边界，设置红线标识、隔离设施，严禁在生态保护红线内从事非法建设、开采、养殖、旅游开发等活动。建立生态保护红线常态化监管机制，运用无人机巡查、地面巡查等多种方式，加强生态保护红线巡查监管，及时排查整治违规行为，确保生态保护红线不被侵占、破坏。完善生态保护红线管控配套政策，建立生态保护红线绩效考核机制，将生态保护红线管控情况纳入各乡镇、各部门绩效考核，压实管控责任。加强生态保护红线生态修复，对生态保护红线内退化生态系统实施修复工程，提升生态系统功能，确保生态保护红线面积不降低、生态功能不退化。（牵头单位：自然资源局、生态环境分局；配合单位：林业和草原局、水利局、各乡镇人民政府；责任分工：自然资源局负责红线划定、边界界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对项目审批中违反规划、占用生态保护红线和破坏自然保护地的行为进行</w:t>
      </w:r>
      <w:r>
        <w:rPr>
          <w:rFonts w:hint="eastAsia" w:ascii="仿宋" w:hAnsi="仿宋" w:eastAsia="仿宋" w:cs="仿宋"/>
          <w:sz w:val="32"/>
          <w:szCs w:val="32"/>
        </w:rPr>
        <w:t>监管，生态环境分局负责红线内生态环境监测及违规行为执法，林业和草原局、水利局负责红线内生态修复，各乡镇人民政府负责本辖区内生态保护红线巡查及管控；完成时限：2027年底前完成红线标识设置及常态化监管机制建立，长期坚持管控和修复）</w:t>
      </w:r>
    </w:p>
    <w:p w14:paraId="2B159914">
      <w:pPr>
        <w:keepNext w:val="0"/>
        <w:keepLines w:val="0"/>
        <w:pageBreakBefore w:val="0"/>
        <w:widowControl w:val="0"/>
        <w:kinsoku/>
        <w:wordWrap/>
        <w:overflowPunct/>
        <w:topLinePunct w:val="0"/>
        <w:autoSpaceDE/>
        <w:autoSpaceDN/>
        <w:bidi w:val="0"/>
        <w:adjustRightInd/>
        <w:snapToGrid/>
        <w:spacing w:before="260" w:after="120" w:line="560" w:lineRule="exact"/>
        <w:ind w:left="0" w:firstLine="643" w:firstLineChars="200"/>
        <w:jc w:val="both"/>
        <w:textAlignment w:val="auto"/>
        <w:outlineLvl w:val="3"/>
        <w:rPr>
          <w:rFonts w:hint="eastAsia" w:ascii="仿宋" w:hAnsi="仿宋" w:eastAsia="仿宋" w:cs="仿宋"/>
          <w:sz w:val="32"/>
          <w:szCs w:val="32"/>
        </w:rPr>
      </w:pPr>
      <w:bookmarkStart w:id="19" w:name="heading_17"/>
      <w:r>
        <w:rPr>
          <w:rFonts w:hint="eastAsia" w:ascii="仿宋" w:hAnsi="仿宋" w:eastAsia="仿宋" w:cs="仿宋"/>
          <w:b/>
          <w:sz w:val="32"/>
          <w:szCs w:val="32"/>
        </w:rPr>
        <w:t>2. 强化生态系统保护修复</w:t>
      </w:r>
      <w:bookmarkEnd w:id="19"/>
    </w:p>
    <w:p w14:paraId="137DDDA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（1）森林生态系统保护修复：加强天然林保护，严格落实天然林保护制度，严禁天然林采伐，加强天然林抚育管护，提升天然林质量和生态功能，“十五五”期间完成天然林抚育管护面积</w:t>
      </w:r>
      <w:r>
        <w:rPr>
          <w:rFonts w:hint="eastAsia" w:ascii="仿宋" w:hAnsi="仿宋" w:eastAsia="仿宋" w:cs="仿宋"/>
          <w:sz w:val="32"/>
          <w:szCs w:val="32"/>
          <w:lang w:val="en-US" w:eastAsia="zh-CN"/>
        </w:rPr>
        <w:t>30</w:t>
      </w:r>
      <w:r>
        <w:rPr>
          <w:rFonts w:hint="eastAsia" w:ascii="仿宋" w:hAnsi="仿宋" w:eastAsia="仿宋" w:cs="仿宋"/>
          <w:sz w:val="32"/>
          <w:szCs w:val="32"/>
        </w:rPr>
        <w:t>万亩以上。推进人工造林，重点在山地、荒漠边缘、河湖沿岸等区域开展人工造林，推广耐旱</w:t>
      </w:r>
      <w:r>
        <w:rPr>
          <w:rFonts w:hint="eastAsia" w:ascii="仿宋" w:hAnsi="仿宋" w:eastAsia="仿宋" w:cs="仿宋"/>
          <w:sz w:val="32"/>
          <w:szCs w:val="32"/>
          <w:lang w:val="en-US" w:eastAsia="zh-CN"/>
        </w:rPr>
        <w:t>耐寒</w:t>
      </w:r>
      <w:r>
        <w:rPr>
          <w:rFonts w:hint="eastAsia" w:ascii="仿宋" w:hAnsi="仿宋" w:eastAsia="仿宋" w:cs="仿宋"/>
          <w:sz w:val="32"/>
          <w:szCs w:val="32"/>
        </w:rPr>
        <w:t>、易存活树种，提升森林覆盖率，到2030年森林覆盖率提升至4.</w:t>
      </w:r>
      <w:r>
        <w:rPr>
          <w:rFonts w:hint="eastAsia" w:ascii="仿宋" w:hAnsi="仿宋" w:eastAsia="仿宋" w:cs="仿宋"/>
          <w:sz w:val="32"/>
          <w:szCs w:val="32"/>
          <w:lang w:val="en-US" w:eastAsia="zh-CN"/>
        </w:rPr>
        <w:t>15</w:t>
      </w:r>
      <w:r>
        <w:rPr>
          <w:rFonts w:hint="eastAsia" w:ascii="仿宋" w:hAnsi="仿宋" w:eastAsia="仿宋" w:cs="仿宋"/>
          <w:sz w:val="32"/>
          <w:szCs w:val="32"/>
        </w:rPr>
        <w:t>%以上。加强林地保护，严格林地用途管制，严禁非法占用林地，规范林地征用、占用审批，确保林地面积稳定。加强森林病虫害防治，建立森林病虫害监测预警体系，推广绿色防治技术，及时防治森林病虫害，防止森林资源遭受破坏，森林病虫害成灾率控制在3‰以下。（牵头单位：林业和草原局；配合单位：自然资源局、生态环境分局、各乡镇人民政府；责任分工：林草局负责森林生态系统保护修复、人工造林、林地管护及</w:t>
      </w:r>
      <w:bookmarkStart w:id="79" w:name="_GoBack"/>
      <w:bookmarkEnd w:id="79"/>
      <w:r>
        <w:rPr>
          <w:rFonts w:hint="eastAsia" w:ascii="仿宋" w:hAnsi="仿宋" w:eastAsia="仿宋" w:cs="仿宋"/>
          <w:sz w:val="32"/>
          <w:szCs w:val="32"/>
        </w:rPr>
        <w:t>征用审批</w:t>
      </w:r>
      <w:r>
        <w:rPr>
          <w:rFonts w:hint="eastAsia" w:ascii="仿宋" w:hAnsi="仿宋" w:eastAsia="仿宋" w:cs="仿宋"/>
          <w:sz w:val="32"/>
          <w:szCs w:val="32"/>
          <w:lang w:eastAsia="zh-CN"/>
        </w:rPr>
        <w:t>，</w:t>
      </w:r>
      <w:r>
        <w:rPr>
          <w:rFonts w:hint="eastAsia" w:ascii="仿宋" w:hAnsi="仿宋" w:eastAsia="仿宋" w:cs="仿宋"/>
          <w:sz w:val="32"/>
          <w:szCs w:val="32"/>
        </w:rPr>
        <w:t>病虫害防治，自然资源局负责林地用途管制，生态环境分局负责森林生态环境监测，各乡镇人民政府负责本辖区内森林保护修复具体落实；完成时限：2030年底前完成</w:t>
      </w:r>
      <w:r>
        <w:rPr>
          <w:rFonts w:hint="eastAsia" w:ascii="仿宋" w:hAnsi="仿宋" w:eastAsia="仿宋" w:cs="仿宋"/>
          <w:sz w:val="32"/>
          <w:szCs w:val="32"/>
          <w:lang w:val="en-US" w:eastAsia="zh-CN"/>
        </w:rPr>
        <w:t>并</w:t>
      </w:r>
      <w:r>
        <w:rPr>
          <w:rFonts w:hint="eastAsia" w:ascii="仿宋" w:hAnsi="仿宋" w:eastAsia="仿宋" w:cs="仿宋"/>
          <w:sz w:val="32"/>
          <w:szCs w:val="32"/>
        </w:rPr>
        <w:t>长期坚持）</w:t>
      </w:r>
    </w:p>
    <w:p w14:paraId="61E3379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草原生态系统保护修复：严格落实草原禁牧、休牧、轮牧制度，划定禁牧休牧区域，明确禁牧休牧期限，加强草原管护，减少草原放牧压力，促进草原植被恢复。推进草原退化修复，对退化草原实施围栏封育、补播改良、鼠虫害防治等措施，“十五五”期间完成退化草原修复面</w:t>
      </w:r>
      <w:r>
        <w:rPr>
          <w:rFonts w:hint="eastAsia" w:ascii="仿宋" w:hAnsi="仿宋" w:eastAsia="仿宋" w:cs="仿宋"/>
          <w:color w:val="auto"/>
          <w:sz w:val="32"/>
          <w:szCs w:val="32"/>
        </w:rPr>
        <w:t>积</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0万亩</w:t>
      </w:r>
      <w:r>
        <w:rPr>
          <w:rFonts w:hint="eastAsia" w:ascii="仿宋" w:hAnsi="仿宋" w:eastAsia="仿宋" w:cs="仿宋"/>
          <w:sz w:val="32"/>
          <w:szCs w:val="32"/>
        </w:rPr>
        <w:t>以上，到2030年草原综合植被盖度达到42%以上。加强草原生态监测，建立草原生态监测体系，定期开展草原植被盖度、生物量等监测，及时掌握草原生态变化情况，为草原保护修复提供数据支撑。规范草原放牧管理，合理确定载畜量，严禁超载放牧，推广舍饲养殖、半舍饲养殖模式，减少草原放牧强度，保护草原生态环境。（牵头单位：林业和草原局、农业农村局；配合单位：生态环境分局、各乡镇人民政府；责任分工：林业和草原局负责草原生态系统保护修复、禁牧休牧管控及生态监测，农业农村局负责草原放牧管理、舍饲养殖推广，生态环境分局负责草原生态环境监测，各乡镇人民政府负责本辖区内草原保护修复具体落实；完成时限：2030年底前完成</w:t>
      </w:r>
      <w:r>
        <w:rPr>
          <w:rFonts w:hint="eastAsia" w:ascii="仿宋" w:hAnsi="仿宋" w:eastAsia="仿宋" w:cs="仿宋"/>
          <w:sz w:val="32"/>
          <w:szCs w:val="32"/>
          <w:lang w:val="en-US" w:eastAsia="zh-CN"/>
        </w:rPr>
        <w:t>并</w:t>
      </w:r>
      <w:r>
        <w:rPr>
          <w:rFonts w:hint="eastAsia" w:ascii="仿宋" w:hAnsi="仿宋" w:eastAsia="仿宋" w:cs="仿宋"/>
          <w:sz w:val="32"/>
          <w:szCs w:val="32"/>
        </w:rPr>
        <w:t>长期坚持）</w:t>
      </w:r>
    </w:p>
    <w:p w14:paraId="608FCB60">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湿地生态系统保护修复：加强湿地保护，严格落实湿地保护制度，划定湿地保护范围，建立湿地保护台账，严禁非法占用、破坏湿地。推进湿地退化修复，重点对巴里坤湖湿地、柳条河湿地等退化湿地实施修复工程，清理湿地周边垃圾、污水，恢复湿地水文条件，种植水生植物，提升湿地生态功能，“十五五”期间完成湿地修复面积15平方公里以上，确保湿地保护率达到100%。加强湿地生态监测，建立湿地生态监测体系，定期开展湿地水质、植被、水生生物等监测，及时掌握湿地生态变化情况，防范湿地退化风险。规范湿地开发利用，严禁在湿地内从事非法养殖、捕捞、旅游开发等活动，合理开发湿地生态旅游，实现湿地保护与合理利用良性互动。（牵头单位：林业和草原局、水利局；配合单位：生态环境分局、各乡镇人民政府；责任分工：林业和草原局负责湿地保护修复及生态监测，水利局负责湿地水文条件保障，生态环境分局负责湿地水质监测，各乡镇人民政府负责本辖区内湿地保护具体落实；完成时限：2030年底前完成</w:t>
      </w:r>
      <w:r>
        <w:rPr>
          <w:rFonts w:hint="eastAsia" w:ascii="仿宋" w:hAnsi="仿宋" w:eastAsia="仿宋" w:cs="仿宋"/>
          <w:sz w:val="32"/>
          <w:szCs w:val="32"/>
          <w:lang w:val="en-US" w:eastAsia="zh-CN"/>
        </w:rPr>
        <w:t>并</w:t>
      </w:r>
      <w:r>
        <w:rPr>
          <w:rFonts w:hint="eastAsia" w:ascii="仿宋" w:hAnsi="仿宋" w:eastAsia="仿宋" w:cs="仿宋"/>
          <w:sz w:val="32"/>
          <w:szCs w:val="32"/>
        </w:rPr>
        <w:t>长期坚持）</w:t>
      </w:r>
    </w:p>
    <w:p w14:paraId="44469A9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（4）荒漠生态系统治理：聚焦县域荒漠区域，实施荒漠化防治工程，推进沙化土地治理，采用植树造林、围栏封育、沙障固沙等措施，治理沙化土</w:t>
      </w:r>
      <w:r>
        <w:rPr>
          <w:rFonts w:hint="eastAsia" w:ascii="仿宋" w:hAnsi="仿宋" w:eastAsia="仿宋" w:cs="仿宋"/>
          <w:color w:val="auto"/>
          <w:sz w:val="32"/>
          <w:szCs w:val="32"/>
        </w:rPr>
        <w:t>地，“十五五”期间完成沙化土地治理面积</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0平方公里以上，到</w:t>
      </w:r>
      <w:r>
        <w:rPr>
          <w:rFonts w:hint="eastAsia" w:ascii="仿宋" w:hAnsi="仿宋" w:eastAsia="仿宋" w:cs="仿宋"/>
          <w:sz w:val="32"/>
          <w:szCs w:val="32"/>
        </w:rPr>
        <w:t>2030年沙化土地治理率达到92%以上。加强荒漠生态保护，严禁在荒漠区域非法开采、放牧、开垦等活动，防止荒漠化加剧。推进重点生态脆弱区综合治理，聚焦沙化土地、退化草原、历史遗留矿山等重点生态脆弱区域，实施一体化综合治理工程，提升生态系统稳定性，到2030年重点生态脆弱区综合治理率达到92%以上。（牵头单位：林业和草原局、自然资源局；配合单位：生态环境分局、各乡镇人民政府；责任分工：林业和草原局负责荒漠化防治、沙化土地治理，自然资源局负责重点生态脆弱区综合治理及矿山修复，生态环境分局负责生态监测，各乡镇人民政府负责本辖区内荒漠生态保护具体落实；完成时限：2030年底前完成</w:t>
      </w:r>
      <w:r>
        <w:rPr>
          <w:rFonts w:hint="eastAsia" w:ascii="仿宋" w:hAnsi="仿宋" w:eastAsia="仿宋" w:cs="仿宋"/>
          <w:sz w:val="32"/>
          <w:szCs w:val="32"/>
          <w:lang w:val="en-US" w:eastAsia="zh-CN"/>
        </w:rPr>
        <w:t>并</w:t>
      </w:r>
      <w:r>
        <w:rPr>
          <w:rFonts w:hint="eastAsia" w:ascii="仿宋" w:hAnsi="仿宋" w:eastAsia="仿宋" w:cs="仿宋"/>
          <w:sz w:val="32"/>
          <w:szCs w:val="32"/>
        </w:rPr>
        <w:t>长期坚持）</w:t>
      </w:r>
      <w:bookmarkStart w:id="20" w:name="heading_18"/>
    </w:p>
    <w:p w14:paraId="1F5C499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3. 加强生物多样性保护</w:t>
      </w:r>
      <w:bookmarkEnd w:id="20"/>
    </w:p>
    <w:p w14:paraId="3A02A0C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建立县域生物多样性调查监测体系，全面开展野生动植物资源调查，摸清野生动植物资源底数，建立野生动植物资源台账，实行动态更新管理。加强野生动植物保护，严厉打击非法猎捕、杀害、交易野生动植物及其制品的行为，规范野生动植物人工繁育、经营利用活动，保护野生动植物栖息地、繁殖地。重点保护雪豹、盘羊、天鹅等珍稀濒危野生动植物，划定珍稀濒危野生动植物保护区域，建立保护站点，加强保护力度，提升珍稀濒危野生动植物种群数量。加强水生生物多样性保护，推进河湖水生生物修复，改善水生生物生存环境，提升水生生物多样性。加强生物多样性宣传教育，</w:t>
      </w:r>
      <w:r>
        <w:rPr>
          <w:rFonts w:hint="eastAsia" w:ascii="仿宋" w:hAnsi="仿宋" w:eastAsia="仿宋" w:cs="仿宋"/>
          <w:sz w:val="32"/>
          <w:szCs w:val="32"/>
          <w:lang w:eastAsia="zh-CN"/>
        </w:rPr>
        <w:t>增强</w:t>
      </w:r>
      <w:r>
        <w:rPr>
          <w:rFonts w:hint="eastAsia" w:ascii="仿宋" w:hAnsi="仿宋" w:eastAsia="仿宋" w:cs="仿宋"/>
          <w:sz w:val="32"/>
          <w:szCs w:val="32"/>
        </w:rPr>
        <w:t>群众生物多样性保护意识，营造“人人保护生物多样性”的良好氛围。（牵头单位：林业和草原局、水利局、生态环境分局；配合单位：公安局、市场监管局、各乡镇人民政府；责任分工：林业和草原局负责陆生野生动植物保护及调查监测，水利局负责水生生物多样性保护，生态环境分局负责生物多样性生态监测，公安局负责打击非法猎捕、交易野生动植物行为，市场监管局负责规范野生动植物制品经营利用，各乡镇人民政府负责本辖区内生物多样性保护具体落实；完成时限：2028年底前完成野生动植物资源调查，长期坚持保护）</w:t>
      </w:r>
      <w:bookmarkStart w:id="21" w:name="heading_19"/>
    </w:p>
    <w:p w14:paraId="7067DB9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4. 强化生态保护监管</w:t>
      </w:r>
      <w:bookmarkEnd w:id="21"/>
    </w:p>
    <w:p w14:paraId="1AC46E66">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建立“天地空”一体化生态环境监测网络，完善生态监测站点布局，实现森林、草原、湿地、荒漠等生态系统全要素、全周期监测，监测数据实时接入智慧环保平台，为生态保护修复提供数据支撑。加强生态环境执法监管，加大对非法占用生态保护红线、破坏生态环境、非法猎捕野生动植物等行为的执法力度，严厉打击生态环境违法违规行为，做到有案必查、违法必究。建立生态环境风险预警体系，运用大数据、无人机等技术，及时排查生态环境风险隐患，发布预警信息，提升生态环境风险防范能力。加强生态保护协同监管，建立各部门协同监管机制，明确职责分工，加强信息共享、联合执法，形成生态保护监管合力。（牵头单位：生态环境分局、自然资源局、林业和草原局；配合单位：公安局、水利局、各乡镇人民政府；责任分工：生态环境分局负责生态环境监测网络建设、执法监管及风险预警，自然资源局、林业和草原局、水利局按照职责分工负责各自领域生态保护监管，公安局负责联合执法及违法打击，各乡镇人民政府负责本辖区内生态保护监管具体落实；完成时限：2029年底前建成“天地空”一体化监测网络及风险预警体系，长期坚持监管）</w:t>
      </w:r>
      <w:bookmarkStart w:id="22" w:name="heading_20"/>
    </w:p>
    <w:p w14:paraId="068FE36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23" w:name="_Toc18395"/>
      <w:r>
        <w:rPr>
          <w:rFonts w:hint="eastAsia" w:ascii="仿宋" w:hAnsi="仿宋" w:eastAsia="仿宋" w:cs="仿宋"/>
          <w:b/>
          <w:sz w:val="32"/>
          <w:szCs w:val="32"/>
        </w:rPr>
        <w:t>（三）聚焦重点优化布局，打造绿色低碳发展新引擎</w:t>
      </w:r>
      <w:bookmarkEnd w:id="22"/>
      <w:bookmarkEnd w:id="23"/>
    </w:p>
    <w:p w14:paraId="076A24D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立足巴里坤县能源资源禀赋和战略定位，以减污降碳协同增效为总抓手，优化产业布局，推动产业绿色转型，发展新能源产业，打造“风光氢储用”一体化绿色低碳能源示范基地，推动生态保护与经济发展协同共进。</w:t>
      </w:r>
      <w:bookmarkStart w:id="24" w:name="heading_21"/>
    </w:p>
    <w:p w14:paraId="2785645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1. 优化产业空间布局</w:t>
      </w:r>
      <w:bookmarkEnd w:id="24"/>
    </w:p>
    <w:p w14:paraId="3706744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结合县域生态功能定位和产业发展实际，优化产业空间布局，划分生态保护、农业生产、工业发展三类空间，明确各类空间功能定位，严格空间用途管制。生态保护空间重点加强生态保护修复，严禁</w:t>
      </w:r>
      <w:r>
        <w:rPr>
          <w:rFonts w:hint="eastAsia" w:ascii="仿宋" w:hAnsi="仿宋" w:eastAsia="仿宋" w:cs="仿宋"/>
          <w:sz w:val="32"/>
          <w:szCs w:val="32"/>
          <w:lang w:val="en-US" w:eastAsia="zh-CN"/>
        </w:rPr>
        <w:t>违规</w:t>
      </w:r>
      <w:r>
        <w:rPr>
          <w:rFonts w:hint="eastAsia" w:ascii="仿宋" w:hAnsi="仿宋" w:eastAsia="仿宋" w:cs="仿宋"/>
          <w:sz w:val="32"/>
          <w:szCs w:val="32"/>
        </w:rPr>
        <w:t>发展高污染、高耗能产业；农业生产空间重点发展绿色农业、生态农业，规范农业生产活动，减少农业面源污染；工业发展空间重点布局在三塘湖工业园区等重点区域，严格控制工业企业数量和规模，推动产业集聚发展，实现污染物集中治理。推进工业园区优化升级，完善工业园区基础设施建设，配套建设污水处理、固体废物处置、废气治理等环保设施，提升工业园区环保承载能力。严格产业准入标准，严禁</w:t>
      </w:r>
      <w:r>
        <w:rPr>
          <w:rFonts w:hint="eastAsia" w:ascii="仿宋" w:hAnsi="仿宋" w:eastAsia="仿宋" w:cs="仿宋"/>
          <w:sz w:val="32"/>
          <w:szCs w:val="32"/>
          <w:lang w:val="en-US" w:eastAsia="zh-CN"/>
        </w:rPr>
        <w:t>违规</w:t>
      </w:r>
      <w:r>
        <w:rPr>
          <w:rFonts w:hint="eastAsia" w:ascii="仿宋" w:hAnsi="仿宋" w:eastAsia="仿宋" w:cs="仿宋"/>
          <w:sz w:val="32"/>
          <w:szCs w:val="32"/>
        </w:rPr>
        <w:t>引进高污染、高耗能、高排放产业和项目，优先引进绿色低碳、节能环保、高新技术产业项目，推动产业结构优化升级。（牵头单位：发改委、自然资源局、</w:t>
      </w:r>
      <w:r>
        <w:rPr>
          <w:rFonts w:hint="eastAsia" w:ascii="仿宋" w:hAnsi="仿宋" w:eastAsia="仿宋" w:cs="仿宋"/>
          <w:sz w:val="32"/>
          <w:szCs w:val="32"/>
          <w:lang w:eastAsia="zh-CN"/>
        </w:rPr>
        <w:t>商科工局</w:t>
      </w:r>
      <w:r>
        <w:rPr>
          <w:rFonts w:hint="eastAsia" w:ascii="仿宋" w:hAnsi="仿宋" w:eastAsia="仿宋" w:cs="仿宋"/>
          <w:sz w:val="32"/>
          <w:szCs w:val="32"/>
        </w:rPr>
        <w:t>；配合单位：生态环境分局、</w:t>
      </w:r>
      <w:r>
        <w:rPr>
          <w:rFonts w:hint="eastAsia" w:ascii="仿宋" w:hAnsi="仿宋" w:eastAsia="仿宋" w:cs="仿宋"/>
          <w:sz w:val="32"/>
          <w:szCs w:val="32"/>
          <w:lang w:val="en-US" w:eastAsia="zh-CN"/>
        </w:rPr>
        <w:t>园区办、</w:t>
      </w:r>
      <w:r>
        <w:rPr>
          <w:rFonts w:hint="eastAsia" w:ascii="仿宋" w:hAnsi="仿宋" w:eastAsia="仿宋" w:cs="仿宋"/>
          <w:sz w:val="32"/>
          <w:szCs w:val="32"/>
        </w:rPr>
        <w:t>农业农村局、各乡镇人民政府；责任分工：发改委负责产业布局优化及产业准入标准制定，自然资源局负责空间用途管制及空间划分，</w:t>
      </w:r>
      <w:r>
        <w:rPr>
          <w:rFonts w:hint="eastAsia" w:ascii="仿宋" w:hAnsi="仿宋" w:eastAsia="仿宋" w:cs="仿宋"/>
          <w:sz w:val="32"/>
          <w:szCs w:val="32"/>
          <w:lang w:eastAsia="zh-CN"/>
        </w:rPr>
        <w:t>商科工局</w:t>
      </w:r>
      <w:r>
        <w:rPr>
          <w:rFonts w:hint="eastAsia" w:ascii="仿宋" w:hAnsi="仿宋" w:eastAsia="仿宋" w:cs="仿宋"/>
          <w:sz w:val="32"/>
          <w:szCs w:val="32"/>
        </w:rPr>
        <w:t>负责工业园区优化升级及产业项目引进，生态环境分局负责产业项目环保审核及园区环保监管，</w:t>
      </w:r>
      <w:r>
        <w:rPr>
          <w:rFonts w:hint="eastAsia" w:ascii="仿宋" w:hAnsi="仿宋" w:eastAsia="仿宋" w:cs="仿宋"/>
          <w:sz w:val="32"/>
          <w:szCs w:val="32"/>
          <w:lang w:val="en-US" w:eastAsia="zh-CN"/>
        </w:rPr>
        <w:t>园区办负责工业园区基础设施建设，</w:t>
      </w:r>
      <w:r>
        <w:rPr>
          <w:rFonts w:hint="eastAsia" w:ascii="仿宋" w:hAnsi="仿宋" w:eastAsia="仿宋" w:cs="仿宋"/>
          <w:sz w:val="32"/>
          <w:szCs w:val="32"/>
        </w:rPr>
        <w:t>农业农村局负责农业生产空间产业发展指导；完成时限：2027年底前完成空间划分及产业准入标准制定，长期坚持优化布局）</w:t>
      </w:r>
      <w:bookmarkStart w:id="25" w:name="heading_22"/>
    </w:p>
    <w:p w14:paraId="17B8355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2. 推动产业绿色转型</w:t>
      </w:r>
      <w:bookmarkEnd w:id="25"/>
    </w:p>
    <w:p w14:paraId="5CAB1A5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工业产业绿色转型：聚焦煤炭、化工、建材等重点工业行业，推动产业绿色低碳转型，优化生产工艺，推广清洁生产技术，减少污染物和二氧化碳排放。推进工业企业节能降碳改造，采用高效节能设备和技术，提升能源利用效率，“十五五”期间规模以上工业企业单位增加值能耗较2025年下降15%以上。推动工业企业数字化、智能化转型，利用大数据、人工智能等技术，优化生产流程，提升生产效率，减少资源消耗和污染物排放。加强工业企业环保设施升级改造，督促企业配套建设高效环保设施，实现污染物稳定达标排放，推动重点企业开展环保标杆创建，打造绿色工厂、绿色园区。（牵头单位：</w:t>
      </w:r>
      <w:r>
        <w:rPr>
          <w:rFonts w:hint="eastAsia" w:ascii="仿宋" w:hAnsi="仿宋" w:eastAsia="仿宋" w:cs="仿宋"/>
          <w:sz w:val="32"/>
          <w:szCs w:val="32"/>
          <w:lang w:eastAsia="zh-CN"/>
        </w:rPr>
        <w:t>商科工局</w:t>
      </w:r>
      <w:r>
        <w:rPr>
          <w:rFonts w:hint="eastAsia" w:ascii="仿宋" w:hAnsi="仿宋" w:eastAsia="仿宋" w:cs="仿宋"/>
          <w:sz w:val="32"/>
          <w:szCs w:val="32"/>
        </w:rPr>
        <w:t>、发改委；配合单位：生态环境分局、市场监管局；责任分工：</w:t>
      </w:r>
      <w:r>
        <w:rPr>
          <w:rFonts w:hint="eastAsia" w:ascii="仿宋" w:hAnsi="仿宋" w:eastAsia="仿宋" w:cs="仿宋"/>
          <w:sz w:val="32"/>
          <w:szCs w:val="32"/>
          <w:lang w:eastAsia="zh-CN"/>
        </w:rPr>
        <w:t>商科工局</w:t>
      </w:r>
      <w:r>
        <w:rPr>
          <w:rFonts w:hint="eastAsia" w:ascii="仿宋" w:hAnsi="仿宋" w:eastAsia="仿宋" w:cs="仿宋"/>
          <w:sz w:val="32"/>
          <w:szCs w:val="32"/>
        </w:rPr>
        <w:t>负责工业产业绿色转型、清洁生产推广及企业数字化转型，发改委负责节能降碳改造统筹，生态环境分局负责企业环保设施升级改造及环保监管，市场监管局负责节能设备质量监管；完成时限：2030年底前完成工业产业绿色转型目标，长期坚持优化提升）</w:t>
      </w:r>
    </w:p>
    <w:p w14:paraId="5CA7ED7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农业产业绿色转型：推进农业绿色发展，推广生态农业、有机农业模式，减少化肥、农药、农膜使用量，提升农产品质量安全水平。加强农产品产地环境保护，开展农产品产地环境监测，划定绿色农产品、有机农产品生产区域，打造绿色农产品生产基地，“十五五”期间建成绿色农产品生产基地</w:t>
      </w:r>
      <w:r>
        <w:rPr>
          <w:rFonts w:hint="eastAsia" w:ascii="仿宋" w:hAnsi="仿宋" w:eastAsia="仿宋" w:cs="仿宋"/>
          <w:sz w:val="32"/>
          <w:szCs w:val="32"/>
          <w:lang w:val="en-US" w:eastAsia="zh-CN"/>
        </w:rPr>
        <w:t>2</w:t>
      </w:r>
      <w:r>
        <w:rPr>
          <w:rFonts w:hint="eastAsia" w:ascii="仿宋" w:hAnsi="仿宋" w:eastAsia="仿宋" w:cs="仿宋"/>
          <w:sz w:val="32"/>
          <w:szCs w:val="32"/>
        </w:rPr>
        <w:t>个以上。推进农业产业化发展，培育壮大农业龙头企业，推动农产品深加工，延伸农业产业链，提升农业附加值。推广农业节水技术，发展节水农业，优化种植结构，减少农业用水消耗，提升农业灌溉水有效利用系数，到2030年达到0.65以上。（牵头单位：农业农村局；配合单位：生态环境分局、发改委、水利局；责任分工：农业农村局负责农业产业绿色转型、生态农业推广及农产品基地建设，生态环境分局负责农产品产地环境监测，发改委负责农业产业化发展统筹，水利局负责农业节水技术推广及用水管控；完成时限：2030年底前完成</w:t>
      </w:r>
      <w:r>
        <w:rPr>
          <w:rFonts w:hint="eastAsia" w:ascii="仿宋" w:hAnsi="仿宋" w:eastAsia="仿宋" w:cs="仿宋"/>
          <w:sz w:val="32"/>
          <w:szCs w:val="32"/>
          <w:lang w:val="en-US" w:eastAsia="zh-CN"/>
        </w:rPr>
        <w:t>并</w:t>
      </w:r>
      <w:r>
        <w:rPr>
          <w:rFonts w:hint="eastAsia" w:ascii="仿宋" w:hAnsi="仿宋" w:eastAsia="仿宋" w:cs="仿宋"/>
          <w:sz w:val="32"/>
          <w:szCs w:val="32"/>
        </w:rPr>
        <w:t>长期坚持）</w:t>
      </w:r>
    </w:p>
    <w:p w14:paraId="5357592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服务业绿色转型：推动服务业绿色发展，推广绿色餐饮、绿色住宿、绿色旅游等模式，减少服务业能源消耗和污染物排放。加强旅游景区生态保护，规范旅游开发活动，推广生态旅游模式，打造生态旅游景区，“十五五”期间建成生态旅游景区3个以上。推进物流行业绿色转型，推广新能源物流车辆，优化物流运输路线，减少物流运输能耗和尾气排放。加强服务业环保监管，督促餐饮、住宿、旅游等行业落实环保责任，配套建设环保设施，确保达标排放。（牵头单位：文旅局、</w:t>
      </w:r>
      <w:r>
        <w:rPr>
          <w:rFonts w:hint="eastAsia" w:ascii="仿宋" w:hAnsi="仿宋" w:eastAsia="仿宋" w:cs="仿宋"/>
          <w:sz w:val="32"/>
          <w:szCs w:val="32"/>
          <w:lang w:val="en-US" w:eastAsia="zh-CN"/>
        </w:rPr>
        <w:t>市监局</w:t>
      </w:r>
      <w:r>
        <w:rPr>
          <w:rFonts w:hint="eastAsia" w:ascii="仿宋" w:hAnsi="仿宋" w:eastAsia="仿宋" w:cs="仿宋"/>
          <w:sz w:val="32"/>
          <w:szCs w:val="32"/>
        </w:rPr>
        <w:t>；配合单位：生态环境分局、交通运输局</w:t>
      </w:r>
      <w:r>
        <w:rPr>
          <w:rFonts w:hint="eastAsia" w:ascii="仿宋" w:hAnsi="仿宋" w:eastAsia="仿宋" w:cs="仿宋"/>
          <w:sz w:val="32"/>
          <w:szCs w:val="32"/>
          <w:lang w:eastAsia="zh-CN"/>
        </w:rPr>
        <w:t>、</w:t>
      </w:r>
      <w:r>
        <w:rPr>
          <w:rFonts w:hint="eastAsia" w:ascii="仿宋" w:hAnsi="仿宋" w:eastAsia="仿宋" w:cs="仿宋"/>
          <w:sz w:val="32"/>
          <w:szCs w:val="32"/>
        </w:rPr>
        <w:t>发改委；责任分工：文旅局负责旅游行业绿色转型及生态旅游景区建设，</w:t>
      </w:r>
      <w:r>
        <w:rPr>
          <w:rFonts w:hint="eastAsia" w:ascii="仿宋" w:hAnsi="仿宋" w:eastAsia="仿宋" w:cs="仿宋"/>
          <w:sz w:val="32"/>
          <w:szCs w:val="32"/>
          <w:lang w:val="en-US" w:eastAsia="zh-CN"/>
        </w:rPr>
        <w:t>市监局</w:t>
      </w:r>
      <w:r>
        <w:rPr>
          <w:rFonts w:hint="eastAsia" w:ascii="仿宋" w:hAnsi="仿宋" w:eastAsia="仿宋" w:cs="仿宋"/>
          <w:sz w:val="32"/>
          <w:szCs w:val="32"/>
        </w:rPr>
        <w:t>负责餐饮、住宿等服务业绿色转型，交通运输局负责物流行业绿色转型，生态环境分局负责服务业环保监管，发改委负责服务业绿色发展统筹；完成时限：2030年底前完成</w:t>
      </w:r>
      <w:r>
        <w:rPr>
          <w:rFonts w:hint="eastAsia" w:ascii="仿宋" w:hAnsi="仿宋" w:eastAsia="仿宋" w:cs="仿宋"/>
          <w:sz w:val="32"/>
          <w:szCs w:val="32"/>
          <w:lang w:val="en-US" w:eastAsia="zh-CN"/>
        </w:rPr>
        <w:t>并</w:t>
      </w:r>
      <w:r>
        <w:rPr>
          <w:rFonts w:hint="eastAsia" w:ascii="仿宋" w:hAnsi="仿宋" w:eastAsia="仿宋" w:cs="仿宋"/>
          <w:sz w:val="32"/>
          <w:szCs w:val="32"/>
        </w:rPr>
        <w:t>长期坚持）</w:t>
      </w:r>
      <w:bookmarkStart w:id="26" w:name="heading_23"/>
    </w:p>
    <w:p w14:paraId="751C37A0">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3. 大力发展新能源产业</w:t>
      </w:r>
      <w:bookmarkEnd w:id="26"/>
    </w:p>
    <w:p w14:paraId="6006D87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依托巴里坤县丰富的风光资源优势，大力发展新能源产业，打造“风光氢储用”一体化绿色低碳能源示范基地。推进风电、光伏项目建设，重点在三塘湖、</w:t>
      </w:r>
      <w:r>
        <w:rPr>
          <w:rFonts w:hint="eastAsia" w:ascii="仿宋" w:hAnsi="仿宋" w:eastAsia="仿宋" w:cs="仿宋"/>
          <w:sz w:val="32"/>
          <w:szCs w:val="32"/>
          <w:lang w:val="en-US" w:eastAsia="zh-CN"/>
        </w:rPr>
        <w:t>大红柳峡</w:t>
      </w:r>
      <w:r>
        <w:rPr>
          <w:rFonts w:hint="eastAsia" w:ascii="仿宋" w:hAnsi="仿宋" w:eastAsia="仿宋" w:cs="仿宋"/>
          <w:sz w:val="32"/>
          <w:szCs w:val="32"/>
        </w:rPr>
        <w:t>等风光资源丰富区域，建设大型风电、光伏</w:t>
      </w:r>
      <w:r>
        <w:rPr>
          <w:rFonts w:hint="eastAsia" w:ascii="仿宋" w:hAnsi="仿宋" w:eastAsia="仿宋" w:cs="仿宋"/>
          <w:color w:val="auto"/>
          <w:sz w:val="32"/>
          <w:szCs w:val="32"/>
        </w:rPr>
        <w:t>电站，“十五五”期间新增风电、光伏装机容量1000万千瓦以上。推进氢能产</w:t>
      </w:r>
      <w:r>
        <w:rPr>
          <w:rFonts w:hint="eastAsia" w:ascii="仿宋" w:hAnsi="仿宋" w:eastAsia="仿宋" w:cs="仿宋"/>
          <w:sz w:val="32"/>
          <w:szCs w:val="32"/>
        </w:rPr>
        <w:t>业发展，依托风电、光伏清洁能源，发展绿氢生产、储存、运输、应用产业，建设绿氢生产基地和加氢站，“十五五”期间建成绿氢生产项目2个、加氢站3座。推进储能产业发展，配套建设储能电站，提升新能源消纳能力，“十五五”期间建成储能电站</w:t>
      </w:r>
      <w:r>
        <w:rPr>
          <w:rFonts w:hint="eastAsia" w:ascii="仿宋" w:hAnsi="仿宋" w:eastAsia="仿宋" w:cs="仿宋"/>
          <w:sz w:val="32"/>
          <w:szCs w:val="32"/>
          <w:lang w:val="en-US" w:eastAsia="zh-CN"/>
        </w:rPr>
        <w:t>3</w:t>
      </w:r>
      <w:r>
        <w:rPr>
          <w:rFonts w:hint="eastAsia" w:ascii="仿宋" w:hAnsi="仿宋" w:eastAsia="仿宋" w:cs="仿宋"/>
          <w:sz w:val="32"/>
          <w:szCs w:val="32"/>
        </w:rPr>
        <w:t>座，储能容量达到100万千瓦时以上。推进新能源应用推广，推动工业、农业、服务业等领域新能源应用，推广新能源供暖、新能源供电等模式，提升新能源在一次能源消费中的比重，到2030年非化石能源占一次能源消费比重达到35%以上。加强新能源产业环保管控，规范新能源项目建设和运维，减少项目建设过程中生态破坏，确保新能源产业绿色发展。（牵头单位：发改委、</w:t>
      </w:r>
      <w:r>
        <w:rPr>
          <w:rFonts w:hint="eastAsia" w:ascii="仿宋" w:hAnsi="仿宋" w:eastAsia="仿宋" w:cs="仿宋"/>
          <w:sz w:val="32"/>
          <w:szCs w:val="32"/>
          <w:lang w:eastAsia="zh-CN"/>
        </w:rPr>
        <w:t>商科工局</w:t>
      </w:r>
      <w:r>
        <w:rPr>
          <w:rFonts w:hint="eastAsia" w:ascii="仿宋" w:hAnsi="仿宋" w:eastAsia="仿宋" w:cs="仿宋"/>
          <w:sz w:val="32"/>
          <w:szCs w:val="32"/>
        </w:rPr>
        <w:t>；配合单位：自然资源局、生态环境分局、水利局、各乡镇人民政府；责任分工：发改委负责新能源产业统筹发展及项目规划，</w:t>
      </w:r>
      <w:r>
        <w:rPr>
          <w:rFonts w:hint="eastAsia" w:ascii="仿宋" w:hAnsi="仿宋" w:eastAsia="仿宋" w:cs="仿宋"/>
          <w:sz w:val="32"/>
          <w:szCs w:val="32"/>
          <w:lang w:eastAsia="zh-CN"/>
        </w:rPr>
        <w:t>商科工局</w:t>
      </w:r>
      <w:r>
        <w:rPr>
          <w:rFonts w:hint="eastAsia" w:ascii="仿宋" w:hAnsi="仿宋" w:eastAsia="仿宋" w:cs="仿宋"/>
          <w:sz w:val="32"/>
          <w:szCs w:val="32"/>
        </w:rPr>
        <w:t>负责新能源项目建设及技术推广，自然资源局负责新能源项目用地保障，生态环境分局负责新能源项目环保审核及生态保护监管，水利局负责新能源项目水资源保障，各乡镇人民政府负责本辖区内新能源项目协调保障；完成时限：2030年底前完成新能源产业发展目标，长期坚持发展和管控）</w:t>
      </w:r>
      <w:bookmarkStart w:id="27" w:name="heading_24"/>
    </w:p>
    <w:p w14:paraId="483962D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4. 推进减污降碳协同增效</w:t>
      </w:r>
      <w:bookmarkEnd w:id="27"/>
    </w:p>
    <w:p w14:paraId="54BFDA1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建立减污降碳协同管控机制，将减污降碳协同增效纳入生态环境保护和经济社会发展总体规划，统筹推进污染物减排和二氧化碳减排。加强重点行业减污降碳协同治理，聚焦煤炭、化工、建材等高耗能、高排放行业，实施减污降碳一体化改造，推广低碳生产工艺和技术，减少污染物和二氧化碳排放</w:t>
      </w:r>
      <w:r>
        <w:rPr>
          <w:rFonts w:hint="eastAsia" w:ascii="仿宋" w:hAnsi="仿宋" w:eastAsia="仿宋" w:cs="仿宋"/>
          <w:color w:val="auto"/>
          <w:sz w:val="32"/>
          <w:szCs w:val="32"/>
        </w:rPr>
        <w:t>，“十五五”期间单位GDP二氧化碳排放较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十四五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下降18%以上，完成</w:t>
      </w:r>
      <w:r>
        <w:rPr>
          <w:rFonts w:hint="eastAsia" w:ascii="仿宋" w:hAnsi="仿宋" w:eastAsia="仿宋" w:cs="仿宋"/>
          <w:sz w:val="32"/>
          <w:szCs w:val="32"/>
        </w:rPr>
        <w:t>自治区下达的减排任务。加强森林、草原、湿地等生态系统建设，提升生态系统固碳能力。加强碳监测核算能力建设，建立县域碳监测核算体系，开展重点行业、重点企业碳监测核算，为减污降碳协同增效提供数据支撑。推广绿色低碳生活方式，加强低碳宣传教育，引导群众践行低碳出行、低碳消费、低碳居住等生活方式，营造绿色低碳社会氛围。（牵头单位：发改委、生态环境分局；配合单位：林业和草原局、</w:t>
      </w:r>
      <w:r>
        <w:rPr>
          <w:rFonts w:hint="eastAsia" w:ascii="仿宋" w:hAnsi="仿宋" w:eastAsia="仿宋" w:cs="仿宋"/>
          <w:sz w:val="32"/>
          <w:szCs w:val="32"/>
          <w:lang w:eastAsia="zh-CN"/>
        </w:rPr>
        <w:t>商科工局</w:t>
      </w:r>
      <w:r>
        <w:rPr>
          <w:rFonts w:hint="eastAsia" w:ascii="仿宋" w:hAnsi="仿宋" w:eastAsia="仿宋" w:cs="仿宋"/>
          <w:sz w:val="32"/>
          <w:szCs w:val="32"/>
        </w:rPr>
        <w:t>、住建局、各乡镇人民政府；责任分工：发改委负责减污降碳协同增效统筹及碳汇建设、碳监测核算，生态环境分局负责污染物减排及协同治理，林业和草原局负责生态系统提升，</w:t>
      </w:r>
      <w:r>
        <w:rPr>
          <w:rFonts w:hint="eastAsia" w:ascii="仿宋" w:hAnsi="仿宋" w:eastAsia="仿宋" w:cs="仿宋"/>
          <w:sz w:val="32"/>
          <w:szCs w:val="32"/>
          <w:lang w:eastAsia="zh-CN"/>
        </w:rPr>
        <w:t>商科工局</w:t>
      </w:r>
      <w:r>
        <w:rPr>
          <w:rFonts w:hint="eastAsia" w:ascii="仿宋" w:hAnsi="仿宋" w:eastAsia="仿宋" w:cs="仿宋"/>
          <w:sz w:val="32"/>
          <w:szCs w:val="32"/>
        </w:rPr>
        <w:t>负责工业行业减污降碳改造，住建局负责城乡绿色低碳建设，各乡镇人民政府负责本辖区内减污降碳协同落实及低碳宣传；完成时限：2030年底前完成减污降碳目标，长期坚持推进）</w:t>
      </w:r>
      <w:bookmarkStart w:id="28" w:name="heading_25"/>
    </w:p>
    <w:p w14:paraId="0F59A67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29" w:name="_Toc21689"/>
      <w:r>
        <w:rPr>
          <w:rFonts w:hint="eastAsia" w:ascii="仿宋" w:hAnsi="仿宋" w:eastAsia="仿宋" w:cs="仿宋"/>
          <w:b/>
          <w:sz w:val="32"/>
          <w:szCs w:val="32"/>
        </w:rPr>
        <w:t>（四）强化资源高效节约利用，提升资源承载能力</w:t>
      </w:r>
      <w:bookmarkEnd w:id="28"/>
      <w:bookmarkEnd w:id="29"/>
    </w:p>
    <w:p w14:paraId="52ADEB2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坚持节约优先、保护优先、自然恢复为主的方针，强化水资源、土地资源、能源资源等重点资源高效节约利用，健全资源节约利用机制，提升资源利用效率和承载能力，推动资源可持续利用。</w:t>
      </w:r>
      <w:bookmarkStart w:id="30" w:name="heading_26"/>
    </w:p>
    <w:p w14:paraId="05475C8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1. 强化水资源高效利用</w:t>
      </w:r>
      <w:bookmarkEnd w:id="30"/>
    </w:p>
    <w:p w14:paraId="6E31C1F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严格落实水资源刚性约束制度，实行水资源取用水总量控制和定额管理，合理调配水资源，确保水资源利用效率显著提升。推进农业节水，推广滴灌、喷灌等高效节水灌溉技术，优化种植结构，减少高耗水作物种植，提升农业灌溉水有效利用系数，到2030年达到0.65以上。推进工业节水，督促工业企业开展节水改造，采用高效节水设备和技术，提高工业用水重复利用率，“十五五”期间工业用水重复利用率达到85%以上。推进城乡生活节水，推广节水器具，加强供水管网漏损治理，降低供水管网漏损率，到2030年供水管网漏损率控制在10%以下。加强水资源循环利用，推进再生水、雨水资源化利用，将再生水用于工业生产、城市绿化、农田灌溉等，“十五五”期间再生水利用率达到30%以上。科学调配水资源，统筹地表水、地下水、再生水利用，保障生态用水、生产用水、生活用水需求，实现水资源供需平衡。（牵头单位：水利局；配合单位：农业农村局、</w:t>
      </w:r>
      <w:r>
        <w:rPr>
          <w:rFonts w:hint="eastAsia" w:ascii="仿宋" w:hAnsi="仿宋" w:eastAsia="仿宋" w:cs="仿宋"/>
          <w:sz w:val="32"/>
          <w:szCs w:val="32"/>
          <w:lang w:eastAsia="zh-CN"/>
        </w:rPr>
        <w:t>商科工局</w:t>
      </w:r>
      <w:r>
        <w:rPr>
          <w:rFonts w:hint="eastAsia" w:ascii="仿宋" w:hAnsi="仿宋" w:eastAsia="仿宋" w:cs="仿宋"/>
          <w:sz w:val="32"/>
          <w:szCs w:val="32"/>
        </w:rPr>
        <w:t>、住建局、发改委；责任分工：水利局负责水资源统筹调配、节水管理及水资源循环利用，农业农村局负责农业节水推广，</w:t>
      </w:r>
      <w:r>
        <w:rPr>
          <w:rFonts w:hint="eastAsia" w:ascii="仿宋" w:hAnsi="仿宋" w:eastAsia="仿宋" w:cs="仿宋"/>
          <w:sz w:val="32"/>
          <w:szCs w:val="32"/>
          <w:lang w:eastAsia="zh-CN"/>
        </w:rPr>
        <w:t>商科工局</w:t>
      </w:r>
      <w:r>
        <w:rPr>
          <w:rFonts w:hint="eastAsia" w:ascii="仿宋" w:hAnsi="仿宋" w:eastAsia="仿宋" w:cs="仿宋"/>
          <w:sz w:val="32"/>
          <w:szCs w:val="32"/>
        </w:rPr>
        <w:t>负责工业节水改造，住建局负责</w:t>
      </w:r>
      <w:r>
        <w:rPr>
          <w:rFonts w:hint="eastAsia" w:ascii="仿宋" w:hAnsi="仿宋" w:eastAsia="仿宋" w:cs="仿宋"/>
          <w:sz w:val="32"/>
          <w:szCs w:val="32"/>
          <w:lang w:val="en-US" w:eastAsia="zh-CN"/>
        </w:rPr>
        <w:t>县</w:t>
      </w:r>
      <w:r>
        <w:rPr>
          <w:rFonts w:hint="eastAsia" w:ascii="仿宋" w:hAnsi="仿宋" w:eastAsia="仿宋" w:cs="仿宋"/>
          <w:sz w:val="32"/>
          <w:szCs w:val="32"/>
        </w:rPr>
        <w:t>城</w:t>
      </w:r>
      <w:r>
        <w:rPr>
          <w:rFonts w:hint="eastAsia" w:ascii="仿宋" w:hAnsi="仿宋" w:eastAsia="仿宋" w:cs="仿宋"/>
          <w:sz w:val="32"/>
          <w:szCs w:val="32"/>
          <w:lang w:val="en-US" w:eastAsia="zh-CN"/>
        </w:rPr>
        <w:t>镇</w:t>
      </w:r>
      <w:r>
        <w:rPr>
          <w:rFonts w:hint="eastAsia" w:ascii="仿宋" w:hAnsi="仿宋" w:eastAsia="仿宋" w:cs="仿宋"/>
          <w:sz w:val="32"/>
          <w:szCs w:val="32"/>
        </w:rPr>
        <w:t>生活节水及供水管网漏损治理，发改委负责水资源节约利用统筹；完成时限：2030年底前达到各项节水目标，长期坚持利用和管控）</w:t>
      </w:r>
      <w:bookmarkStart w:id="31" w:name="heading_27"/>
    </w:p>
    <w:p w14:paraId="613DC3D0">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2. 强化土地资源高效利用</w:t>
      </w:r>
      <w:bookmarkEnd w:id="31"/>
    </w:p>
    <w:p w14:paraId="20F5992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严格落实土地用途管制制度，规范土地利用行为，优化土地利用结构，提升土地利用效率。加强耕地保护，严格落实耕地保护红线，严禁非法占用耕地、破坏耕地，推进耕地质量提升，实施耕地地力培肥、土壤改良等措施，提升耕地质量，确保耕地数量稳定、质量提升。推进节约集约用地，严格控制建设用地总量，优化建设用地布局，盘活闲置低效用地，“十五五”期间盘活闲置低效用地</w:t>
      </w:r>
      <w:r>
        <w:rPr>
          <w:rFonts w:hint="eastAsia" w:ascii="仿宋" w:hAnsi="仿宋" w:eastAsia="仿宋" w:cs="仿宋"/>
          <w:sz w:val="32"/>
          <w:szCs w:val="32"/>
          <w:lang w:val="en-US" w:eastAsia="zh-CN"/>
        </w:rPr>
        <w:t>10</w:t>
      </w:r>
      <w:r>
        <w:rPr>
          <w:rFonts w:hint="eastAsia" w:ascii="仿宋" w:hAnsi="仿宋" w:eastAsia="仿宋" w:cs="仿宋"/>
          <w:sz w:val="32"/>
          <w:szCs w:val="32"/>
        </w:rPr>
        <w:t>00亩以上。加强土地开发整理，推进矿山废弃地、闲置土地等土地整理复垦，“十五五”期间完成土地整理复垦面积1000亩以上，提升土地利用效率。规范农村宅基地管理，推进农村宅基地盘活利用，整治农村闲置宅基地，推动农村土地节约集约利用。（牵头单位：自然资源局；配合单位：农业农村局、住建局、各乡镇人民政府；责任分工：自然资源局负责土地用途管制、节约集约用地、土地开发整理，农业农村局负责耕地保护及耕地质量提升及宅基地监管，住建局负责城镇建设用地优化，各乡镇人民政府负责本辖区内土地利用及宅基地整治具体落实；完成时限：2030年底前完成土地整理复垦及闲置用地盘活目标，长期坚持保护和利用）</w:t>
      </w:r>
    </w:p>
    <w:p w14:paraId="4637A99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32" w:name="heading_28"/>
      <w:r>
        <w:rPr>
          <w:rFonts w:hint="eastAsia" w:ascii="仿宋" w:hAnsi="仿宋" w:eastAsia="仿宋" w:cs="仿宋"/>
          <w:b/>
          <w:sz w:val="32"/>
          <w:szCs w:val="32"/>
        </w:rPr>
        <w:t>3. 强化能源资源高效利用</w:t>
      </w:r>
      <w:bookmarkEnd w:id="32"/>
    </w:p>
    <w:p w14:paraId="528AFE8A">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严格落实能源消费总量和强度双控制度，合理控制能源消费总量，提升能源利用效率，推动能源资源高效利用。推进工业能源高效利用，督促工业企业开展节能改造，推广高效节能技术和设备，优化能源消费结构，减少煤炭等化石能源消费，增加新能源消费比重。推进建筑节能，推广绿色建筑、超低能耗建筑，加强建筑节能改造，提升建筑能源利用效率，“十五五”期间新建绿色建筑比例达到100%。推进交通运输节能，推广新能源车辆，优化运输结构，减少公路运输能耗，提升交通运输能源利用效率。加强能源计量管理，完善能源计量体系，督促企业、单位加强能源计量，提升能源计量准确性和科学性，为能源高效利用提供数据支撑。（牵头单位：发改委、</w:t>
      </w:r>
      <w:r>
        <w:rPr>
          <w:rFonts w:hint="eastAsia" w:ascii="仿宋" w:hAnsi="仿宋" w:eastAsia="仿宋" w:cs="仿宋"/>
          <w:sz w:val="32"/>
          <w:szCs w:val="32"/>
          <w:lang w:eastAsia="zh-CN"/>
        </w:rPr>
        <w:t>商科工局</w:t>
      </w:r>
      <w:r>
        <w:rPr>
          <w:rFonts w:hint="eastAsia" w:ascii="仿宋" w:hAnsi="仿宋" w:eastAsia="仿宋" w:cs="仿宋"/>
          <w:sz w:val="32"/>
          <w:szCs w:val="32"/>
        </w:rPr>
        <w:t>、住建局、交通运输局；配合单位：市场监管局、生态环境分局；责任分工：发改委负责能源消费双控及能源利用统筹，</w:t>
      </w:r>
      <w:r>
        <w:rPr>
          <w:rFonts w:hint="eastAsia" w:ascii="仿宋" w:hAnsi="仿宋" w:eastAsia="仿宋" w:cs="仿宋"/>
          <w:sz w:val="32"/>
          <w:szCs w:val="32"/>
          <w:lang w:eastAsia="zh-CN"/>
        </w:rPr>
        <w:t>商科工局</w:t>
      </w:r>
      <w:r>
        <w:rPr>
          <w:rFonts w:hint="eastAsia" w:ascii="仿宋" w:hAnsi="仿宋" w:eastAsia="仿宋" w:cs="仿宋"/>
          <w:sz w:val="32"/>
          <w:szCs w:val="32"/>
        </w:rPr>
        <w:t>负责工业能源高效利用，住建局负责建筑节能，交通运输局负责交通运输节能，市场监管局负责能源计量管理，生态环境分局负责能源利用过程中污染监管；完成时限：2030年底前完成能源高效利用目标，长期坚持推进）</w:t>
      </w:r>
      <w:bookmarkStart w:id="33" w:name="heading_29"/>
    </w:p>
    <w:p w14:paraId="2BCC6A0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4. 健全资源节约利用机制</w:t>
      </w:r>
      <w:bookmarkEnd w:id="33"/>
    </w:p>
    <w:p w14:paraId="5F73207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建立健全资源节约利用法律法规和政策体系，完善水资源、土地资源、能源资源等重点资源节约利用标准，强化标准约束。建立资源节约利用考核评价机制，将资源节约利用情况纳入各乡镇、各部门绩效考核，压实资源节约利用责任。加强资源节约利用宣传教育，</w:t>
      </w:r>
      <w:r>
        <w:rPr>
          <w:rFonts w:hint="eastAsia" w:ascii="仿宋" w:hAnsi="仿宋" w:eastAsia="仿宋" w:cs="仿宋"/>
          <w:sz w:val="32"/>
          <w:szCs w:val="32"/>
          <w:lang w:eastAsia="zh-CN"/>
        </w:rPr>
        <w:t>增强</w:t>
      </w:r>
      <w:r>
        <w:rPr>
          <w:rFonts w:hint="eastAsia" w:ascii="仿宋" w:hAnsi="仿宋" w:eastAsia="仿宋" w:cs="仿宋"/>
          <w:sz w:val="32"/>
          <w:szCs w:val="32"/>
        </w:rPr>
        <w:t>群众和企业资源节约意识，推广资源节约技术和模式，营造“节约资源、人人有责”的良好氛围。鼓励企业开展资源节约利用技术研发和创新，支持资源节约型企业发展，推动资源节约利用产业升级。（牵头单位：发改委、自然资源局、水利局、</w:t>
      </w:r>
      <w:r>
        <w:rPr>
          <w:rFonts w:hint="eastAsia" w:ascii="仿宋" w:hAnsi="仿宋" w:eastAsia="仿宋" w:cs="仿宋"/>
          <w:sz w:val="32"/>
          <w:szCs w:val="32"/>
          <w:lang w:eastAsia="zh-CN"/>
        </w:rPr>
        <w:t>商科工局</w:t>
      </w:r>
      <w:r>
        <w:rPr>
          <w:rFonts w:hint="eastAsia" w:ascii="仿宋" w:hAnsi="仿宋" w:eastAsia="仿宋" w:cs="仿宋"/>
          <w:sz w:val="32"/>
          <w:szCs w:val="32"/>
        </w:rPr>
        <w:t>；配合单位：各乡镇人民政府、各相关部门；责任分工：各牵头单位按照职责分工负责各自领域资源节约利用机制建立及宣传教育，各乡镇人民政府负责本辖区内资源节约利用具体落实；完成时限：2027年底前建立健全资源节约利用机制，长期坚持完善和推进）</w:t>
      </w:r>
    </w:p>
    <w:p w14:paraId="76BAF59E">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34" w:name="_Toc27315"/>
      <w:bookmarkStart w:id="35" w:name="heading_30"/>
      <w:r>
        <w:rPr>
          <w:rFonts w:hint="eastAsia" w:ascii="仿宋" w:hAnsi="仿宋" w:eastAsia="仿宋" w:cs="仿宋"/>
          <w:b/>
          <w:sz w:val="32"/>
          <w:szCs w:val="32"/>
        </w:rPr>
        <w:t>（五）持续推进美丽乡村建设，提升农村人居环境</w:t>
      </w:r>
      <w:bookmarkEnd w:id="34"/>
      <w:bookmarkEnd w:id="35"/>
    </w:p>
    <w:p w14:paraId="6E30EFE6">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立足巴里坤县农村实际，以美丽乡村建设为抓手，持续推进农村人居环境整治提升，完善农村基础设施建设，改善农村生态环境，打造生态优美、宜居宜业的美丽乡村，推动城乡生态环境协同发展。</w:t>
      </w:r>
    </w:p>
    <w:p w14:paraId="2BECAB7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36" w:name="heading_31"/>
      <w:r>
        <w:rPr>
          <w:rFonts w:hint="eastAsia" w:ascii="仿宋" w:hAnsi="仿宋" w:eastAsia="仿宋" w:cs="仿宋"/>
          <w:b/>
          <w:sz w:val="32"/>
          <w:szCs w:val="32"/>
        </w:rPr>
        <w:t>1. 深化农村人居环境整治提升</w:t>
      </w:r>
      <w:bookmarkEnd w:id="36"/>
    </w:p>
    <w:p w14:paraId="0A7B0FB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农村生活垃圾治理：持续推进农村生活垃圾分类全覆盖，完善农村生活垃圾收集转运体系，在乡镇、村设置分类收集设施，配备专职保洁人员，实行常态化保洁，确保农村生活垃圾日产日清、无害化处置，到2030年农村生活垃圾无害化处理率达到100%。推进农村生活垃圾资源化利用，推广生活垃圾就地分类处置、生物质能利用等模式，提升资源化利用水平。加强农村生活垃圾治理设施运维管理，建立运维长效机制，确保设施稳定运行。（牵头单位：住建局；配合单位：农业农村局、生态环境分局、各乡镇人民政府；责任分工：住建局负责农村生活垃圾治理统筹推进及设施运维，农业农村局负责生活垃圾资源化利用，生态环境分局负责处置设施排放监测，各乡镇人民政府负责本辖区内农村生活垃圾治理具体落实；完成时限：2030年底前达到治理目标，长期坚持运维）</w:t>
      </w:r>
    </w:p>
    <w:p w14:paraId="2423A94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农村生活污水治理：持续推进农村生活污水治理，因地制宜采用集中式、分散式、生态化等治理模式，重点推进乡镇政府所在地、中心村、旅游景点周边村庄生活污水治理，“十五五”期间农村生活污水治理率达到</w:t>
      </w:r>
      <w:r>
        <w:rPr>
          <w:rFonts w:hint="eastAsia" w:ascii="仿宋" w:hAnsi="仿宋" w:eastAsia="仿宋" w:cs="仿宋"/>
          <w:sz w:val="32"/>
          <w:szCs w:val="32"/>
          <w:lang w:val="en-US" w:eastAsia="zh-CN"/>
        </w:rPr>
        <w:t>5</w:t>
      </w:r>
      <w:r>
        <w:rPr>
          <w:rFonts w:hint="eastAsia" w:ascii="仿宋" w:hAnsi="仿宋" w:eastAsia="仿宋" w:cs="仿宋"/>
          <w:sz w:val="32"/>
          <w:szCs w:val="32"/>
        </w:rPr>
        <w:t>0%以上。完善农村生活污水收集管网建设，推进污水管网向自然村延伸，实现污水应收尽收。加强农村生活污水处理设施运维管理，建立“政府主导、第三方运维、群众监督”的运维机制，确保污水处理设施运行率达到90%以上，处理后污水达标排放。（牵头单位：农业农村局、住建局；配合单位：生态环境分局、各乡镇人民政府；责任分工：农业农村局负责农村生活污水治理统筹推进，住建局负责</w:t>
      </w:r>
      <w:r>
        <w:rPr>
          <w:rFonts w:hint="eastAsia" w:ascii="仿宋" w:hAnsi="仿宋" w:eastAsia="仿宋" w:cs="仿宋"/>
          <w:sz w:val="32"/>
          <w:szCs w:val="32"/>
          <w:lang w:val="en-US" w:eastAsia="zh-CN"/>
        </w:rPr>
        <w:t>县城镇</w:t>
      </w:r>
      <w:r>
        <w:rPr>
          <w:rFonts w:hint="eastAsia" w:ascii="仿宋" w:hAnsi="仿宋" w:eastAsia="仿宋" w:cs="仿宋"/>
          <w:sz w:val="32"/>
          <w:szCs w:val="32"/>
        </w:rPr>
        <w:t>污水管网及处理设施建设，生态环境分局负责排放监测及执法监管，各乡镇人民政府负责本辖区内污水治理具体落实；完成时限：2030年底前达到治理目标，长期坚持运维）</w:t>
      </w:r>
    </w:p>
    <w:p w14:paraId="259A200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农村卫生厕所改造：持续推进农村卫生厕所改造提升，推广水冲式厕所、三格式厕所等卫生厕所，结合农村实际，因地制宜选择改造模式，提升农村卫生厕所普及率，到2030年农村卫生厕所普及率达到90%以上。加强农村卫生厕所改造质量监管，规范改造流程，确保改造质量达标。完善农村卫生厕所粪污处理设施，推进粪污资源化利用，将粪污用于农田灌溉、有机肥生产等，实现粪污变废为宝。（牵头单位：农业农村局；配合单位：住建局、生态环境分局、各乡镇人民政府；责任分工：农业农村局负责农村卫生厕所改造统筹推进及粪污资源化利用，住建局负责厕所改造技术指导，生态环境分局负责粪污处理污染监管，各乡镇人民政府负责本辖区内厕所改造具体落实；完成时限：2030年底前达到改造目标，长期坚持维护）</w:t>
      </w:r>
    </w:p>
    <w:p w14:paraId="28806A9D">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4）农村村容村貌提升：开展农村村容村貌整治，清理农村房前屋后垃圾、杂物，整治乱堆乱放、乱搭乱建等问题，规范农村建筑风貌，提升农村整体形象。推进农村绿化美化，在村庄道路、房前屋后、闲置空地种植花草树木，打造村庄小游园、小绿地，提升农村生态环境品质，“十五五”期间建成美丽庭院1000户以上。完善农村基础设施建设，推进农村道路硬化、亮化、绿化，改善农村出行条件；完善农村供水、供电、通信等基础设施，提升农村公共服务水平。（牵头单位：农业农村局、住建局；配合单位：自然资源局、林业和草原局、各乡镇人民政府；责任分工：农业农村局负责村容村貌整治及美丽庭院创建，住建局负责农村道路、基础设施建设，自然资源局负责农村建筑风貌规范，林草局负责农村绿化美化，各乡镇人民政府负责本辖区内村容村貌提升具体落实；完成时限：2030年底前完成村容村貌提升目标，长期坚持维护）</w:t>
      </w:r>
    </w:p>
    <w:p w14:paraId="52E0F7A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37" w:name="heading_32"/>
      <w:r>
        <w:rPr>
          <w:rFonts w:hint="eastAsia" w:ascii="仿宋" w:hAnsi="仿宋" w:eastAsia="仿宋" w:cs="仿宋"/>
          <w:b/>
          <w:sz w:val="32"/>
          <w:szCs w:val="32"/>
        </w:rPr>
        <w:t>2. 推进美丽乡村建设示范</w:t>
      </w:r>
      <w:bookmarkEnd w:id="37"/>
    </w:p>
    <w:p w14:paraId="7AEC08D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按照“产业兴旺、生态宜居、乡风文明、治理有效、生活富裕”的总要求，推进美丽乡村建设示范，打造一批生态优美、宜居宜业、特色鲜明的美丽乡村示范村。“十五五”期间，建成市级美丽乡村示范村</w:t>
      </w:r>
      <w:r>
        <w:rPr>
          <w:rFonts w:hint="eastAsia" w:ascii="仿宋" w:hAnsi="仿宋" w:eastAsia="仿宋" w:cs="仿宋"/>
          <w:sz w:val="32"/>
          <w:szCs w:val="32"/>
          <w:lang w:val="en-US" w:eastAsia="zh-CN"/>
        </w:rPr>
        <w:t>2</w:t>
      </w:r>
      <w:r>
        <w:rPr>
          <w:rFonts w:hint="eastAsia" w:ascii="仿宋" w:hAnsi="仿宋" w:eastAsia="仿宋" w:cs="仿宋"/>
          <w:sz w:val="32"/>
          <w:szCs w:val="32"/>
        </w:rPr>
        <w:t>0个、县级美丽乡村示范村2</w:t>
      </w:r>
      <w:r>
        <w:rPr>
          <w:rFonts w:hint="eastAsia" w:ascii="仿宋" w:hAnsi="仿宋" w:eastAsia="仿宋" w:cs="仿宋"/>
          <w:sz w:val="32"/>
          <w:szCs w:val="32"/>
          <w:lang w:val="en-US" w:eastAsia="zh-CN"/>
        </w:rPr>
        <w:t>5</w:t>
      </w:r>
      <w:r>
        <w:rPr>
          <w:rFonts w:hint="eastAsia" w:ascii="仿宋" w:hAnsi="仿宋" w:eastAsia="仿宋" w:cs="仿宋"/>
          <w:sz w:val="32"/>
          <w:szCs w:val="32"/>
        </w:rPr>
        <w:t>个，美丽乡村整县建成比例达到55%以上。加强示范村建设指导，完善示范村基础设施和公共服务设施，提升示范村生态环境质量和治理水平。推广示范村建设经验，以点带面，推动全县美丽乡村建设整体提升。（牵头单位：农业农村局；配合单位：文旅局、自然资源局、生态环境分局、各乡镇人民政府；责任分工：农业农村局负责美丽乡村建设示范统筹推进及经验推广，文旅局负责民族文化融合，自然资源局负责示范村规划，生态环境分局负责示范村生态环境监管，各乡镇人民政府负责本辖区内示范村建设具体落实；完成时限：2030年底前完成美丽乡村建设目标，长期坚持提升）</w:t>
      </w:r>
    </w:p>
    <w:p w14:paraId="5F8DD38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38" w:name="heading_33"/>
      <w:r>
        <w:rPr>
          <w:rFonts w:hint="eastAsia" w:ascii="仿宋" w:hAnsi="仿宋" w:eastAsia="仿宋" w:cs="仿宋"/>
          <w:b/>
          <w:sz w:val="32"/>
          <w:szCs w:val="32"/>
        </w:rPr>
        <w:t>3. 加强农村生态保护</w:t>
      </w:r>
      <w:bookmarkEnd w:id="38"/>
    </w:p>
    <w:p w14:paraId="45A0FE9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加强农村生态保护，推进农村山水林田湖草沙冰一体化保护和系统治理，改善农村生态环境。加强农村饮用水水源地保护，规范农村饮用水水源地管理，定期开展水质监测，确保农村饮用水安全。加强</w:t>
      </w:r>
      <w:r>
        <w:rPr>
          <w:rFonts w:hint="eastAsia" w:ascii="仿宋" w:hAnsi="仿宋" w:eastAsia="仿宋" w:cs="仿宋"/>
          <w:sz w:val="32"/>
          <w:szCs w:val="32"/>
          <w:lang w:eastAsia="zh-CN"/>
        </w:rPr>
        <w:t>农业面源污染</w:t>
      </w:r>
      <w:r>
        <w:rPr>
          <w:rFonts w:hint="eastAsia" w:ascii="仿宋" w:hAnsi="仿宋" w:eastAsia="仿宋" w:cs="仿宋"/>
          <w:sz w:val="32"/>
          <w:szCs w:val="32"/>
        </w:rPr>
        <w:t>治理，推广生态农业、有机农业模式，减少化肥、农药、农膜使用量，推进秸秆、农膜、畜禽粪污等农业固体废物资源化利用，减少农业面源污染。加强农村湿地、林地、草原保护，推进农村生态修复，提升农村生态系统稳定性。严禁在农村区域非法开采、放牧、开垦等活动，防止破坏农村生态环境。（牵头单位：农业农村局、生态环境分局、林业和草原局；配合单位：水利局、自然资源局、各乡镇人民政府；责任分工：农业农村局负责</w:t>
      </w:r>
      <w:r>
        <w:rPr>
          <w:rFonts w:hint="eastAsia" w:ascii="仿宋" w:hAnsi="仿宋" w:eastAsia="仿宋" w:cs="仿宋"/>
          <w:sz w:val="32"/>
          <w:szCs w:val="32"/>
          <w:lang w:eastAsia="zh-CN"/>
        </w:rPr>
        <w:t>农业面源污染</w:t>
      </w:r>
      <w:r>
        <w:rPr>
          <w:rFonts w:hint="eastAsia" w:ascii="仿宋" w:hAnsi="仿宋" w:eastAsia="仿宋" w:cs="仿宋"/>
          <w:sz w:val="32"/>
          <w:szCs w:val="32"/>
        </w:rPr>
        <w:t>治理及农业固体废物资源化利用，生态环境分局负责农村生态环境监测及监管，林业和草原局负责农村林地、草原、湿地保护及生态修复，水利局负责农村饮用水水源地保护，自然资源局负责农村生态保护空间管控，各乡镇人民政府负责本辖区内农村生态保护具体落实；完成时限：长期坚持）</w:t>
      </w:r>
    </w:p>
    <w:p w14:paraId="2B53F01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39" w:name="heading_34"/>
      <w:r>
        <w:rPr>
          <w:rFonts w:hint="eastAsia" w:ascii="仿宋" w:hAnsi="仿宋" w:eastAsia="仿宋" w:cs="仿宋"/>
          <w:b/>
          <w:sz w:val="32"/>
          <w:szCs w:val="32"/>
        </w:rPr>
        <w:t>4. 健全农村人居环境治理长效机制</w:t>
      </w:r>
      <w:bookmarkEnd w:id="39"/>
    </w:p>
    <w:p w14:paraId="477FBB8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建立健全农村人居环境治理长效机制，明确各乡镇、各部门职责分工，压实治理责任。建立农村人居环境治理考核评价机制，将农村人居环境治理情况纳入各乡镇、各部门绩效考核，定期开展考核评价，督促各项工作落实。加强农村人居环境治理资金保障，加大财政投入力度，鼓励社会资本参与农村人居环境治理，形成多元化资金投入机制。加强宣传引导，提高群众农村人居环境治理参与意识，引导群众主动参与垃圾分类、厕所改造、村容村貌整治等工作，形成“政府主导、群众主体、社会参与”的良好治理格局。（牵头单位：农业农村局、住建局；配合单位：财政局、生态环境分局、各乡镇人民政府；责任分工：农业农村局、住建局负责农村人居环境治理长效机制建立及考核评价，财政局负责资金保障，生态环境分局负责治理效果监管，各乡镇人民政府负责本辖区内长效机制落实；完成时限：2027年底前建立健全长效机制，长期坚持完善）</w:t>
      </w:r>
    </w:p>
    <w:p w14:paraId="739F9A4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40" w:name="heading_35"/>
      <w:bookmarkStart w:id="41" w:name="_Toc25207"/>
      <w:r>
        <w:rPr>
          <w:rFonts w:hint="eastAsia" w:ascii="仿宋" w:hAnsi="仿宋" w:eastAsia="仿宋" w:cs="仿宋"/>
          <w:b/>
          <w:sz w:val="32"/>
          <w:szCs w:val="32"/>
        </w:rPr>
        <w:t>（六）强化科技赋能与智慧环保，提升监管效能</w:t>
      </w:r>
      <w:bookmarkEnd w:id="40"/>
      <w:bookmarkEnd w:id="41"/>
    </w:p>
    <w:p w14:paraId="0E49DFC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坚持科技赋能，推进智慧环保建设，完善生态环境监测网络，提升生态环境监测、预警、执法、治理能力，推动生态环境治理体系和治理能力现代化。</w:t>
      </w:r>
    </w:p>
    <w:p w14:paraId="3C8462D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42" w:name="heading_36"/>
      <w:r>
        <w:rPr>
          <w:rFonts w:hint="eastAsia" w:ascii="仿宋" w:hAnsi="仿宋" w:eastAsia="仿宋" w:cs="仿宋"/>
          <w:b/>
          <w:sz w:val="32"/>
          <w:szCs w:val="32"/>
        </w:rPr>
        <w:t>1. 推进智慧环保平台建设</w:t>
      </w:r>
      <w:bookmarkEnd w:id="42"/>
    </w:p>
    <w:p w14:paraId="45B84AF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整合县域生态环境监测、执法、监管、应急等各类数据资源，建设集监测、预警、执法、管理、服务于一体的智慧环保平台，实现数据共享、互联互通、协同处置。完善智慧环保平台功能，涵盖大气、水、土壤、固体废物、新污染物等重点领域监测数据管理，生态环境执法监管，环境风险预警，应急处置等功能，提升生态环境管理智能化水平。推进智慧环保平台与各部门信息系统对接，实现与住建、水利、林业和草原、公安等部门数据共享，形成协同治理合力。加强智慧环保平台运维管理，建立运维长效机制，确保平台稳定运行、数据准确可靠。（牵头单位：生态环境分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、住建局、水利局、林业和草原局、公安局；责任分工：生态环境分局负责智慧环保平台建设、功能完善及运维管理，</w:t>
      </w:r>
      <w:r>
        <w:rPr>
          <w:rFonts w:hint="eastAsia" w:ascii="仿宋" w:hAnsi="仿宋" w:eastAsia="仿宋" w:cs="仿宋"/>
          <w:sz w:val="32"/>
          <w:szCs w:val="32"/>
          <w:lang w:eastAsia="zh-CN"/>
        </w:rPr>
        <w:t>商科工局</w:t>
      </w:r>
      <w:r>
        <w:rPr>
          <w:rFonts w:hint="eastAsia" w:ascii="仿宋" w:hAnsi="仿宋" w:eastAsia="仿宋" w:cs="仿宋"/>
          <w:sz w:val="32"/>
          <w:szCs w:val="32"/>
        </w:rPr>
        <w:t>负责技术支撑，各配合单位负责相关数据共享及系统对接；完成时限：2029年底前全面建成智慧环保平台并投入使用，长期坚持运维和优化）</w:t>
      </w:r>
    </w:p>
    <w:p w14:paraId="74CE478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43" w:name="heading_37"/>
      <w:r>
        <w:rPr>
          <w:rFonts w:hint="eastAsia" w:ascii="仿宋" w:hAnsi="仿宋" w:eastAsia="仿宋" w:cs="仿宋"/>
          <w:b/>
          <w:sz w:val="32"/>
          <w:szCs w:val="32"/>
        </w:rPr>
        <w:t>2. 完善“天地空”一体化生态环境监测网络</w:t>
      </w:r>
      <w:bookmarkEnd w:id="43"/>
    </w:p>
    <w:p w14:paraId="4F3EAA6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优化生态环境监测站点布局，在县城建成区、三塘湖工业园区、重点矿区、重点河湖、生态保护红线等关键区域，新增大气、水、土壤等监测站点，实现监测全覆盖、全要素、全周期。完善监测设备配置，配备先进的监测设备和技术装备，提升监测精准度和效率，其中大气监测新增VOCs、O</w:t>
      </w:r>
      <w:r>
        <w:rPr>
          <w:rFonts w:hint="eastAsia" w:ascii="仿宋" w:hAnsi="仿宋" w:eastAsia="仿宋" w:cs="仿宋"/>
          <w:sz w:val="32"/>
          <w:szCs w:val="32"/>
          <w:vertAlign w:val="subscript"/>
          <w:lang w:val="en-US" w:eastAsia="zh-CN"/>
        </w:rPr>
        <w:t>3</w:t>
      </w:r>
      <w:r>
        <w:rPr>
          <w:rFonts w:hint="eastAsia" w:ascii="仿宋" w:hAnsi="仿宋" w:eastAsia="仿宋" w:cs="仿宋"/>
          <w:sz w:val="32"/>
          <w:szCs w:val="32"/>
        </w:rPr>
        <w:t>高精度监测设备，土壤监测新增便携式土壤监测设备，实现污染物实时监测、精准溯源。加强监测数据质量管控，建立监测数据审核、校准、溯源机制，定期开展监测设备校准和比对，确保监测数据真实、准确、有效，监测数据有效传输率达到99%以上。整合卫星遥感、无人机巡查、地面监测等多种监测手段，构建“天地空”一体化监测体系，实现对生态环境的全方位、立体化监测，及时掌握生态环境变化趋势，为生态环境治理提供科学数据支撑。（牵头单位：生态环境分局；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、自然资源局、水利局、林业和草原局；责任分工：生态环境分局负责监测网络优化、设备配置、数据管控及监测体系构建，</w:t>
      </w:r>
      <w:r>
        <w:rPr>
          <w:rFonts w:hint="eastAsia" w:ascii="仿宋" w:hAnsi="仿宋" w:eastAsia="仿宋" w:cs="仿宋"/>
          <w:sz w:val="32"/>
          <w:szCs w:val="32"/>
          <w:lang w:eastAsia="zh-CN"/>
        </w:rPr>
        <w:t>商科工局</w:t>
      </w:r>
      <w:r>
        <w:rPr>
          <w:rFonts w:hint="eastAsia" w:ascii="仿宋" w:hAnsi="仿宋" w:eastAsia="仿宋" w:cs="仿宋"/>
          <w:sz w:val="32"/>
          <w:szCs w:val="32"/>
        </w:rPr>
        <w:t>负责监测技术支撑和设备升级，自然资源局、水利局、林业和草原局配合做好各自领域监测站点布局和数据共享；完成时限：2029年底前完成监测网络完善，长期坚持监测和优化）</w:t>
      </w:r>
    </w:p>
    <w:p w14:paraId="1162B6D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44" w:name="heading_38"/>
      <w:r>
        <w:rPr>
          <w:rFonts w:hint="eastAsia" w:ascii="仿宋" w:hAnsi="仿宋" w:eastAsia="仿宋" w:cs="仿宋"/>
          <w:b/>
          <w:sz w:val="32"/>
          <w:szCs w:val="32"/>
        </w:rPr>
        <w:t>2. 强化生态环境科技支撑</w:t>
      </w:r>
      <w:bookmarkEnd w:id="44"/>
    </w:p>
    <w:p w14:paraId="0B0CA818">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加强生态环境科技研发与推广，聚焦县域突出生态环境问题，引进和推广先进适用的生态环境治理技术，提升生态环境治理科技水平。重点推广大气污染精准治理、水污染深度处理、土壤污染修复、固体废物资源化利用、新污染物治理等技术，推动科技成果转化应用，“十五五”期间引进推广先进生态环境治理技术10项以上。加强与科研院校、环保企业合作，建立产学研合作机制，联合开展生态环境治理技术研发，针对巴里坤县草原退化、湿地保护、沙化土地治理等特色生态问题，开展专项技术研究，形成适合县域实际的生态环境治理技术模式。加强生态环境科技人才培养，开展环保技术培训，提升环保从业人员专业技能和业务水平，“十五五”期间开展环保技术培训20场次以上，培训从业人员500人次以上。建立生态环境科技咨询机制，聘请生态环境领域专家，为县域生态环境保护工作提供技术指导和咨询服务，提升生态环境治理科学性和专业性。（牵头单位：生态环境分局、</w:t>
      </w:r>
      <w:r>
        <w:rPr>
          <w:rFonts w:hint="eastAsia" w:ascii="仿宋" w:hAnsi="仿宋" w:eastAsia="仿宋" w:cs="仿宋"/>
          <w:sz w:val="32"/>
          <w:szCs w:val="32"/>
          <w:lang w:eastAsia="zh-CN"/>
        </w:rPr>
        <w:t>商科工局</w:t>
      </w:r>
      <w:r>
        <w:rPr>
          <w:rFonts w:hint="eastAsia" w:ascii="仿宋" w:hAnsi="仿宋" w:eastAsia="仿宋" w:cs="仿宋"/>
          <w:sz w:val="32"/>
          <w:szCs w:val="32"/>
        </w:rPr>
        <w:t>；配合单位：发改委、农业农村局、林业和草原局；责任分工：生态环境分局负责科技研发推广、人才培养及科技咨询机制建立，</w:t>
      </w:r>
      <w:r>
        <w:rPr>
          <w:rFonts w:hint="eastAsia" w:ascii="仿宋" w:hAnsi="仿宋" w:eastAsia="仿宋" w:cs="仿宋"/>
          <w:sz w:val="32"/>
          <w:szCs w:val="32"/>
          <w:lang w:eastAsia="zh-CN"/>
        </w:rPr>
        <w:t>商科工局</w:t>
      </w:r>
      <w:r>
        <w:rPr>
          <w:rFonts w:hint="eastAsia" w:ascii="仿宋" w:hAnsi="仿宋" w:eastAsia="仿宋" w:cs="仿宋"/>
          <w:sz w:val="32"/>
          <w:szCs w:val="32"/>
        </w:rPr>
        <w:t>负责产学研合作及技术研发统筹，各配合单位负责本领域科技技术推广和应用；完成时限：2030年底前完成科技支撑相关目标，长期坚持科技赋能）</w:t>
      </w:r>
    </w:p>
    <w:p w14:paraId="27FAC49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45" w:name="heading_39"/>
      <w:r>
        <w:rPr>
          <w:rFonts w:hint="eastAsia" w:ascii="仿宋" w:hAnsi="仿宋" w:eastAsia="仿宋" w:cs="仿宋"/>
          <w:b/>
          <w:sz w:val="32"/>
          <w:szCs w:val="32"/>
        </w:rPr>
        <w:t>3. 提升生态环境执法监管效能</w:t>
      </w:r>
      <w:bookmarkEnd w:id="45"/>
    </w:p>
    <w:p w14:paraId="188DE55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推进生态环境执法数字化、智能化转型，依托智慧环保平台，实现执法流程线上化、执法数据信息化，提升执法效率和精准度。加强执法队伍建设，配备专业执法人员和执法装备，开展执法业务培训，提升执法人员执法能力和水平，规范执法行为，严格依法执法、公正执法。强化重点领域执法监管，聚焦工业企业、工业园区、畜禽养殖、矿山开采、河湖保护等重点领域，加大执法检查力度，实行常态化执法巡查，对生态环境违法违规行为“零容忍”，严厉打击非法排污、非法破坏生态环境等行为，做到有案必查、违法必究、执法必严。建立跨部门联合执法机制，加强与公安、住建、水利、自然资源等部门联合执法，形成执法合力，提升执法监管效能。推行“双随机、一公开”执法监管模式，规范执法检查流程，提高执法公正性和透明度，“十五五”期间生态环境违法案件查处率达到100%，整改率达到100%。（牵头单位：生态环境分局；配合单位：公安局、住建局、水利局、自然资源局、农业农村局；责任分工：生态环境分局负责执法队伍建设、执法监管及联合执法统筹，各配合单位按照职责分工参与联合执法，落实各自领域执法监管责任；完成时限：长期坚持）</w:t>
      </w:r>
    </w:p>
    <w:p w14:paraId="6FC0C31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46" w:name="heading_40"/>
      <w:r>
        <w:rPr>
          <w:rFonts w:hint="eastAsia" w:ascii="仿宋" w:hAnsi="仿宋" w:eastAsia="仿宋" w:cs="仿宋"/>
          <w:b/>
          <w:sz w:val="32"/>
          <w:szCs w:val="32"/>
        </w:rPr>
        <w:t>4. 强化环境风险预警与应急处置能力</w:t>
      </w:r>
      <w:bookmarkEnd w:id="46"/>
    </w:p>
    <w:p w14:paraId="792F800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完善生态环境风险预警体系，依托智慧环保平台，整合监测数据、执法数据、应急数据等资源，建立环境风险预警模型，实现对大气、水、土壤、固体废物等领域环境风险的精准预警，预警响应时间不超过1小时。建立环境风险隐患排查治理机制，定期开展全县生态环境风险隐患排查，建立风险隐患清单，实行“清单化管理、销号式整改”，及时整改各类环境风险隐患，防范环境风险发生。修订完善突发环境事件应急预案，结合县域实际，针对不同类型突发环境事件，制定专项应急预案，明确应急响应流程、责任分工、处置措施和保障条件，定期开展应急演练，每年至少开展2次实战化应急演练，提升应急处置能力，确保突发环境事件处置率达到100%。加强应急物资储备，建立应急物资储备库，储备应急监测设备、应急处置药品、防护装备等物资，确保突发环境事件发生时能够及时调配使用。加强应急队伍建设，组建专业应急处置队伍，开展应急处置培训和演练，提升应急队伍处置能力，建立跨区域应急协同机制，加强与周边县市应急联动，提升突发环境事件协同处置能力。（牵头单位：生态环境分局；配合单位：应急管理局、公安局、水利局、住建局、</w:t>
      </w:r>
      <w:r>
        <w:rPr>
          <w:rFonts w:hint="eastAsia" w:ascii="仿宋" w:hAnsi="仿宋" w:eastAsia="仿宋" w:cs="仿宋"/>
          <w:sz w:val="32"/>
          <w:szCs w:val="32"/>
          <w:lang w:eastAsia="zh-CN"/>
        </w:rPr>
        <w:t>商科工局</w:t>
      </w:r>
      <w:r>
        <w:rPr>
          <w:rFonts w:hint="eastAsia" w:ascii="仿宋" w:hAnsi="仿宋" w:eastAsia="仿宋" w:cs="仿宋"/>
          <w:sz w:val="32"/>
          <w:szCs w:val="32"/>
        </w:rPr>
        <w:t>；责任分工：生态环境分局负责风险预警体系建设、应急预案修订、应急演练、应急队伍建设及应急物资储备，应急管理局负责应急统筹协调，各配合单位按照职责分工落实应急处置相关责任；完成时限：2029年底前完善风险预警体系和应急保障，长期坚持预警和应急处置）</w:t>
      </w:r>
    </w:p>
    <w:p w14:paraId="30D2F3A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47" w:name="_Toc16328"/>
      <w:bookmarkStart w:id="48" w:name="heading_41"/>
      <w:r>
        <w:rPr>
          <w:rFonts w:hint="eastAsia" w:ascii="仿宋" w:hAnsi="仿宋" w:eastAsia="仿宋" w:cs="仿宋"/>
          <w:b/>
          <w:sz w:val="32"/>
          <w:szCs w:val="32"/>
        </w:rPr>
        <w:t>（七）健全现代环境治理体系，压实生态环保责任</w:t>
      </w:r>
      <w:bookmarkEnd w:id="47"/>
      <w:bookmarkEnd w:id="48"/>
    </w:p>
    <w:p w14:paraId="7F94ABE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坚持系统观念，健全党委领导、政府负责、企业主体、社会组织和公众共同参与的现代环境治理体系，明确各方责任，强化协同共治，确保生态环境保护各项任务落地见效，推动生态环境治理体系和治理能力现代化。</w:t>
      </w:r>
    </w:p>
    <w:p w14:paraId="4AAA431A">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49" w:name="heading_42"/>
      <w:r>
        <w:rPr>
          <w:rFonts w:hint="eastAsia" w:ascii="仿宋" w:hAnsi="仿宋" w:eastAsia="仿宋" w:cs="仿宋"/>
          <w:b/>
          <w:sz w:val="32"/>
          <w:szCs w:val="32"/>
        </w:rPr>
        <w:t>1. 压实生态环境保护责任</w:t>
      </w:r>
      <w:bookmarkEnd w:id="49"/>
    </w:p>
    <w:p w14:paraId="2A83918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强化</w:t>
      </w:r>
      <w:r>
        <w:rPr>
          <w:rFonts w:hint="eastAsia" w:ascii="仿宋" w:hAnsi="仿宋" w:eastAsia="仿宋" w:cs="仿宋"/>
          <w:sz w:val="32"/>
          <w:szCs w:val="32"/>
          <w:lang w:eastAsia="zh-CN"/>
        </w:rPr>
        <w:t>党委、政府</w:t>
      </w:r>
      <w:r>
        <w:rPr>
          <w:rFonts w:hint="eastAsia" w:ascii="仿宋" w:hAnsi="仿宋" w:eastAsia="仿宋" w:cs="仿宋"/>
          <w:sz w:val="32"/>
          <w:szCs w:val="32"/>
        </w:rPr>
        <w:t>主体责任，坚持党政同责、一岗双责，将生态环境保护工作纳入县委、县政府重要议事日程，定期研究部署生态环境保护工作，解决突出生态环境问题。健全生态环境保护目标责任制，明确各乡镇、各部门生态环境保护职责分工，将生态环境保护目标任务分解落实到具体单位和个人，签订生态环境保护目标责任书，实行严格的考核评价和问责机制。将生态环境保护工作纳入各乡镇、各部门绩效考核，加大考核权重，考核结果与干部评优评先、职务晋升挂钩，对生态环境保护工作成效显著的予以表彰奖励，对工作不力、问题突出的予以问责追责。明确企业生态环境保护主体责任，督促企业落实污染防治主体责任，规范生产经营行为，配套建设环保设施，确保污染物稳定达标排放，主动开展清洁生产和节能降碳改造，提升环保管理水平，对违法排污企业依法严肃处罚，推动企业履行环保社会责任。（牵头单位：县委办公室、县政府办公室、生态环境分局；配合单位：各乡镇人民政府、各相关部门；责任分工：县委办公室、县政府办公室负责责任统筹和考核问责，生态环境分局负责责任落实督促和企业监管，各乡镇、各部门落实各自领域生态环境保护责任；完成时限：长期坚持）</w:t>
      </w:r>
    </w:p>
    <w:p w14:paraId="787DD38D">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50" w:name="heading_43"/>
      <w:r>
        <w:rPr>
          <w:rFonts w:hint="eastAsia" w:ascii="仿宋" w:hAnsi="仿宋" w:eastAsia="仿宋" w:cs="仿宋"/>
          <w:b/>
          <w:sz w:val="32"/>
          <w:szCs w:val="32"/>
        </w:rPr>
        <w:t>2. 健全生态环境管理制度</w:t>
      </w:r>
      <w:bookmarkEnd w:id="50"/>
    </w:p>
    <w:p w14:paraId="496956F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完善生态环境法律法规配套政策，结合巴里坤县实际，制定完善县域生态环境保护相关管理办法和实施细则，细化管控措施，强化制度约束。严格落实排污许可制度，全面实行排污许可全覆盖，加强排污许可审批和监管，建立“许可—监测—执法—处罚”闭环管理机制，确保排污单位依法持证排污、按证排污。健全生态环境标准体系，严格执行国家、自治区生态环境标准，结合县域产业特点和生态环境实际，制定地方生态环境标准，提升生态环境管控精细化水平。完善生态环境监测、执法、应急、考核等管理制度，规范工作流程，提升管理效能，推动生态环境治理规范化、制度化。（牵头单位：生态环境分局；配合单位：司法局、发改委、</w:t>
      </w:r>
      <w:r>
        <w:rPr>
          <w:rFonts w:hint="eastAsia" w:ascii="仿宋" w:hAnsi="仿宋" w:eastAsia="仿宋" w:cs="仿宋"/>
          <w:sz w:val="32"/>
          <w:szCs w:val="32"/>
          <w:lang w:eastAsia="zh-CN"/>
        </w:rPr>
        <w:t>商科工局</w:t>
      </w:r>
      <w:r>
        <w:rPr>
          <w:rFonts w:hint="eastAsia" w:ascii="仿宋" w:hAnsi="仿宋" w:eastAsia="仿宋" w:cs="仿宋"/>
          <w:sz w:val="32"/>
          <w:szCs w:val="32"/>
        </w:rPr>
        <w:t>、各乡镇人民政府；责任分工：生态环境分局负责生态环境管理制度完善、排污许可管理及标准体系建设，司法局负责相关管理办法合法性审核，各配合单位负责制度落实；完成时限：2028年底前完善相关管理制度，长期坚持完善）</w:t>
      </w:r>
    </w:p>
    <w:p w14:paraId="1B221D2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51" w:name="heading_44"/>
      <w:r>
        <w:rPr>
          <w:rFonts w:hint="eastAsia" w:ascii="仿宋" w:hAnsi="仿宋" w:eastAsia="仿宋" w:cs="仿宋"/>
          <w:b/>
          <w:sz w:val="32"/>
          <w:szCs w:val="32"/>
        </w:rPr>
        <w:t>3. 强化政策支持与资金保障</w:t>
      </w:r>
      <w:bookmarkEnd w:id="51"/>
    </w:p>
    <w:p w14:paraId="77A63F79">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加大生态环境保护资金投入力度，将生态环境保护资金纳入财政预算，建立稳定的资金投入机制，“十五五”期间</w:t>
      </w:r>
      <w:r>
        <w:rPr>
          <w:rFonts w:hint="eastAsia" w:ascii="仿宋" w:hAnsi="仿宋" w:eastAsia="仿宋" w:cs="仿宋"/>
          <w:sz w:val="32"/>
          <w:szCs w:val="32"/>
          <w:highlight w:val="none"/>
          <w:lang w:eastAsia="zh-CN"/>
        </w:rPr>
        <w:t>在县级财政可承受能力范围内，积极保障生态环境保护资金投入，具体以经批准的年度预算为准</w:t>
      </w:r>
      <w:r>
        <w:rPr>
          <w:rFonts w:hint="eastAsia" w:ascii="仿宋" w:hAnsi="仿宋" w:eastAsia="仿宋" w:cs="仿宋"/>
          <w:sz w:val="32"/>
          <w:szCs w:val="32"/>
          <w:highlight w:val="none"/>
        </w:rPr>
        <w:t>。积极争取国家、自治</w:t>
      </w:r>
      <w:r>
        <w:rPr>
          <w:rFonts w:hint="eastAsia" w:ascii="仿宋" w:hAnsi="仿宋" w:eastAsia="仿宋" w:cs="仿宋"/>
          <w:sz w:val="32"/>
          <w:szCs w:val="32"/>
        </w:rPr>
        <w:t>区、哈密市生态环境保护专项资金支持，重点支持生态保护修复、污染治理、智慧环保、应急能力建设等项目。鼓励社会资本参与生态环境保护，完善社会资本参与机制，引导企业、社会组织等投入生态环境保护领域，形成多元化资金投入格局。落实生态环境保护相关税收优惠、财政补贴等政策，支持绿色低碳产业发展、环保技术研发推广、企业环保改造等，推动生态环境保护与经济发展协同共进。加强资金使用监管，建立资金使用绩效考核机制，确保资金专款专用、高效使用，杜绝资金浪费和违规使用。（牵头单位：财政局、发改委、生态环境分局；配合单位：各乡镇人民政府、各相关部门；责任分工：财政局负责资金保障、资金监管及税收优惠落实，发改委负责专项资金争取及项目统筹，生态环境分局负责资金使用统筹及绩效考核，各乡镇、各部门负责本领域资金使用落实；完成时限：长期坚持）</w:t>
      </w:r>
    </w:p>
    <w:p w14:paraId="7FFA787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52" w:name="heading_45"/>
      <w:r>
        <w:rPr>
          <w:rFonts w:hint="eastAsia" w:ascii="仿宋" w:hAnsi="仿宋" w:eastAsia="仿宋" w:cs="仿宋"/>
          <w:b/>
          <w:sz w:val="32"/>
          <w:szCs w:val="32"/>
        </w:rPr>
        <w:t>4. 推动多元共治与公众参与</w:t>
      </w:r>
      <w:bookmarkEnd w:id="52"/>
    </w:p>
    <w:p w14:paraId="257B7CA8">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加强生态环境保护宣传教育，通过电视、广播、网络、宣传栏、主题活动等多种形式，普及生态环境保护知识，宣传生态环境保护政策法规和工作成效，提高群众和企业生态环境保护意识，营造“人人关心环保、人人参与环保”的良好社会氛围，“十五五”期间开展生态环境保护宣传活动50场次以上。畅通公众参与渠道，建立公众举报平台，鼓励公众举报生态环境违法违规行为，对举报属实的给予奖励，保障公众知情权、参与权、监督权。引导社会组织参与生态环境保护，支持环保社会组织开展生态环境保护宣传、公益活动、技术服务等，发挥社会组织桥梁纽带作用。推进生态环境信息公开，定期公开生态环境监测数据、执法信息、环境质量状况、重点项目进展等信息，接受社会监督，提升生态环境治理透明度。（牵头单位：生态环境分局；配合单位：县委宣传部、文旅局、各乡镇人民政府、各相关部门；责任分工：生态环境分局负责宣传教育、公众举报平台建设及信息公开，县委宣传部负责宣传统筹，文旅局负责宣传载体保障，各乡镇、各部门负责本辖区、本领域宣传教育和公众参与引导；完成时限：长期坚持）</w:t>
      </w:r>
    </w:p>
    <w:p w14:paraId="7ECB5A08">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3"/>
        <w:rPr>
          <w:rFonts w:hint="eastAsia" w:ascii="仿宋" w:hAnsi="仿宋" w:eastAsia="仿宋" w:cs="仿宋"/>
          <w:sz w:val="32"/>
          <w:szCs w:val="32"/>
        </w:rPr>
      </w:pPr>
      <w:bookmarkStart w:id="53" w:name="heading_46"/>
      <w:r>
        <w:rPr>
          <w:rFonts w:hint="eastAsia" w:ascii="仿宋" w:hAnsi="仿宋" w:eastAsia="仿宋" w:cs="仿宋"/>
          <w:b/>
          <w:sz w:val="32"/>
          <w:szCs w:val="32"/>
        </w:rPr>
        <w:t>5. 加强区域协同与交流合作</w:t>
      </w:r>
      <w:bookmarkEnd w:id="53"/>
    </w:p>
    <w:p w14:paraId="1167B768">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加强与哈密市其他县市、新疆东部周边地区的生态环境保护协同合作，建立区域协同治理机制，共享监测数据、协同处置污染问题、联合开展生态保护修复，共同提升区域生态环境质量。积极参与东疆生态安全屏障建设协同行动，加强与周边地区在草原保护、湿地修复、沙化土地治理等方面的合作，推动区域生态系统一体化保护和系统治理。加强与科研院校、环保企业的交流合作，引进先进技术、管理经验和人才，提升县域生态环境保护水平。积极参与生态环境保护相关交流活动，学习借鉴其他地区先进经验和做法，结合巴里坤县实际，优化生态环境保护工作举措，推动生态环境治理能力提升。（牵头单位：生态环境分局、发改委；配合单位：</w:t>
      </w:r>
      <w:r>
        <w:rPr>
          <w:rFonts w:hint="eastAsia" w:ascii="仿宋" w:hAnsi="仿宋" w:eastAsia="仿宋" w:cs="仿宋"/>
          <w:sz w:val="32"/>
          <w:szCs w:val="32"/>
          <w:lang w:eastAsia="zh-CN"/>
        </w:rPr>
        <w:t>商科工局</w:t>
      </w:r>
      <w:r>
        <w:rPr>
          <w:rFonts w:hint="eastAsia" w:ascii="仿宋" w:hAnsi="仿宋" w:eastAsia="仿宋" w:cs="仿宋"/>
          <w:sz w:val="32"/>
          <w:szCs w:val="32"/>
        </w:rPr>
        <w:t>、林业和草原局、水利局、各乡镇人民政府；责任分工：生态环境分局负责区域协同合作及交流统筹，发改委负责协同发展规划，各配合单位负责各自领域协同合作落实；完成时限：长期坚持）</w:t>
      </w:r>
    </w:p>
    <w:p w14:paraId="3398AF6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0"/>
        <w:rPr>
          <w:rFonts w:hint="eastAsia" w:ascii="仿宋" w:hAnsi="仿宋" w:eastAsia="仿宋" w:cs="仿宋"/>
          <w:sz w:val="32"/>
          <w:szCs w:val="32"/>
        </w:rPr>
      </w:pPr>
      <w:bookmarkStart w:id="54" w:name="_Toc17642"/>
      <w:bookmarkStart w:id="55" w:name="heading_47"/>
      <w:r>
        <w:rPr>
          <w:rFonts w:hint="eastAsia" w:ascii="仿宋" w:hAnsi="仿宋" w:eastAsia="仿宋" w:cs="仿宋"/>
          <w:b/>
          <w:sz w:val="32"/>
          <w:szCs w:val="32"/>
        </w:rPr>
        <w:t>四、进度安排</w:t>
      </w:r>
      <w:bookmarkEnd w:id="54"/>
      <w:bookmarkEnd w:id="55"/>
    </w:p>
    <w:p w14:paraId="168DC293">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按照“分期实施、稳步推进、重点突破、全面落实”的原则，将“十五五”生态环境保护各项任务分解为三个阶段推进，明确各阶段工作重点和完成时限，确保各项目标任务有序落地见效。</w:t>
      </w:r>
    </w:p>
    <w:p w14:paraId="781EA63E">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56" w:name="_Toc23922"/>
      <w:bookmarkStart w:id="57" w:name="heading_48"/>
      <w:r>
        <w:rPr>
          <w:rFonts w:hint="eastAsia" w:ascii="仿宋" w:hAnsi="仿宋" w:eastAsia="仿宋" w:cs="仿宋"/>
          <w:b/>
          <w:sz w:val="32"/>
          <w:szCs w:val="32"/>
        </w:rPr>
        <w:t>（一）启动部署阶段（2026年4月—2026年12月）</w:t>
      </w:r>
      <w:bookmarkEnd w:id="56"/>
      <w:bookmarkEnd w:id="57"/>
    </w:p>
    <w:p w14:paraId="7D5CAD5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重点开展各项前期工作，成立“十五五”生态环境保护工作领导小组，明确职责分工，统筹推进各项工作；细化完善各项重点任务实施方案，明确实施举措、责任分工和时间节点；开展生态环境状况详细调查、污染源排查、监测站点布局优化等前期工作；加强宣传动员，营造良好工作氛围；启动一批重点生态环境保护项目前期筹备工作，确保项目顺利开工建设。</w:t>
      </w:r>
    </w:p>
    <w:p w14:paraId="3145414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58" w:name="heading_49"/>
      <w:bookmarkStart w:id="59" w:name="_Toc24193"/>
      <w:r>
        <w:rPr>
          <w:rFonts w:hint="eastAsia" w:ascii="仿宋" w:hAnsi="仿宋" w:eastAsia="仿宋" w:cs="仿宋"/>
          <w:b/>
          <w:sz w:val="32"/>
          <w:szCs w:val="32"/>
        </w:rPr>
        <w:t>（二）全面推进阶段（2027年1月—2029年12月）</w:t>
      </w:r>
      <w:bookmarkEnd w:id="58"/>
      <w:bookmarkEnd w:id="59"/>
    </w:p>
    <w:p w14:paraId="3140428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全面推进各项重点任务落实，集中力量开展污染防治攻坚、生态保护修复、绿色低碳发展、智慧环保建设等工作。完成重点行业超低排放改造、燃煤锅炉淘汰改造、VOCs综合治理等大气污染治理任务；推进地表水、地下水、饮用水水源地、农村生活污水等水环境治理工程；落实土壤与地下水污染协同防控措施，推进受污染土壤、地下水修复工程；加强固体废物与新污染物治理，完善治理体系；推进生态保护红线管控、生态系统修复、生物多样性保护等工作；优化产业布局，推动产业绿色转型，大力发展新能源产业；完善“天地空”一体化监测网络，推进智慧环保平台建设；健全现代环境治理体系，压实生态环保责任。定期开展工作督查，及时发现和解决工作中存在的问题，确保各项任务按进度推进，取得阶段性成效。</w:t>
      </w:r>
    </w:p>
    <w:p w14:paraId="0D396986">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60" w:name="heading_50"/>
      <w:bookmarkStart w:id="61" w:name="_Toc29712"/>
      <w:r>
        <w:rPr>
          <w:rFonts w:hint="eastAsia" w:ascii="仿宋" w:hAnsi="仿宋" w:eastAsia="仿宋" w:cs="仿宋"/>
          <w:b/>
          <w:sz w:val="32"/>
          <w:szCs w:val="32"/>
        </w:rPr>
        <w:t>（三）巩固提升阶段（2030年1月—2030年12月）</w:t>
      </w:r>
      <w:bookmarkEnd w:id="60"/>
      <w:bookmarkEnd w:id="61"/>
    </w:p>
    <w:p w14:paraId="47F6652F">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聚焦各项目标任务，开展查漏补缺，对未完成的任务加快推进，确保全面完成“十五五”生态环境保护各项目标；对已完成的任务进行巩固提升，完善长效机制，防止问题反弹；开展生态环境保护工作成效评估，总结经验做法，查找存在的不足，优化工作举措；健全生态环境治理体系，提升治理能力，推动生态环境治理体系和治理能力现代化；全面梳理各项工作成果，做好总结验收工作，为“十六五”生态环境保护工作奠定坚实基础。</w:t>
      </w:r>
    </w:p>
    <w:p w14:paraId="3BADF5A5">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0"/>
        <w:rPr>
          <w:rFonts w:hint="eastAsia" w:ascii="仿宋" w:hAnsi="仿宋" w:eastAsia="仿宋" w:cs="仿宋"/>
          <w:sz w:val="32"/>
          <w:szCs w:val="32"/>
        </w:rPr>
      </w:pPr>
      <w:bookmarkStart w:id="62" w:name="_Toc16157"/>
      <w:bookmarkStart w:id="63" w:name="heading_51"/>
      <w:r>
        <w:rPr>
          <w:rFonts w:hint="eastAsia" w:ascii="仿宋" w:hAnsi="仿宋" w:eastAsia="仿宋" w:cs="仿宋"/>
          <w:b/>
          <w:sz w:val="32"/>
          <w:szCs w:val="32"/>
        </w:rPr>
        <w:t>五、保障措施</w:t>
      </w:r>
      <w:bookmarkEnd w:id="62"/>
      <w:bookmarkEnd w:id="63"/>
    </w:p>
    <w:p w14:paraId="605FD556">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64" w:name="heading_52"/>
      <w:bookmarkStart w:id="65" w:name="_Toc30970"/>
      <w:r>
        <w:rPr>
          <w:rFonts w:hint="eastAsia" w:ascii="仿宋" w:hAnsi="仿宋" w:eastAsia="仿宋" w:cs="仿宋"/>
          <w:b/>
          <w:sz w:val="32"/>
          <w:szCs w:val="32"/>
        </w:rPr>
        <w:t>（一）组织保障</w:t>
      </w:r>
      <w:bookmarkEnd w:id="64"/>
      <w:bookmarkEnd w:id="65"/>
    </w:p>
    <w:p w14:paraId="15648D2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成立哈密市巴里坤县“十五五”生态环境保护工作领导小组，由县委、县政府主要领导担任组长，分管领导担任副组长，各乡镇人民政府、各相关部门主要负责人为成员，统筹推进“十五五”生态环境保护各项工作。领导小组下设办公室在县生态环境分局，负责日常工作协调、任务分解、进度督查、信息汇总等工作，确保各项工作有序推进。各乡镇、各部门成立相应工作专班，明确专人负责，细化工作举措，落实工作责任，形成上下联动、齐抓共管的工作格局。定期召开领导小组会议，研究解决生态环境保护工作中的重大问题，部署阶段性工作任务，督促各项任务落实到位。</w:t>
      </w:r>
    </w:p>
    <w:p w14:paraId="7F88EC1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66" w:name="_Toc32713"/>
      <w:bookmarkStart w:id="67" w:name="heading_53"/>
      <w:r>
        <w:rPr>
          <w:rFonts w:hint="eastAsia" w:ascii="仿宋" w:hAnsi="仿宋" w:eastAsia="仿宋" w:cs="仿宋"/>
          <w:b/>
          <w:sz w:val="32"/>
          <w:szCs w:val="32"/>
        </w:rPr>
        <w:t>（二）制度保障</w:t>
      </w:r>
      <w:bookmarkEnd w:id="66"/>
      <w:bookmarkEnd w:id="67"/>
    </w:p>
    <w:p w14:paraId="484B6D6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完善生态环境保护相关管理制度，修订完善县域生态环境保护管理办法、排污许可管理实施细则、生态环境考核评价办法等，强化制度约束，规范工作流程。严格落</w:t>
      </w:r>
      <w:r>
        <w:rPr>
          <w:rFonts w:hint="eastAsia" w:ascii="仿宋" w:hAnsi="仿宋" w:eastAsia="仿宋" w:cs="仿宋"/>
          <w:sz w:val="32"/>
          <w:szCs w:val="32"/>
          <w:highlight w:val="none"/>
        </w:rPr>
        <w:t>实生态环境保护法律法规和标准，加强执法监管，严厉打击生态环境违法违规行为，确保各项工作依法推进。建立健全工</w:t>
      </w:r>
      <w:r>
        <w:rPr>
          <w:rFonts w:hint="eastAsia" w:ascii="仿宋" w:hAnsi="仿宋" w:eastAsia="仿宋" w:cs="仿宋"/>
          <w:sz w:val="32"/>
          <w:szCs w:val="32"/>
        </w:rPr>
        <w:t>作督查机制，定期开展生态环境保护工作督查，对工作推进有力、成效显著的予以表彰奖励，对工作不力、进展缓慢的予以通报批评、约谈问责，倒逼各项任务落实。建立健全数据共享机制，推进各部门生态环境数据共享，实现信息互联互通，提升工作协同性和效率。</w:t>
      </w:r>
    </w:p>
    <w:p w14:paraId="06621B0B">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68" w:name="heading_54"/>
      <w:bookmarkStart w:id="69" w:name="_Toc32212"/>
      <w:r>
        <w:rPr>
          <w:rFonts w:hint="eastAsia" w:ascii="仿宋" w:hAnsi="仿宋" w:eastAsia="仿宋" w:cs="仿宋"/>
          <w:b/>
          <w:sz w:val="32"/>
          <w:szCs w:val="32"/>
        </w:rPr>
        <w:t>（三）资金保障</w:t>
      </w:r>
      <w:bookmarkEnd w:id="68"/>
      <w:bookmarkEnd w:id="69"/>
    </w:p>
    <w:p w14:paraId="50ACE254">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建立稳定的生态环境保护资金投入机制，将生态环境保护资金纳入县级财政预算，逐年加大投入力度，保障污染治理、生态修复、监测执法、智慧环保、应急能力建设等工作资金需求。积极争取国家、自治区、哈密市生态环境保护专项资金、项目资金支持，重点申报生态保护修复、绿色低碳发展、污染防治攻坚等重点项目。鼓励社会资本参与生态环境保护，完善社会资本参与机制，引导企业、社会组织等投入生态环境保护领域，形成政府主导、社会参与、多元投入的资金保障格局。加强资金使用监管，建立资金使用绩效考核机制，严格资金审批、拨付、使用流程，确保资金专款专用、高效使用，杜绝资金浪费和违规使用。</w:t>
      </w:r>
    </w:p>
    <w:p w14:paraId="0F4A884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70" w:name="_Toc32061"/>
      <w:bookmarkStart w:id="71" w:name="heading_55"/>
      <w:r>
        <w:rPr>
          <w:rFonts w:hint="eastAsia" w:ascii="仿宋" w:hAnsi="仿宋" w:eastAsia="仿宋" w:cs="仿宋"/>
          <w:b/>
          <w:sz w:val="32"/>
          <w:szCs w:val="32"/>
        </w:rPr>
        <w:t>（四）人才保障</w:t>
      </w:r>
      <w:bookmarkEnd w:id="70"/>
      <w:bookmarkEnd w:id="71"/>
    </w:p>
    <w:p w14:paraId="568B96A0">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加强生态环境保护人才队伍建设，优化人才队伍结构，引进生态环境监测、执法、技术研发等方面的专业人才，充实人才队伍力量。开展生态环境保护人才培训，定期组织环保从业人员开展业务培训、技能培训、政策培训，提升从业人员专业技能和业务水平，“十五五”期间培训环保从业人员500人次以上。建立健全人才激励机制，完善绩效考核、评优评先、职务晋升等制度，激发人才工作积极性和主动性。加强与科研院校、环保企业合作，建立人才培养基地，培养一批适应县域生态环境保护工作需要的专业人才，为生态环境保护工作提供人才支撑。</w:t>
      </w:r>
    </w:p>
    <w:p w14:paraId="4403466E">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sz w:val="32"/>
          <w:szCs w:val="32"/>
        </w:rPr>
      </w:pPr>
      <w:bookmarkStart w:id="72" w:name="heading_56"/>
      <w:bookmarkStart w:id="73" w:name="_Toc16277"/>
      <w:r>
        <w:rPr>
          <w:rFonts w:hint="eastAsia" w:ascii="仿宋" w:hAnsi="仿宋" w:eastAsia="仿宋" w:cs="仿宋"/>
          <w:b/>
          <w:sz w:val="32"/>
          <w:szCs w:val="32"/>
        </w:rPr>
        <w:t>（五）技术保障</w:t>
      </w:r>
      <w:bookmarkEnd w:id="72"/>
      <w:bookmarkEnd w:id="73"/>
    </w:p>
    <w:p w14:paraId="4F5F891C">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sz w:val="32"/>
          <w:szCs w:val="32"/>
        </w:rPr>
        <w:t>加强生态环境科技研发与推广，引进和推广先进适用的生态环境治理技术、监测技术、应急处置技术，提升生态环境治理科技水平。建立产学研合作机制，与科研院校、环保企业联合开展生态环境治理技术研发，针对县域突出生态环境问题，开展专项技术研究，形成适合县域实际的治理技术模式。完善生态环境技术服务体系，鼓励环保企业、科研机构为县域生态环境保护提供技术咨询、技术服务、技术改造</w:t>
      </w:r>
      <w:r>
        <w:rPr>
          <w:rFonts w:hint="eastAsia" w:ascii="仿宋" w:hAnsi="仿宋" w:eastAsia="仿宋" w:cs="仿宋"/>
          <w:color w:val="auto"/>
          <w:sz w:val="32"/>
          <w:szCs w:val="32"/>
          <w:highlight w:val="none"/>
        </w:rPr>
        <w:t>等支持，提升生态环境治理专业化水平。加强智慧环保技术应用，推进监测设备智能化、执法数字化、管理信息化，提升生态环境监管和治理效能。</w:t>
      </w:r>
    </w:p>
    <w:p w14:paraId="72CAA6FD">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1"/>
        <w:rPr>
          <w:rFonts w:hint="eastAsia" w:ascii="仿宋" w:hAnsi="仿宋" w:eastAsia="仿宋" w:cs="仿宋"/>
          <w:color w:val="auto"/>
          <w:sz w:val="32"/>
          <w:szCs w:val="32"/>
          <w:highlight w:val="none"/>
        </w:rPr>
      </w:pPr>
      <w:bookmarkStart w:id="74" w:name="_Toc28482"/>
      <w:bookmarkStart w:id="75" w:name="heading_57"/>
      <w:r>
        <w:rPr>
          <w:rFonts w:hint="eastAsia" w:ascii="仿宋" w:hAnsi="仿宋" w:eastAsia="仿宋" w:cs="仿宋"/>
          <w:b/>
          <w:color w:val="auto"/>
          <w:sz w:val="32"/>
          <w:szCs w:val="32"/>
          <w:highlight w:val="none"/>
        </w:rPr>
        <w:t>（六）宣传保障</w:t>
      </w:r>
      <w:bookmarkEnd w:id="74"/>
      <w:bookmarkEnd w:id="75"/>
    </w:p>
    <w:p w14:paraId="07F1FAF1">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加强生态环境保护宣传教育，构建多渠道、全方位的宣传体系，通过电视、广播、网络、微信公众号、宣传栏、主题活动等多种形式，普及生态环境保护知识、政策法规和工作成效，提高群众和企业生态环境保护意识。开展生态环境保护主题宣传活动，结合世界环境日、世界水日、世界地球日等重要节点，开展宣传教育活动，营造“人人关心环保、人人参与环保”的良好社会氛围。加强生态环境保护典型宣传，总结推广先进经验和做法，曝光生态环境违法违规案例，引导企业依法排污、群众主动参与，形成全社会共同参与生态环境保护的良好格局。推进生态环境信息公开，定期公开生态环境质量状况、监测数据、执法信息、项目进展等信息，接受社会监督，提升生态环境保护工作透明度和公信力。</w:t>
      </w:r>
    </w:p>
    <w:p w14:paraId="36468972">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3" w:firstLineChars="200"/>
        <w:jc w:val="both"/>
        <w:textAlignment w:val="auto"/>
        <w:outlineLvl w:val="0"/>
        <w:rPr>
          <w:rFonts w:hint="eastAsia" w:ascii="仿宋" w:hAnsi="仿宋" w:eastAsia="仿宋" w:cs="仿宋"/>
          <w:color w:val="auto"/>
          <w:sz w:val="32"/>
          <w:szCs w:val="32"/>
          <w:highlight w:val="none"/>
        </w:rPr>
      </w:pPr>
      <w:bookmarkStart w:id="76" w:name="heading_58"/>
      <w:bookmarkStart w:id="77" w:name="_Toc4811"/>
      <w:r>
        <w:rPr>
          <w:rFonts w:hint="eastAsia" w:ascii="仿宋" w:hAnsi="仿宋" w:eastAsia="仿宋" w:cs="仿宋"/>
          <w:b/>
          <w:color w:val="auto"/>
          <w:sz w:val="32"/>
          <w:szCs w:val="32"/>
          <w:highlight w:val="none"/>
        </w:rPr>
        <w:t>附件</w:t>
      </w:r>
      <w:bookmarkEnd w:id="76"/>
      <w:bookmarkEnd w:id="77"/>
    </w:p>
    <w:p w14:paraId="3D224993">
      <w:pPr>
        <w:keepNext w:val="0"/>
        <w:keepLines w:val="0"/>
        <w:pageBreakBefore w:val="0"/>
        <w:widowControl w:val="0"/>
        <w:kinsoku/>
        <w:wordWrap/>
        <w:overflowPunct/>
        <w:topLinePunct w:val="0"/>
        <w:autoSpaceDE/>
        <w:autoSpaceDN/>
        <w:bidi w:val="0"/>
        <w:adjustRightInd/>
        <w:snapToGrid/>
        <w:spacing w:before="120" w:after="120" w:line="360" w:lineRule="auto"/>
        <w:ind w:left="0"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附件1：巴里坤县“十五五”生态环境保护行动方案</w:t>
      </w:r>
      <w:r>
        <w:rPr>
          <w:rFonts w:hint="eastAsia" w:ascii="仿宋" w:hAnsi="仿宋" w:eastAsia="仿宋" w:cs="仿宋"/>
          <w:color w:val="auto"/>
          <w:sz w:val="24"/>
          <w:szCs w:val="24"/>
          <w:highlight w:val="none"/>
          <w:lang w:val="en-US" w:eastAsia="zh-CN"/>
        </w:rPr>
        <w:t>拟实施</w:t>
      </w:r>
      <w:r>
        <w:rPr>
          <w:rFonts w:hint="eastAsia" w:ascii="仿宋" w:hAnsi="仿宋" w:eastAsia="仿宋" w:cs="仿宋"/>
          <w:color w:val="auto"/>
          <w:sz w:val="24"/>
          <w:szCs w:val="24"/>
          <w:highlight w:val="none"/>
        </w:rPr>
        <w:t>重点工程清单</w:t>
      </w:r>
    </w:p>
    <w:p w14:paraId="2B9C4A84">
      <w:pPr>
        <w:keepNext w:val="0"/>
        <w:keepLines w:val="0"/>
        <w:pageBreakBefore w:val="0"/>
        <w:widowControl w:val="0"/>
        <w:kinsoku/>
        <w:wordWrap/>
        <w:overflowPunct/>
        <w:topLinePunct w:val="0"/>
        <w:autoSpaceDE/>
        <w:autoSpaceDN/>
        <w:bidi w:val="0"/>
        <w:adjustRightInd/>
        <w:snapToGrid/>
        <w:spacing w:before="120" w:after="120" w:line="360" w:lineRule="auto"/>
        <w:ind w:left="0" w:firstLine="480" w:firstLineChars="200"/>
        <w:jc w:val="both"/>
        <w:textAlignment w:val="auto"/>
        <w:rPr>
          <w:rFonts w:hint="eastAsia" w:ascii="仿宋" w:hAnsi="仿宋" w:eastAsia="仿宋" w:cs="仿宋"/>
          <w:color w:val="auto"/>
          <w:sz w:val="24"/>
          <w:szCs w:val="24"/>
          <w:highlight w:val="none"/>
        </w:rPr>
        <w:sectPr>
          <w:footerReference r:id="rId9" w:type="default"/>
          <w:pgSz w:w="11906" w:h="16838"/>
          <w:pgMar w:top="1440" w:right="1746" w:bottom="1440" w:left="1746" w:header="851" w:footer="992" w:gutter="0"/>
          <w:pgNumType w:start="1"/>
          <w:cols w:space="425" w:num="1"/>
          <w:docGrid w:type="lines" w:linePitch="312" w:charSpace="0"/>
        </w:sectPr>
      </w:pPr>
      <w:r>
        <w:rPr>
          <w:rFonts w:hint="eastAsia" w:ascii="仿宋" w:hAnsi="仿宋" w:eastAsia="仿宋" w:cs="仿宋"/>
          <w:color w:val="auto"/>
          <w:sz w:val="24"/>
          <w:szCs w:val="24"/>
          <w:highlight w:val="none"/>
        </w:rPr>
        <w:t>附件</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：巴里坤县重点管控新污染物清单</w:t>
      </w:r>
    </w:p>
    <w:p w14:paraId="65E41753">
      <w:pPr>
        <w:widowControl/>
        <w:jc w:val="center"/>
        <w:outlineLvl w:val="1"/>
        <w:rPr>
          <w:rFonts w:hint="eastAsia" w:ascii="var(--dsw-font-markdown-table-h" w:hAnsi="var(--dsw-font-markdown-table-h" w:eastAsia="var(--dsw-font-markdown-table-h" w:cs="var(--dsw-font-markdown-table-h"/>
          <w:b/>
          <w:bCs/>
          <w:kern w:val="0"/>
          <w:sz w:val="24"/>
          <w:highlight w:val="none"/>
          <w:lang w:bidi="ar"/>
        </w:rPr>
      </w:pPr>
      <w:bookmarkStart w:id="78" w:name="_Toc16085"/>
      <w:r>
        <w:rPr>
          <w:rFonts w:hint="eastAsia" w:ascii="var(--dsw-font-markdown-table-h" w:hAnsi="var(--dsw-font-markdown-table-h" w:eastAsia="var(--dsw-font-markdown-table-h" w:cs="var(--dsw-font-markdown-table-h"/>
          <w:b/>
          <w:bCs/>
          <w:kern w:val="0"/>
          <w:sz w:val="24"/>
          <w:highlight w:val="none"/>
          <w:lang w:bidi="ar"/>
        </w:rPr>
        <w:t>《巴里坤县重点管控新污染物清单》</w:t>
      </w:r>
      <w:bookmarkEnd w:id="78"/>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84"/>
        <w:gridCol w:w="1392"/>
        <w:gridCol w:w="2430"/>
        <w:gridCol w:w="3233"/>
        <w:gridCol w:w="2146"/>
        <w:gridCol w:w="4313"/>
      </w:tblGrid>
      <w:tr w14:paraId="728A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684" w:type="dxa"/>
            <w:shd w:val="clear" w:color="auto" w:fill="auto"/>
            <w:tcMar>
              <w:top w:w="150" w:type="dxa"/>
              <w:left w:w="0" w:type="dxa"/>
              <w:bottom w:w="150" w:type="dxa"/>
              <w:right w:w="240" w:type="dxa"/>
            </w:tcMar>
            <w:vAlign w:val="center"/>
          </w:tcPr>
          <w:p w14:paraId="33CA4F60">
            <w:pPr>
              <w:widowControl/>
              <w:jc w:val="center"/>
              <w:rPr>
                <w:rFonts w:hint="eastAsia"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序号</w:t>
            </w:r>
          </w:p>
        </w:tc>
        <w:tc>
          <w:tcPr>
            <w:tcW w:w="1392" w:type="dxa"/>
            <w:shd w:val="clear" w:color="auto" w:fill="auto"/>
            <w:tcMar>
              <w:top w:w="150" w:type="dxa"/>
              <w:left w:w="240" w:type="dxa"/>
              <w:bottom w:w="150" w:type="dxa"/>
              <w:right w:w="240" w:type="dxa"/>
            </w:tcMar>
            <w:vAlign w:val="center"/>
          </w:tcPr>
          <w:p w14:paraId="2713641F">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污染物类别</w:t>
            </w:r>
          </w:p>
        </w:tc>
        <w:tc>
          <w:tcPr>
            <w:tcW w:w="0" w:type="auto"/>
            <w:shd w:val="clear" w:color="auto" w:fill="auto"/>
            <w:tcMar>
              <w:top w:w="150" w:type="dxa"/>
              <w:left w:w="240" w:type="dxa"/>
              <w:bottom w:w="150" w:type="dxa"/>
              <w:right w:w="240" w:type="dxa"/>
            </w:tcMar>
            <w:vAlign w:val="center"/>
          </w:tcPr>
          <w:p w14:paraId="67F3315F">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典型污染物</w:t>
            </w:r>
          </w:p>
        </w:tc>
        <w:tc>
          <w:tcPr>
            <w:tcW w:w="0" w:type="auto"/>
            <w:shd w:val="clear" w:color="auto" w:fill="auto"/>
            <w:tcMar>
              <w:top w:w="150" w:type="dxa"/>
              <w:left w:w="240" w:type="dxa"/>
              <w:bottom w:w="150" w:type="dxa"/>
              <w:right w:w="240" w:type="dxa"/>
            </w:tcMar>
            <w:vAlign w:val="center"/>
          </w:tcPr>
          <w:p w14:paraId="70E72723">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主要来源（巴里坤县相关）</w:t>
            </w:r>
          </w:p>
        </w:tc>
        <w:tc>
          <w:tcPr>
            <w:tcW w:w="2146" w:type="dxa"/>
            <w:shd w:val="clear" w:color="auto" w:fill="auto"/>
            <w:tcMar>
              <w:top w:w="150" w:type="dxa"/>
              <w:left w:w="240" w:type="dxa"/>
              <w:bottom w:w="150" w:type="dxa"/>
              <w:right w:w="240" w:type="dxa"/>
            </w:tcMar>
            <w:vAlign w:val="center"/>
          </w:tcPr>
          <w:p w14:paraId="296BFAAA">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环境风险</w:t>
            </w:r>
          </w:p>
        </w:tc>
        <w:tc>
          <w:tcPr>
            <w:tcW w:w="4313" w:type="dxa"/>
            <w:shd w:val="clear" w:color="auto" w:fill="auto"/>
            <w:tcMar>
              <w:top w:w="150" w:type="dxa"/>
              <w:left w:w="240" w:type="dxa"/>
              <w:bottom w:w="150" w:type="dxa"/>
              <w:right w:w="240" w:type="dxa"/>
            </w:tcMar>
            <w:vAlign w:val="center"/>
          </w:tcPr>
          <w:p w14:paraId="2C17E474">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管控措施建议</w:t>
            </w:r>
          </w:p>
        </w:tc>
      </w:tr>
      <w:tr w14:paraId="45A4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198" w:type="dxa"/>
            <w:gridSpan w:val="6"/>
            <w:shd w:val="clear" w:color="auto" w:fill="auto"/>
            <w:tcMar>
              <w:top w:w="150" w:type="dxa"/>
              <w:left w:w="0" w:type="dxa"/>
              <w:bottom w:w="150" w:type="dxa"/>
              <w:right w:w="240" w:type="dxa"/>
            </w:tcMar>
            <w:vAlign w:val="center"/>
          </w:tcPr>
          <w:p w14:paraId="3FD9F7D0">
            <w:pPr>
              <w:widowControl/>
              <w:jc w:val="left"/>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板块一：煤化工及能源产业（对应三塘湖工业园区、岔哈泉园区煤化工产业集群）</w:t>
            </w:r>
          </w:p>
        </w:tc>
      </w:tr>
      <w:tr w14:paraId="2547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6" w:hRule="atLeast"/>
        </w:trPr>
        <w:tc>
          <w:tcPr>
            <w:tcW w:w="684" w:type="dxa"/>
            <w:shd w:val="clear" w:color="auto" w:fill="auto"/>
            <w:tcMar>
              <w:top w:w="150" w:type="dxa"/>
              <w:left w:w="0" w:type="dxa"/>
              <w:bottom w:w="150" w:type="dxa"/>
              <w:right w:w="240" w:type="dxa"/>
            </w:tcMar>
            <w:vAlign w:val="center"/>
          </w:tcPr>
          <w:p w14:paraId="7D259A04">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1</w:t>
            </w:r>
          </w:p>
        </w:tc>
        <w:tc>
          <w:tcPr>
            <w:tcW w:w="1392" w:type="dxa"/>
            <w:shd w:val="clear" w:color="auto" w:fill="auto"/>
            <w:tcMar>
              <w:top w:w="150" w:type="dxa"/>
              <w:left w:w="240" w:type="dxa"/>
              <w:bottom w:w="150" w:type="dxa"/>
              <w:right w:w="240" w:type="dxa"/>
            </w:tcMar>
            <w:vAlign w:val="center"/>
          </w:tcPr>
          <w:p w14:paraId="4DFC13F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持久性有机污染物（POPs）</w:t>
            </w:r>
          </w:p>
        </w:tc>
        <w:tc>
          <w:tcPr>
            <w:tcW w:w="0" w:type="auto"/>
            <w:shd w:val="clear" w:color="auto" w:fill="auto"/>
            <w:tcMar>
              <w:top w:w="150" w:type="dxa"/>
              <w:left w:w="240" w:type="dxa"/>
              <w:bottom w:w="150" w:type="dxa"/>
              <w:right w:w="240" w:type="dxa"/>
            </w:tcMar>
            <w:vAlign w:val="center"/>
          </w:tcPr>
          <w:p w14:paraId="6D9E9ED2">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二噁英、多氯联苯、六氯苯</w:t>
            </w:r>
          </w:p>
        </w:tc>
        <w:tc>
          <w:tcPr>
            <w:tcW w:w="0" w:type="auto"/>
            <w:shd w:val="clear" w:color="auto" w:fill="auto"/>
            <w:tcMar>
              <w:top w:w="150" w:type="dxa"/>
              <w:left w:w="240" w:type="dxa"/>
              <w:bottom w:w="150" w:type="dxa"/>
              <w:right w:w="240" w:type="dxa"/>
            </w:tcMar>
            <w:vAlign w:val="center"/>
          </w:tcPr>
          <w:p w14:paraId="0B807732">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煤化工（焦化、煤焦油加氢、煤炭分级分质利用）、煤电、危险废物焚烧</w:t>
            </w:r>
          </w:p>
        </w:tc>
        <w:tc>
          <w:tcPr>
            <w:tcW w:w="2146" w:type="dxa"/>
            <w:shd w:val="clear" w:color="auto" w:fill="auto"/>
            <w:tcMar>
              <w:top w:w="150" w:type="dxa"/>
              <w:left w:w="240" w:type="dxa"/>
              <w:bottom w:w="150" w:type="dxa"/>
              <w:right w:w="240" w:type="dxa"/>
            </w:tcMar>
            <w:vAlign w:val="center"/>
          </w:tcPr>
          <w:p w14:paraId="2D7986CC">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强致癌性、生物累积、长距离迁移</w:t>
            </w:r>
          </w:p>
        </w:tc>
        <w:tc>
          <w:tcPr>
            <w:tcW w:w="4313" w:type="dxa"/>
            <w:shd w:val="clear" w:color="auto" w:fill="auto"/>
            <w:tcMar>
              <w:top w:w="150" w:type="dxa"/>
              <w:left w:w="240" w:type="dxa"/>
              <w:bottom w:w="150" w:type="dxa"/>
              <w:right w:w="240" w:type="dxa"/>
            </w:tcMar>
            <w:vAlign w:val="center"/>
          </w:tcPr>
          <w:p w14:paraId="05F72E72">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对照《重点管控新污染物清单》开展排查；推动焚烧及热解装置提标改造；将二噁英纳入重点源监督性监测</w:t>
            </w:r>
          </w:p>
        </w:tc>
      </w:tr>
      <w:tr w14:paraId="6AEC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5B39EA0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2</w:t>
            </w:r>
          </w:p>
        </w:tc>
        <w:tc>
          <w:tcPr>
            <w:tcW w:w="1392" w:type="dxa"/>
            <w:shd w:val="clear" w:color="auto" w:fill="auto"/>
            <w:tcMar>
              <w:top w:w="150" w:type="dxa"/>
              <w:left w:w="240" w:type="dxa"/>
              <w:bottom w:w="150" w:type="dxa"/>
              <w:right w:w="240" w:type="dxa"/>
            </w:tcMar>
            <w:vAlign w:val="center"/>
          </w:tcPr>
          <w:p w14:paraId="0F454E87">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优先控制化学品</w:t>
            </w:r>
          </w:p>
        </w:tc>
        <w:tc>
          <w:tcPr>
            <w:tcW w:w="0" w:type="auto"/>
            <w:shd w:val="clear" w:color="auto" w:fill="auto"/>
            <w:tcMar>
              <w:top w:w="150" w:type="dxa"/>
              <w:left w:w="240" w:type="dxa"/>
              <w:bottom w:w="150" w:type="dxa"/>
              <w:right w:w="240" w:type="dxa"/>
            </w:tcMar>
            <w:vAlign w:val="center"/>
          </w:tcPr>
          <w:p w14:paraId="0FF3B11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多环芳烃（PAHs，含苯并[a]芘BaP）</w:t>
            </w:r>
          </w:p>
        </w:tc>
        <w:tc>
          <w:tcPr>
            <w:tcW w:w="0" w:type="auto"/>
            <w:shd w:val="clear" w:color="auto" w:fill="auto"/>
            <w:tcMar>
              <w:top w:w="150" w:type="dxa"/>
              <w:left w:w="240" w:type="dxa"/>
              <w:bottom w:w="150" w:type="dxa"/>
              <w:right w:w="240" w:type="dxa"/>
            </w:tcMar>
            <w:vAlign w:val="center"/>
          </w:tcPr>
          <w:p w14:paraId="59E1CCC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煤化工（焦化、煤制油、煤焦油加氢、低温热解）、炭素生产、燃煤锅炉</w:t>
            </w:r>
          </w:p>
        </w:tc>
        <w:tc>
          <w:tcPr>
            <w:tcW w:w="2146" w:type="dxa"/>
            <w:shd w:val="clear" w:color="auto" w:fill="auto"/>
            <w:tcMar>
              <w:top w:w="150" w:type="dxa"/>
              <w:left w:w="240" w:type="dxa"/>
              <w:bottom w:w="150" w:type="dxa"/>
              <w:right w:w="240" w:type="dxa"/>
            </w:tcMar>
            <w:vAlign w:val="center"/>
          </w:tcPr>
          <w:p w14:paraId="441D117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强致癌性（1类致癌物）、致突变性</w:t>
            </w:r>
          </w:p>
        </w:tc>
        <w:tc>
          <w:tcPr>
            <w:tcW w:w="4313" w:type="dxa"/>
            <w:shd w:val="clear" w:color="auto" w:fill="auto"/>
            <w:tcMar>
              <w:top w:w="150" w:type="dxa"/>
              <w:left w:w="240" w:type="dxa"/>
              <w:bottom w:w="150" w:type="dxa"/>
              <w:right w:w="240" w:type="dxa"/>
            </w:tcMar>
            <w:vAlign w:val="center"/>
          </w:tcPr>
          <w:p w14:paraId="6DC46184">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加强焦化、煤制油企业无组织排放管控；实施挥发性有机物（VOCs）与PAHs协同治理；推广清洁生产技术，减少不完全燃烧产物排放</w:t>
            </w:r>
          </w:p>
        </w:tc>
      </w:tr>
      <w:tr w14:paraId="67A6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6B60922F">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3</w:t>
            </w:r>
          </w:p>
        </w:tc>
        <w:tc>
          <w:tcPr>
            <w:tcW w:w="1392" w:type="dxa"/>
            <w:shd w:val="clear" w:color="auto" w:fill="auto"/>
            <w:tcMar>
              <w:top w:w="150" w:type="dxa"/>
              <w:left w:w="240" w:type="dxa"/>
              <w:bottom w:w="150" w:type="dxa"/>
              <w:right w:w="240" w:type="dxa"/>
            </w:tcMar>
            <w:vAlign w:val="center"/>
          </w:tcPr>
          <w:p w14:paraId="64D4E46A">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有毒有害化学品</w:t>
            </w:r>
          </w:p>
        </w:tc>
        <w:tc>
          <w:tcPr>
            <w:tcW w:w="0" w:type="auto"/>
            <w:shd w:val="clear" w:color="auto" w:fill="auto"/>
            <w:tcMar>
              <w:top w:w="150" w:type="dxa"/>
              <w:left w:w="240" w:type="dxa"/>
              <w:bottom w:w="150" w:type="dxa"/>
              <w:right w:w="240" w:type="dxa"/>
            </w:tcMar>
            <w:vAlign w:val="center"/>
          </w:tcPr>
          <w:p w14:paraId="2BEE0DF1">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苯、甲苯、二甲苯（BTEX）</w:t>
            </w:r>
          </w:p>
        </w:tc>
        <w:tc>
          <w:tcPr>
            <w:tcW w:w="0" w:type="auto"/>
            <w:shd w:val="clear" w:color="auto" w:fill="auto"/>
            <w:tcMar>
              <w:top w:w="150" w:type="dxa"/>
              <w:left w:w="240" w:type="dxa"/>
              <w:bottom w:w="150" w:type="dxa"/>
              <w:right w:w="240" w:type="dxa"/>
            </w:tcMar>
            <w:vAlign w:val="center"/>
          </w:tcPr>
          <w:p w14:paraId="0AD0DA1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煤化工（焦化、煤焦油加氢、煤气化）、加油站、油气储运</w:t>
            </w:r>
          </w:p>
        </w:tc>
        <w:tc>
          <w:tcPr>
            <w:tcW w:w="2146" w:type="dxa"/>
            <w:shd w:val="clear" w:color="auto" w:fill="auto"/>
            <w:tcMar>
              <w:top w:w="150" w:type="dxa"/>
              <w:left w:w="240" w:type="dxa"/>
              <w:bottom w:w="150" w:type="dxa"/>
              <w:right w:w="240" w:type="dxa"/>
            </w:tcMar>
            <w:vAlign w:val="center"/>
          </w:tcPr>
          <w:p w14:paraId="033FDE9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致癌性（苯为1类）、神经系统毒性、水环境毒性</w:t>
            </w:r>
          </w:p>
        </w:tc>
        <w:tc>
          <w:tcPr>
            <w:tcW w:w="4313" w:type="dxa"/>
            <w:shd w:val="clear" w:color="auto" w:fill="auto"/>
            <w:tcMar>
              <w:top w:w="150" w:type="dxa"/>
              <w:left w:w="240" w:type="dxa"/>
              <w:bottom w:w="150" w:type="dxa"/>
              <w:right w:w="240" w:type="dxa"/>
            </w:tcMar>
            <w:vAlign w:val="center"/>
          </w:tcPr>
          <w:p w14:paraId="6770291A">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推进罐区、装卸区VOCs治理；实施泄漏检测与修复（LDAR）；严格加油站油气回收系统运行监管</w:t>
            </w:r>
          </w:p>
        </w:tc>
      </w:tr>
      <w:tr w14:paraId="0DF2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30D68457">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4</w:t>
            </w:r>
          </w:p>
        </w:tc>
        <w:tc>
          <w:tcPr>
            <w:tcW w:w="1392" w:type="dxa"/>
            <w:shd w:val="clear" w:color="auto" w:fill="auto"/>
            <w:tcMar>
              <w:top w:w="150" w:type="dxa"/>
              <w:left w:w="240" w:type="dxa"/>
              <w:bottom w:w="150" w:type="dxa"/>
              <w:right w:w="240" w:type="dxa"/>
            </w:tcMar>
            <w:vAlign w:val="center"/>
          </w:tcPr>
          <w:p w14:paraId="71B30554">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有毒有害化学品</w:t>
            </w:r>
          </w:p>
        </w:tc>
        <w:tc>
          <w:tcPr>
            <w:tcW w:w="0" w:type="auto"/>
            <w:shd w:val="clear" w:color="auto" w:fill="auto"/>
            <w:tcMar>
              <w:top w:w="150" w:type="dxa"/>
              <w:left w:w="240" w:type="dxa"/>
              <w:bottom w:w="150" w:type="dxa"/>
              <w:right w:w="240" w:type="dxa"/>
            </w:tcMar>
            <w:vAlign w:val="center"/>
          </w:tcPr>
          <w:p w14:paraId="2C59C6E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酚类化合物（苯酚、甲酚、二甲酚等）</w:t>
            </w:r>
          </w:p>
        </w:tc>
        <w:tc>
          <w:tcPr>
            <w:tcW w:w="0" w:type="auto"/>
            <w:shd w:val="clear" w:color="auto" w:fill="auto"/>
            <w:tcMar>
              <w:top w:w="150" w:type="dxa"/>
              <w:left w:w="240" w:type="dxa"/>
              <w:bottom w:w="150" w:type="dxa"/>
              <w:right w:w="240" w:type="dxa"/>
            </w:tcMar>
            <w:vAlign w:val="center"/>
          </w:tcPr>
          <w:p w14:paraId="75C8D9A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煤化工（煤焦油加氢、煤气化废水、低温热解）、焦化</w:t>
            </w:r>
          </w:p>
        </w:tc>
        <w:tc>
          <w:tcPr>
            <w:tcW w:w="2146" w:type="dxa"/>
            <w:shd w:val="clear" w:color="auto" w:fill="auto"/>
            <w:tcMar>
              <w:top w:w="150" w:type="dxa"/>
              <w:left w:w="240" w:type="dxa"/>
              <w:bottom w:w="150" w:type="dxa"/>
              <w:right w:w="240" w:type="dxa"/>
            </w:tcMar>
            <w:vAlign w:val="center"/>
          </w:tcPr>
          <w:p w14:paraId="0DEFBAA3">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高毒性、水环境敏感、抑制水生生物</w:t>
            </w:r>
          </w:p>
        </w:tc>
        <w:tc>
          <w:tcPr>
            <w:tcW w:w="4313" w:type="dxa"/>
            <w:shd w:val="clear" w:color="auto" w:fill="auto"/>
            <w:tcMar>
              <w:top w:w="150" w:type="dxa"/>
              <w:left w:w="240" w:type="dxa"/>
              <w:bottom w:w="150" w:type="dxa"/>
              <w:right w:w="240" w:type="dxa"/>
            </w:tcMar>
            <w:vAlign w:val="center"/>
          </w:tcPr>
          <w:p w14:paraId="599FC6E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强化煤化工废水预处理及深度处理，确保酚类达标排放；推进废水零排放或近零排放改造；督促企业落实排污许可中特征污染物管控要求</w:t>
            </w:r>
          </w:p>
        </w:tc>
      </w:tr>
      <w:tr w14:paraId="26A2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03E267C1">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5</w:t>
            </w:r>
          </w:p>
        </w:tc>
        <w:tc>
          <w:tcPr>
            <w:tcW w:w="1392" w:type="dxa"/>
            <w:shd w:val="clear" w:color="auto" w:fill="auto"/>
            <w:tcMar>
              <w:top w:w="150" w:type="dxa"/>
              <w:left w:w="240" w:type="dxa"/>
              <w:bottom w:w="150" w:type="dxa"/>
              <w:right w:w="240" w:type="dxa"/>
            </w:tcMar>
            <w:vAlign w:val="center"/>
          </w:tcPr>
          <w:p w14:paraId="3387BAC2">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优先控制化学品</w:t>
            </w:r>
          </w:p>
        </w:tc>
        <w:tc>
          <w:tcPr>
            <w:tcW w:w="0" w:type="auto"/>
            <w:shd w:val="clear" w:color="auto" w:fill="auto"/>
            <w:tcMar>
              <w:top w:w="150" w:type="dxa"/>
              <w:left w:w="240" w:type="dxa"/>
              <w:bottom w:w="150" w:type="dxa"/>
              <w:right w:w="240" w:type="dxa"/>
            </w:tcMar>
            <w:vAlign w:val="center"/>
          </w:tcPr>
          <w:p w14:paraId="5770514A">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铊（Tl）及其化合物</w:t>
            </w:r>
          </w:p>
        </w:tc>
        <w:tc>
          <w:tcPr>
            <w:tcW w:w="0" w:type="auto"/>
            <w:shd w:val="clear" w:color="auto" w:fill="auto"/>
            <w:tcMar>
              <w:top w:w="150" w:type="dxa"/>
              <w:left w:w="240" w:type="dxa"/>
              <w:bottom w:w="150" w:type="dxa"/>
              <w:right w:w="240" w:type="dxa"/>
            </w:tcMar>
            <w:vAlign w:val="center"/>
          </w:tcPr>
          <w:p w14:paraId="7B95BD0A">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煤化工、煤电（煤炭燃烧过程富集）</w:t>
            </w:r>
          </w:p>
        </w:tc>
        <w:tc>
          <w:tcPr>
            <w:tcW w:w="2146" w:type="dxa"/>
            <w:shd w:val="clear" w:color="auto" w:fill="auto"/>
            <w:tcMar>
              <w:top w:w="150" w:type="dxa"/>
              <w:left w:w="240" w:type="dxa"/>
              <w:bottom w:w="150" w:type="dxa"/>
              <w:right w:w="240" w:type="dxa"/>
            </w:tcMar>
            <w:vAlign w:val="center"/>
          </w:tcPr>
          <w:p w14:paraId="598D62A3">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高毒性（对哺乳动物毒性高于Hg、Pb）、蓄积性</w:t>
            </w:r>
          </w:p>
        </w:tc>
        <w:tc>
          <w:tcPr>
            <w:tcW w:w="4313" w:type="dxa"/>
            <w:shd w:val="clear" w:color="auto" w:fill="auto"/>
            <w:tcMar>
              <w:top w:w="150" w:type="dxa"/>
              <w:left w:w="240" w:type="dxa"/>
              <w:bottom w:w="150" w:type="dxa"/>
              <w:right w:w="240" w:type="dxa"/>
            </w:tcMar>
            <w:vAlign w:val="center"/>
          </w:tcPr>
          <w:p w14:paraId="6F4C8FEF">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按照《优先控制化学品名录（第三批）》管控要求，开展重点企业废水、废气中铊的专项监测；推动企业落实涉铊设施防腐蚀、防泄漏措施</w:t>
            </w:r>
          </w:p>
        </w:tc>
      </w:tr>
      <w:tr w14:paraId="55C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14B28EFE">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6</w:t>
            </w:r>
          </w:p>
        </w:tc>
        <w:tc>
          <w:tcPr>
            <w:tcW w:w="1392" w:type="dxa"/>
            <w:shd w:val="clear" w:color="auto" w:fill="auto"/>
            <w:tcMar>
              <w:top w:w="150" w:type="dxa"/>
              <w:left w:w="240" w:type="dxa"/>
              <w:bottom w:w="150" w:type="dxa"/>
              <w:right w:w="240" w:type="dxa"/>
            </w:tcMar>
            <w:vAlign w:val="center"/>
          </w:tcPr>
          <w:p w14:paraId="1E391AE3">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优先控制化学品</w:t>
            </w:r>
          </w:p>
        </w:tc>
        <w:tc>
          <w:tcPr>
            <w:tcW w:w="0" w:type="auto"/>
            <w:shd w:val="clear" w:color="auto" w:fill="auto"/>
            <w:tcMar>
              <w:top w:w="150" w:type="dxa"/>
              <w:left w:w="240" w:type="dxa"/>
              <w:bottom w:w="150" w:type="dxa"/>
              <w:right w:w="240" w:type="dxa"/>
            </w:tcMar>
            <w:vAlign w:val="center"/>
          </w:tcPr>
          <w:p w14:paraId="05386B8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锑（Sb）及其化合物</w:t>
            </w:r>
          </w:p>
        </w:tc>
        <w:tc>
          <w:tcPr>
            <w:tcW w:w="0" w:type="auto"/>
            <w:shd w:val="clear" w:color="auto" w:fill="auto"/>
            <w:tcMar>
              <w:top w:w="150" w:type="dxa"/>
              <w:left w:w="240" w:type="dxa"/>
              <w:bottom w:w="150" w:type="dxa"/>
              <w:right w:w="240" w:type="dxa"/>
            </w:tcMar>
            <w:vAlign w:val="center"/>
          </w:tcPr>
          <w:p w14:paraId="49D7A758">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煤化工、煤电（煤炭中伴生元素）、风电装备制造（部分合金材料）</w:t>
            </w:r>
          </w:p>
        </w:tc>
        <w:tc>
          <w:tcPr>
            <w:tcW w:w="2146" w:type="dxa"/>
            <w:shd w:val="clear" w:color="auto" w:fill="auto"/>
            <w:tcMar>
              <w:top w:w="150" w:type="dxa"/>
              <w:left w:w="240" w:type="dxa"/>
              <w:bottom w:w="150" w:type="dxa"/>
              <w:right w:w="240" w:type="dxa"/>
            </w:tcMar>
            <w:vAlign w:val="center"/>
          </w:tcPr>
          <w:p w14:paraId="7BE5C9B2">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慢性毒性、疑似致癌性</w:t>
            </w:r>
          </w:p>
        </w:tc>
        <w:tc>
          <w:tcPr>
            <w:tcW w:w="4313" w:type="dxa"/>
            <w:shd w:val="clear" w:color="auto" w:fill="auto"/>
            <w:tcMar>
              <w:top w:w="150" w:type="dxa"/>
              <w:left w:w="240" w:type="dxa"/>
              <w:bottom w:w="150" w:type="dxa"/>
              <w:right w:w="240" w:type="dxa"/>
            </w:tcMar>
            <w:vAlign w:val="center"/>
          </w:tcPr>
          <w:p w14:paraId="2AEBBDFC">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对照国家优先控制化学品名录开展排查；加强煤电、煤化工企业废气、废水中锑的监测；推动清洁生产审核</w:t>
            </w:r>
          </w:p>
        </w:tc>
      </w:tr>
      <w:tr w14:paraId="62A5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1712A0A8">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7</w:t>
            </w:r>
          </w:p>
        </w:tc>
        <w:tc>
          <w:tcPr>
            <w:tcW w:w="1392" w:type="dxa"/>
            <w:shd w:val="clear" w:color="auto" w:fill="auto"/>
            <w:tcMar>
              <w:top w:w="150" w:type="dxa"/>
              <w:left w:w="240" w:type="dxa"/>
              <w:bottom w:w="150" w:type="dxa"/>
              <w:right w:w="240" w:type="dxa"/>
            </w:tcMar>
            <w:vAlign w:val="center"/>
          </w:tcPr>
          <w:p w14:paraId="4E6ED5B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挥发性有机物（VOCs）</w:t>
            </w:r>
          </w:p>
        </w:tc>
        <w:tc>
          <w:tcPr>
            <w:tcW w:w="0" w:type="auto"/>
            <w:shd w:val="clear" w:color="auto" w:fill="auto"/>
            <w:tcMar>
              <w:top w:w="150" w:type="dxa"/>
              <w:left w:w="240" w:type="dxa"/>
              <w:bottom w:w="150" w:type="dxa"/>
              <w:right w:w="240" w:type="dxa"/>
            </w:tcMar>
            <w:vAlign w:val="center"/>
          </w:tcPr>
          <w:p w14:paraId="6125F010">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甲醛、乙醛、丙烯醛等醛类物质</w:t>
            </w:r>
          </w:p>
        </w:tc>
        <w:tc>
          <w:tcPr>
            <w:tcW w:w="0" w:type="auto"/>
            <w:shd w:val="clear" w:color="auto" w:fill="auto"/>
            <w:tcMar>
              <w:top w:w="150" w:type="dxa"/>
              <w:left w:w="240" w:type="dxa"/>
              <w:bottom w:w="150" w:type="dxa"/>
              <w:right w:w="240" w:type="dxa"/>
            </w:tcMar>
            <w:vAlign w:val="center"/>
          </w:tcPr>
          <w:p w14:paraId="2EF77F8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煤化工（煤气化、甲醇生产、煤焦油加工）、炭素生产</w:t>
            </w:r>
          </w:p>
        </w:tc>
        <w:tc>
          <w:tcPr>
            <w:tcW w:w="2146" w:type="dxa"/>
            <w:shd w:val="clear" w:color="auto" w:fill="auto"/>
            <w:tcMar>
              <w:top w:w="150" w:type="dxa"/>
              <w:left w:w="240" w:type="dxa"/>
              <w:bottom w:w="150" w:type="dxa"/>
              <w:right w:w="240" w:type="dxa"/>
            </w:tcMar>
            <w:vAlign w:val="center"/>
          </w:tcPr>
          <w:p w14:paraId="249DD31F">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致癌性（甲醛为1类）、呼吸道刺激、光化学烟雾前体物</w:t>
            </w:r>
          </w:p>
        </w:tc>
        <w:tc>
          <w:tcPr>
            <w:tcW w:w="4313" w:type="dxa"/>
            <w:shd w:val="clear" w:color="auto" w:fill="auto"/>
            <w:tcMar>
              <w:top w:w="150" w:type="dxa"/>
              <w:left w:w="240" w:type="dxa"/>
              <w:bottom w:w="150" w:type="dxa"/>
              <w:right w:w="240" w:type="dxa"/>
            </w:tcMar>
            <w:vAlign w:val="center"/>
          </w:tcPr>
          <w:p w14:paraId="0D8D522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推动低VOCs原辅料替代；强化生产装置密闭化改造，提高无组织排放收集效率；实施VOCs治理设施提标改造</w:t>
            </w:r>
          </w:p>
        </w:tc>
      </w:tr>
      <w:tr w14:paraId="3FEB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4198" w:type="dxa"/>
            <w:gridSpan w:val="6"/>
            <w:shd w:val="clear" w:color="auto" w:fill="auto"/>
            <w:tcMar>
              <w:top w:w="150" w:type="dxa"/>
              <w:left w:w="0" w:type="dxa"/>
              <w:bottom w:w="150" w:type="dxa"/>
              <w:right w:w="240" w:type="dxa"/>
            </w:tcMar>
            <w:vAlign w:val="center"/>
          </w:tcPr>
          <w:p w14:paraId="1BCCD4C1">
            <w:pPr>
              <w:widowControl/>
              <w:jc w:val="left"/>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板块二：风光电新能源产业（对应大河新兴产业园风电装备制造及光伏产业）</w:t>
            </w:r>
          </w:p>
        </w:tc>
      </w:tr>
      <w:tr w14:paraId="4375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09A31D4C">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8</w:t>
            </w:r>
          </w:p>
        </w:tc>
        <w:tc>
          <w:tcPr>
            <w:tcW w:w="1392" w:type="dxa"/>
            <w:shd w:val="clear" w:color="auto" w:fill="auto"/>
            <w:tcMar>
              <w:top w:w="150" w:type="dxa"/>
              <w:left w:w="240" w:type="dxa"/>
              <w:bottom w:w="150" w:type="dxa"/>
              <w:right w:w="240" w:type="dxa"/>
            </w:tcMar>
            <w:vAlign w:val="center"/>
          </w:tcPr>
          <w:p w14:paraId="3BFC221E">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优先控制化学品</w:t>
            </w:r>
          </w:p>
        </w:tc>
        <w:tc>
          <w:tcPr>
            <w:tcW w:w="0" w:type="auto"/>
            <w:shd w:val="clear" w:color="auto" w:fill="auto"/>
            <w:tcMar>
              <w:top w:w="150" w:type="dxa"/>
              <w:left w:w="240" w:type="dxa"/>
              <w:bottom w:w="150" w:type="dxa"/>
              <w:right w:w="240" w:type="dxa"/>
            </w:tcMar>
            <w:vAlign w:val="center"/>
          </w:tcPr>
          <w:p w14:paraId="429C6DB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全氟和多氟烷基物质（PFAS，含PFOA、PFOS等）</w:t>
            </w:r>
          </w:p>
        </w:tc>
        <w:tc>
          <w:tcPr>
            <w:tcW w:w="0" w:type="auto"/>
            <w:shd w:val="clear" w:color="auto" w:fill="auto"/>
            <w:tcMar>
              <w:top w:w="150" w:type="dxa"/>
              <w:left w:w="240" w:type="dxa"/>
              <w:bottom w:w="150" w:type="dxa"/>
              <w:right w:w="240" w:type="dxa"/>
            </w:tcMar>
            <w:vAlign w:val="center"/>
          </w:tcPr>
          <w:p w14:paraId="1B8B7CF4">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消防泡沫（风电场消防设施）、风电装备制造（涂层、密封件、润滑剂）、光伏组件生产</w:t>
            </w:r>
          </w:p>
        </w:tc>
        <w:tc>
          <w:tcPr>
            <w:tcW w:w="2146" w:type="dxa"/>
            <w:shd w:val="clear" w:color="auto" w:fill="auto"/>
            <w:tcMar>
              <w:top w:w="150" w:type="dxa"/>
              <w:left w:w="240" w:type="dxa"/>
              <w:bottom w:w="150" w:type="dxa"/>
              <w:right w:w="240" w:type="dxa"/>
            </w:tcMar>
            <w:vAlign w:val="center"/>
          </w:tcPr>
          <w:p w14:paraId="293105B7">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环境持久性（“永久化学品”）、生物累积性、内分泌干扰</w:t>
            </w:r>
          </w:p>
        </w:tc>
        <w:tc>
          <w:tcPr>
            <w:tcW w:w="4313" w:type="dxa"/>
            <w:shd w:val="clear" w:color="auto" w:fill="auto"/>
            <w:tcMar>
              <w:top w:w="150" w:type="dxa"/>
              <w:left w:w="240" w:type="dxa"/>
              <w:bottom w:w="150" w:type="dxa"/>
              <w:right w:w="240" w:type="dxa"/>
            </w:tcMar>
            <w:vAlign w:val="center"/>
          </w:tcPr>
          <w:p w14:paraId="2A3B7911">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按照国家优先控制化学品管控要求，排查消防泡沫用途；推动使用无PFAS环保型消防泡沫替代；督促装备制造企业开展原辅料中PFAS排查与替代</w:t>
            </w:r>
          </w:p>
        </w:tc>
      </w:tr>
      <w:tr w14:paraId="35CD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190B2521">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9</w:t>
            </w:r>
          </w:p>
        </w:tc>
        <w:tc>
          <w:tcPr>
            <w:tcW w:w="1392" w:type="dxa"/>
            <w:shd w:val="clear" w:color="auto" w:fill="auto"/>
            <w:tcMar>
              <w:top w:w="150" w:type="dxa"/>
              <w:left w:w="240" w:type="dxa"/>
              <w:bottom w:w="150" w:type="dxa"/>
              <w:right w:w="240" w:type="dxa"/>
            </w:tcMar>
            <w:vAlign w:val="center"/>
          </w:tcPr>
          <w:p w14:paraId="2AB381DF">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有毒有害化学品</w:t>
            </w:r>
          </w:p>
        </w:tc>
        <w:tc>
          <w:tcPr>
            <w:tcW w:w="0" w:type="auto"/>
            <w:shd w:val="clear" w:color="auto" w:fill="auto"/>
            <w:tcMar>
              <w:top w:w="150" w:type="dxa"/>
              <w:left w:w="240" w:type="dxa"/>
              <w:bottom w:w="150" w:type="dxa"/>
              <w:right w:w="240" w:type="dxa"/>
            </w:tcMar>
            <w:vAlign w:val="center"/>
          </w:tcPr>
          <w:p w14:paraId="0938A064">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环氧树脂及固化剂（含双酚A、胺类固化剂等）</w:t>
            </w:r>
          </w:p>
        </w:tc>
        <w:tc>
          <w:tcPr>
            <w:tcW w:w="0" w:type="auto"/>
            <w:shd w:val="clear" w:color="auto" w:fill="auto"/>
            <w:tcMar>
              <w:top w:w="150" w:type="dxa"/>
              <w:left w:w="240" w:type="dxa"/>
              <w:bottom w:w="150" w:type="dxa"/>
              <w:right w:w="240" w:type="dxa"/>
            </w:tcMar>
            <w:vAlign w:val="center"/>
          </w:tcPr>
          <w:p w14:paraId="17B788FC">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风电叶片制造（灌注树脂、结构胶粘剂）、塔筒防腐涂料</w:t>
            </w:r>
          </w:p>
        </w:tc>
        <w:tc>
          <w:tcPr>
            <w:tcW w:w="2146" w:type="dxa"/>
            <w:shd w:val="clear" w:color="auto" w:fill="auto"/>
            <w:tcMar>
              <w:top w:w="150" w:type="dxa"/>
              <w:left w:w="240" w:type="dxa"/>
              <w:bottom w:w="150" w:type="dxa"/>
              <w:right w:w="240" w:type="dxa"/>
            </w:tcMar>
            <w:vAlign w:val="center"/>
          </w:tcPr>
          <w:p w14:paraId="5810D983">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内分泌干扰性（双酚A）、致敏性（胺类）、水体生态毒性</w:t>
            </w:r>
          </w:p>
        </w:tc>
        <w:tc>
          <w:tcPr>
            <w:tcW w:w="4313" w:type="dxa"/>
            <w:shd w:val="clear" w:color="auto" w:fill="auto"/>
            <w:tcMar>
              <w:top w:w="150" w:type="dxa"/>
              <w:left w:w="240" w:type="dxa"/>
              <w:bottom w:w="150" w:type="dxa"/>
              <w:right w:w="240" w:type="dxa"/>
            </w:tcMar>
            <w:vAlign w:val="center"/>
          </w:tcPr>
          <w:p w14:paraId="45E76538">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推动企业优先选用低环境风险环氧树脂体系；加强生产车间VOCs收集处理，减少树脂固化过程中有机污染物无组织排放；规范废树脂、废胶粘剂等危险废物管理</w:t>
            </w:r>
          </w:p>
        </w:tc>
      </w:tr>
      <w:tr w14:paraId="5145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2B54BA0E">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10</w:t>
            </w:r>
          </w:p>
        </w:tc>
        <w:tc>
          <w:tcPr>
            <w:tcW w:w="1392" w:type="dxa"/>
            <w:shd w:val="clear" w:color="auto" w:fill="auto"/>
            <w:tcMar>
              <w:top w:w="150" w:type="dxa"/>
              <w:left w:w="240" w:type="dxa"/>
              <w:bottom w:w="150" w:type="dxa"/>
              <w:right w:w="240" w:type="dxa"/>
            </w:tcMar>
            <w:vAlign w:val="center"/>
          </w:tcPr>
          <w:p w14:paraId="697F5BD1">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有毒有害化学品</w:t>
            </w:r>
          </w:p>
        </w:tc>
        <w:tc>
          <w:tcPr>
            <w:tcW w:w="0" w:type="auto"/>
            <w:shd w:val="clear" w:color="auto" w:fill="auto"/>
            <w:tcMar>
              <w:top w:w="150" w:type="dxa"/>
              <w:left w:w="240" w:type="dxa"/>
              <w:bottom w:w="150" w:type="dxa"/>
              <w:right w:w="240" w:type="dxa"/>
            </w:tcMar>
            <w:vAlign w:val="center"/>
          </w:tcPr>
          <w:p w14:paraId="66AC6A0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苯乙烯</w:t>
            </w:r>
          </w:p>
        </w:tc>
        <w:tc>
          <w:tcPr>
            <w:tcW w:w="0" w:type="auto"/>
            <w:shd w:val="clear" w:color="auto" w:fill="auto"/>
            <w:tcMar>
              <w:top w:w="150" w:type="dxa"/>
              <w:left w:w="240" w:type="dxa"/>
              <w:bottom w:w="150" w:type="dxa"/>
              <w:right w:w="240" w:type="dxa"/>
            </w:tcMar>
            <w:vAlign w:val="center"/>
          </w:tcPr>
          <w:p w14:paraId="66F7D88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风电叶片制造（不饱和聚酯树脂原料）、玻璃钢复合材料生产</w:t>
            </w:r>
          </w:p>
        </w:tc>
        <w:tc>
          <w:tcPr>
            <w:tcW w:w="2146" w:type="dxa"/>
            <w:shd w:val="clear" w:color="auto" w:fill="auto"/>
            <w:tcMar>
              <w:top w:w="150" w:type="dxa"/>
              <w:left w:w="240" w:type="dxa"/>
              <w:bottom w:w="150" w:type="dxa"/>
              <w:right w:w="240" w:type="dxa"/>
            </w:tcMar>
            <w:vAlign w:val="center"/>
          </w:tcPr>
          <w:p w14:paraId="65A00B3E">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疑似致癌性（2B类）、呼吸道刺激、恶臭扰民</w:t>
            </w:r>
          </w:p>
        </w:tc>
        <w:tc>
          <w:tcPr>
            <w:tcW w:w="4313" w:type="dxa"/>
            <w:shd w:val="clear" w:color="auto" w:fill="auto"/>
            <w:tcMar>
              <w:top w:w="150" w:type="dxa"/>
              <w:left w:w="240" w:type="dxa"/>
              <w:bottom w:w="150" w:type="dxa"/>
              <w:right w:w="240" w:type="dxa"/>
            </w:tcMar>
            <w:vAlign w:val="center"/>
          </w:tcPr>
          <w:p w14:paraId="45F0255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加强生产车间密闭化管理和废气收集处理，减少苯乙烯无组织逸散；推动企业采用低苯乙烯挥发树脂或替代技术</w:t>
            </w:r>
          </w:p>
        </w:tc>
      </w:tr>
      <w:tr w14:paraId="2483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198" w:type="dxa"/>
            <w:gridSpan w:val="6"/>
            <w:shd w:val="clear" w:color="auto" w:fill="auto"/>
            <w:tcMar>
              <w:top w:w="150" w:type="dxa"/>
              <w:left w:w="0" w:type="dxa"/>
              <w:bottom w:w="150" w:type="dxa"/>
              <w:right w:w="240" w:type="dxa"/>
            </w:tcMar>
            <w:vAlign w:val="center"/>
          </w:tcPr>
          <w:p w14:paraId="6D03A0DE">
            <w:pPr>
              <w:widowControl/>
              <w:jc w:val="left"/>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板块三：生态畜牧业及农业（对应畜禽养殖、农膜使用、医疗等）</w:t>
            </w:r>
          </w:p>
        </w:tc>
      </w:tr>
      <w:tr w14:paraId="6001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39099D0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11</w:t>
            </w:r>
          </w:p>
        </w:tc>
        <w:tc>
          <w:tcPr>
            <w:tcW w:w="1392" w:type="dxa"/>
            <w:shd w:val="clear" w:color="auto" w:fill="auto"/>
            <w:tcMar>
              <w:top w:w="150" w:type="dxa"/>
              <w:left w:w="240" w:type="dxa"/>
              <w:bottom w:w="150" w:type="dxa"/>
              <w:right w:w="240" w:type="dxa"/>
            </w:tcMar>
            <w:vAlign w:val="center"/>
          </w:tcPr>
          <w:p w14:paraId="332DC4A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抗生素</w:t>
            </w:r>
          </w:p>
        </w:tc>
        <w:tc>
          <w:tcPr>
            <w:tcW w:w="0" w:type="auto"/>
            <w:shd w:val="clear" w:color="auto" w:fill="auto"/>
            <w:tcMar>
              <w:top w:w="150" w:type="dxa"/>
              <w:left w:w="240" w:type="dxa"/>
              <w:bottom w:w="150" w:type="dxa"/>
              <w:right w:w="240" w:type="dxa"/>
            </w:tcMar>
            <w:vAlign w:val="center"/>
          </w:tcPr>
          <w:p w14:paraId="4B33DD3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四环素类、磺胺类、氟喹诺酮类等兽用抗生素</w:t>
            </w:r>
          </w:p>
        </w:tc>
        <w:tc>
          <w:tcPr>
            <w:tcW w:w="0" w:type="auto"/>
            <w:shd w:val="clear" w:color="auto" w:fill="auto"/>
            <w:tcMar>
              <w:top w:w="150" w:type="dxa"/>
              <w:left w:w="240" w:type="dxa"/>
              <w:bottom w:w="150" w:type="dxa"/>
              <w:right w:w="240" w:type="dxa"/>
            </w:tcMar>
            <w:vAlign w:val="center"/>
          </w:tcPr>
          <w:p w14:paraId="30799518">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规模化畜禽养殖（兽药使用）、散养户用药、医疗废水</w:t>
            </w:r>
          </w:p>
        </w:tc>
        <w:tc>
          <w:tcPr>
            <w:tcW w:w="2146" w:type="dxa"/>
            <w:shd w:val="clear" w:color="auto" w:fill="auto"/>
            <w:tcMar>
              <w:top w:w="150" w:type="dxa"/>
              <w:left w:w="240" w:type="dxa"/>
              <w:bottom w:w="150" w:type="dxa"/>
              <w:right w:w="240" w:type="dxa"/>
            </w:tcMar>
            <w:vAlign w:val="center"/>
          </w:tcPr>
          <w:p w14:paraId="2FA29946">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环境持久性、细菌耐药性（抗药基因传播）、干扰水生生态</w:t>
            </w:r>
          </w:p>
        </w:tc>
        <w:tc>
          <w:tcPr>
            <w:tcW w:w="4313" w:type="dxa"/>
            <w:shd w:val="clear" w:color="auto" w:fill="auto"/>
            <w:tcMar>
              <w:top w:w="150" w:type="dxa"/>
              <w:left w:w="240" w:type="dxa"/>
              <w:bottom w:w="150" w:type="dxa"/>
              <w:right w:w="240" w:type="dxa"/>
            </w:tcMar>
            <w:vAlign w:val="center"/>
          </w:tcPr>
          <w:p w14:paraId="29FCBD9A">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规范兽用抗生素使用，严格执行兽用处方药制度；推进养殖废水预处理工艺中添加抗生素去除单元；加强医疗废水中抗生素的收集处理</w:t>
            </w:r>
          </w:p>
        </w:tc>
      </w:tr>
      <w:tr w14:paraId="6B06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58F9A5F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12</w:t>
            </w:r>
          </w:p>
        </w:tc>
        <w:tc>
          <w:tcPr>
            <w:tcW w:w="1392" w:type="dxa"/>
            <w:shd w:val="clear" w:color="auto" w:fill="auto"/>
            <w:tcMar>
              <w:top w:w="150" w:type="dxa"/>
              <w:left w:w="240" w:type="dxa"/>
              <w:bottom w:w="150" w:type="dxa"/>
              <w:right w:w="240" w:type="dxa"/>
            </w:tcMar>
            <w:vAlign w:val="center"/>
          </w:tcPr>
          <w:p w14:paraId="1F20585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微塑料</w:t>
            </w:r>
          </w:p>
        </w:tc>
        <w:tc>
          <w:tcPr>
            <w:tcW w:w="0" w:type="auto"/>
            <w:shd w:val="clear" w:color="auto" w:fill="auto"/>
            <w:tcMar>
              <w:top w:w="150" w:type="dxa"/>
              <w:left w:w="240" w:type="dxa"/>
              <w:bottom w:w="150" w:type="dxa"/>
              <w:right w:w="240" w:type="dxa"/>
            </w:tcMar>
            <w:vAlign w:val="center"/>
          </w:tcPr>
          <w:p w14:paraId="7D60178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聚乙烯、聚丙烯微塑料</w:t>
            </w:r>
          </w:p>
        </w:tc>
        <w:tc>
          <w:tcPr>
            <w:tcW w:w="0" w:type="auto"/>
            <w:shd w:val="clear" w:color="auto" w:fill="auto"/>
            <w:tcMar>
              <w:top w:w="150" w:type="dxa"/>
              <w:left w:w="240" w:type="dxa"/>
              <w:bottom w:w="150" w:type="dxa"/>
              <w:right w:w="240" w:type="dxa"/>
            </w:tcMar>
            <w:vAlign w:val="center"/>
          </w:tcPr>
          <w:p w14:paraId="4936EAF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农用残膜降解、农村生活污水、工业废水、轮胎磨损颗粒</w:t>
            </w:r>
          </w:p>
        </w:tc>
        <w:tc>
          <w:tcPr>
            <w:tcW w:w="2146" w:type="dxa"/>
            <w:shd w:val="clear" w:color="auto" w:fill="auto"/>
            <w:tcMar>
              <w:top w:w="150" w:type="dxa"/>
              <w:left w:w="240" w:type="dxa"/>
              <w:bottom w:w="150" w:type="dxa"/>
              <w:right w:w="240" w:type="dxa"/>
            </w:tcMar>
            <w:vAlign w:val="center"/>
          </w:tcPr>
          <w:p w14:paraId="750F89C7">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生态毒性、载体效应（吸附其他污染物）、土壤及水生生态累积</w:t>
            </w:r>
          </w:p>
        </w:tc>
        <w:tc>
          <w:tcPr>
            <w:tcW w:w="4313" w:type="dxa"/>
            <w:shd w:val="clear" w:color="auto" w:fill="auto"/>
            <w:tcMar>
              <w:top w:w="150" w:type="dxa"/>
              <w:left w:w="240" w:type="dxa"/>
              <w:bottom w:w="150" w:type="dxa"/>
              <w:right w:w="240" w:type="dxa"/>
            </w:tcMar>
            <w:vAlign w:val="center"/>
          </w:tcPr>
          <w:p w14:paraId="1078BFBB">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推广使用可降解农膜，加强废旧地膜回收（回收率稳定≥85%）；强化污水处理厂微塑料拦截工艺；督促企业开展废水中微塑料排查监测</w:t>
            </w:r>
          </w:p>
        </w:tc>
      </w:tr>
      <w:tr w14:paraId="5A2F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84" w:type="dxa"/>
            <w:shd w:val="clear" w:color="auto" w:fill="auto"/>
            <w:tcMar>
              <w:top w:w="150" w:type="dxa"/>
              <w:left w:w="0" w:type="dxa"/>
              <w:bottom w:w="150" w:type="dxa"/>
              <w:right w:w="240" w:type="dxa"/>
            </w:tcMar>
            <w:vAlign w:val="center"/>
          </w:tcPr>
          <w:p w14:paraId="410B1159">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13</w:t>
            </w:r>
          </w:p>
        </w:tc>
        <w:tc>
          <w:tcPr>
            <w:tcW w:w="1392" w:type="dxa"/>
            <w:shd w:val="clear" w:color="auto" w:fill="auto"/>
            <w:tcMar>
              <w:top w:w="150" w:type="dxa"/>
              <w:left w:w="240" w:type="dxa"/>
              <w:bottom w:w="150" w:type="dxa"/>
              <w:right w:w="240" w:type="dxa"/>
            </w:tcMar>
            <w:vAlign w:val="center"/>
          </w:tcPr>
          <w:p w14:paraId="64792123">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环境内分泌干扰物</w:t>
            </w:r>
          </w:p>
        </w:tc>
        <w:tc>
          <w:tcPr>
            <w:tcW w:w="0" w:type="auto"/>
            <w:shd w:val="clear" w:color="auto" w:fill="auto"/>
            <w:tcMar>
              <w:top w:w="150" w:type="dxa"/>
              <w:left w:w="240" w:type="dxa"/>
              <w:bottom w:w="150" w:type="dxa"/>
              <w:right w:w="240" w:type="dxa"/>
            </w:tcMar>
            <w:vAlign w:val="center"/>
          </w:tcPr>
          <w:p w14:paraId="4B66069E">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邻苯二甲酸酯（PAEs）</w:t>
            </w:r>
          </w:p>
        </w:tc>
        <w:tc>
          <w:tcPr>
            <w:tcW w:w="0" w:type="auto"/>
            <w:shd w:val="clear" w:color="auto" w:fill="auto"/>
            <w:tcMar>
              <w:top w:w="150" w:type="dxa"/>
              <w:left w:w="240" w:type="dxa"/>
              <w:bottom w:w="150" w:type="dxa"/>
              <w:right w:w="240" w:type="dxa"/>
            </w:tcMar>
            <w:vAlign w:val="center"/>
          </w:tcPr>
          <w:p w14:paraId="0A42951D">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农用塑料薄膜（增塑剂）、污水处理厂出水、化妆品及工业助剂</w:t>
            </w:r>
          </w:p>
        </w:tc>
        <w:tc>
          <w:tcPr>
            <w:tcW w:w="2146" w:type="dxa"/>
            <w:shd w:val="clear" w:color="auto" w:fill="auto"/>
            <w:tcMar>
              <w:top w:w="150" w:type="dxa"/>
              <w:left w:w="240" w:type="dxa"/>
              <w:bottom w:w="150" w:type="dxa"/>
              <w:right w:w="240" w:type="dxa"/>
            </w:tcMar>
            <w:vAlign w:val="center"/>
          </w:tcPr>
          <w:p w14:paraId="49A3C980">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生殖毒性、内分泌干扰效应、生物累积</w:t>
            </w:r>
          </w:p>
        </w:tc>
        <w:tc>
          <w:tcPr>
            <w:tcW w:w="4313" w:type="dxa"/>
            <w:shd w:val="clear" w:color="auto" w:fill="auto"/>
            <w:tcMar>
              <w:top w:w="150" w:type="dxa"/>
              <w:left w:w="240" w:type="dxa"/>
              <w:bottom w:w="150" w:type="dxa"/>
              <w:right w:w="240" w:type="dxa"/>
            </w:tcMar>
            <w:vAlign w:val="center"/>
          </w:tcPr>
          <w:p w14:paraId="4B536DF5">
            <w:pPr>
              <w:widowControl/>
              <w:jc w:val="center"/>
              <w:rPr>
                <w:rFonts w:hint="default" w:ascii="Times New Roman" w:hAnsi="Times New Roman" w:eastAsia="方正楷体_GB2312" w:cs="Times New Roman"/>
                <w:kern w:val="0"/>
                <w:sz w:val="18"/>
                <w:szCs w:val="18"/>
                <w:highlight w:val="none"/>
                <w:lang w:val="en-US" w:eastAsia="zh-CN" w:bidi="ar"/>
              </w:rPr>
            </w:pPr>
            <w:r>
              <w:rPr>
                <w:rFonts w:hint="default" w:ascii="Times New Roman" w:hAnsi="Times New Roman" w:eastAsia="方正楷体_GB2312" w:cs="Times New Roman"/>
                <w:kern w:val="0"/>
                <w:sz w:val="18"/>
                <w:szCs w:val="18"/>
                <w:highlight w:val="none"/>
                <w:lang w:val="en-US" w:eastAsia="zh-CN" w:bidi="ar"/>
              </w:rPr>
              <w:t>推广使用非邻苯类环保增塑剂；加强废旧塑料分类回收利用；对污水处理厂污泥中PAEs开展试点监测</w:t>
            </w:r>
          </w:p>
        </w:tc>
      </w:tr>
    </w:tbl>
    <w:p w14:paraId="4B80C3C3">
      <w:pPr>
        <w:widowControl/>
        <w:jc w:val="center"/>
        <w:outlineLvl w:val="1"/>
        <w:rPr>
          <w:rFonts w:hint="eastAsia" w:ascii="var(--dsw-font-markdown-table-h" w:hAnsi="var(--dsw-font-markdown-table-h" w:eastAsia="var(--dsw-font-markdown-table-h" w:cs="var(--dsw-font-markdown-table-h"/>
          <w:b/>
          <w:bCs/>
          <w:kern w:val="0"/>
          <w:sz w:val="24"/>
          <w:highlight w:val="none"/>
          <w:lang w:bidi="ar"/>
        </w:rPr>
      </w:pPr>
    </w:p>
    <w:p w14:paraId="4DE121E7">
      <w:pPr>
        <w:keepNext w:val="0"/>
        <w:keepLines w:val="0"/>
        <w:pageBreakBefore w:val="0"/>
        <w:widowControl w:val="0"/>
        <w:kinsoku/>
        <w:wordWrap/>
        <w:overflowPunct/>
        <w:topLinePunct w:val="0"/>
        <w:autoSpaceDE/>
        <w:autoSpaceDN/>
        <w:bidi w:val="0"/>
        <w:adjustRightInd/>
        <w:snapToGrid/>
        <w:spacing w:before="120" w:after="120" w:line="560" w:lineRule="exact"/>
        <w:ind w:left="0" w:firstLine="640" w:firstLineChars="200"/>
        <w:jc w:val="both"/>
        <w:textAlignment w:val="auto"/>
        <w:rPr>
          <w:rFonts w:hint="eastAsia" w:ascii="仿宋" w:hAnsi="仿宋" w:eastAsia="仿宋" w:cs="仿宋"/>
          <w:sz w:val="32"/>
          <w:szCs w:val="32"/>
          <w:highlight w:val="none"/>
          <w:lang w:eastAsia="zh-CN"/>
        </w:rPr>
        <w:sectPr>
          <w:pgSz w:w="16838" w:h="11906" w:orient="landscape"/>
          <w:pgMar w:top="1746" w:right="1440" w:bottom="1746" w:left="1440" w:header="851" w:footer="992" w:gutter="0"/>
          <w:cols w:space="425" w:num="1"/>
          <w:docGrid w:type="lines" w:linePitch="312" w:charSpace="0"/>
        </w:sectPr>
      </w:pPr>
    </w:p>
    <w:p w14:paraId="1CB04F34">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160" w:beforeAutospacing="0" w:after="160" w:afterAutospacing="0" w:line="560" w:lineRule="exact"/>
        <w:ind w:right="0"/>
        <w:jc w:val="both"/>
        <w:textAlignment w:val="auto"/>
        <w:rPr>
          <w:rFonts w:hint="eastAsia" w:ascii="仿宋" w:hAnsi="仿宋" w:eastAsia="仿宋" w:cs="仿宋"/>
          <w:kern w:val="2"/>
          <w:sz w:val="32"/>
          <w:szCs w:val="32"/>
          <w:lang w:val="en-US" w:eastAsia="zh-CN" w:bidi="ar-SA"/>
          <w14:ligatures w14:val="standardContextual"/>
        </w:rPr>
      </w:pPr>
    </w:p>
    <w:sectPr>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263C65-ABF1-4709-8849-A8C4E72BC9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7FCEA22-01A3-41C2-A058-55E9DB1FA07C}"/>
  </w:font>
  <w:font w:name="仿宋">
    <w:panose1 w:val="02010609060101010101"/>
    <w:charset w:val="86"/>
    <w:family w:val="modern"/>
    <w:pitch w:val="default"/>
    <w:sig w:usb0="800002BF" w:usb1="38CF7CFA" w:usb2="00000016" w:usb3="00000000" w:csb0="00040001" w:csb1="00000000"/>
    <w:embedRegular r:id="rId3" w:fontKey="{A26F51ED-146A-4B46-8787-01BE013EE55C}"/>
  </w:font>
  <w:font w:name="楷体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embedRegular r:id="rId4" w:fontKey="{E42860BE-85F2-476E-A42F-80D605412D20}"/>
  </w:font>
  <w:font w:name="var(--dsw-font-markdown-table-h">
    <w:altName w:val="Times New Roman"/>
    <w:panose1 w:val="00000000000000000000"/>
    <w:charset w:val="00"/>
    <w:family w:val="auto"/>
    <w:pitch w:val="default"/>
    <w:sig w:usb0="00000000" w:usb1="00000000" w:usb2="00000000" w:usb3="00000000" w:csb0="00000000" w:csb1="00000000"/>
    <w:embedRegular r:id="rId5" w:fontKey="{1D678167-0D8D-4D12-B487-B44F32923553}"/>
  </w:font>
  <w:font w:name="方正楷体_GB2312">
    <w:panose1 w:val="02000000000000000000"/>
    <w:charset w:val="86"/>
    <w:family w:val="auto"/>
    <w:pitch w:val="default"/>
    <w:sig w:usb0="A00002BF" w:usb1="184F6CFA" w:usb2="00000012" w:usb3="00000000" w:csb0="00040001" w:csb1="00000000"/>
    <w:embedRegular r:id="rId6" w:fontKey="{9370BDB0-3AC6-4F0B-8C73-9AD8390132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6ACAF">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FFBB0">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C139D">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0759672"/>
    </w:sdtPr>
    <w:sdtContent>
      <w:p w14:paraId="00586BB5">
        <w:pPr>
          <w:pStyle w:val="11"/>
          <w:jc w:val="center"/>
        </w:pPr>
        <w:r>
          <w:fldChar w:fldCharType="begin"/>
        </w:r>
        <w:r>
          <w:instrText xml:space="preserve">PAGE   \* MERGEFORMAT</w:instrText>
        </w:r>
        <w:r>
          <w:fldChar w:fldCharType="separate"/>
        </w:r>
        <w:r>
          <w:rPr>
            <w:lang w:val="zh-CN"/>
          </w:rPr>
          <w:t>III</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6992792"/>
    </w:sdtPr>
    <w:sdtContent>
      <w:p w14:paraId="537BB88F">
        <w:pPr>
          <w:pStyle w:val="11"/>
          <w:jc w:val="center"/>
        </w:pPr>
        <w:r>
          <w:fldChar w:fldCharType="begin"/>
        </w:r>
        <w:r>
          <w:instrText xml:space="preserve">PAGE   \* MERGEFORMAT</w:instrText>
        </w:r>
        <w:r>
          <w:fldChar w:fldCharType="separate"/>
        </w:r>
        <w:r>
          <w:rPr>
            <w:lang w:val="zh-CN"/>
          </w:rPr>
          <w:t>16</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BDC70">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230C5">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651"/>
    <w:rsid w:val="00006153"/>
    <w:rsid w:val="00006D5A"/>
    <w:rsid w:val="00010036"/>
    <w:rsid w:val="00014ADC"/>
    <w:rsid w:val="00014E23"/>
    <w:rsid w:val="0001519E"/>
    <w:rsid w:val="00017CD2"/>
    <w:rsid w:val="000233E1"/>
    <w:rsid w:val="0002478D"/>
    <w:rsid w:val="00024F60"/>
    <w:rsid w:val="00025AB2"/>
    <w:rsid w:val="00026F84"/>
    <w:rsid w:val="00027644"/>
    <w:rsid w:val="00031657"/>
    <w:rsid w:val="000334A3"/>
    <w:rsid w:val="00036201"/>
    <w:rsid w:val="00036FB6"/>
    <w:rsid w:val="00037F31"/>
    <w:rsid w:val="00040086"/>
    <w:rsid w:val="00040EBE"/>
    <w:rsid w:val="00043152"/>
    <w:rsid w:val="00043C00"/>
    <w:rsid w:val="000458FB"/>
    <w:rsid w:val="00051651"/>
    <w:rsid w:val="000518B2"/>
    <w:rsid w:val="00051DC9"/>
    <w:rsid w:val="000603D6"/>
    <w:rsid w:val="00065026"/>
    <w:rsid w:val="0006505D"/>
    <w:rsid w:val="00066E67"/>
    <w:rsid w:val="0007140F"/>
    <w:rsid w:val="00075AB2"/>
    <w:rsid w:val="00076441"/>
    <w:rsid w:val="00077EDD"/>
    <w:rsid w:val="00080CD4"/>
    <w:rsid w:val="00083FE2"/>
    <w:rsid w:val="00085178"/>
    <w:rsid w:val="0008545F"/>
    <w:rsid w:val="000876F6"/>
    <w:rsid w:val="00087859"/>
    <w:rsid w:val="00090993"/>
    <w:rsid w:val="000924AF"/>
    <w:rsid w:val="000975E6"/>
    <w:rsid w:val="000A10EC"/>
    <w:rsid w:val="000A1AC3"/>
    <w:rsid w:val="000A5F60"/>
    <w:rsid w:val="000A7C87"/>
    <w:rsid w:val="000B0825"/>
    <w:rsid w:val="000B207D"/>
    <w:rsid w:val="000B5129"/>
    <w:rsid w:val="000B5C43"/>
    <w:rsid w:val="000C0704"/>
    <w:rsid w:val="000C0B15"/>
    <w:rsid w:val="000C3DDE"/>
    <w:rsid w:val="000C472F"/>
    <w:rsid w:val="000C5A22"/>
    <w:rsid w:val="000C77A2"/>
    <w:rsid w:val="000C788D"/>
    <w:rsid w:val="000C7FEB"/>
    <w:rsid w:val="000D040D"/>
    <w:rsid w:val="000D12A1"/>
    <w:rsid w:val="000D47EC"/>
    <w:rsid w:val="000D5321"/>
    <w:rsid w:val="000D541C"/>
    <w:rsid w:val="000D6B03"/>
    <w:rsid w:val="000D78FC"/>
    <w:rsid w:val="000D7C2C"/>
    <w:rsid w:val="000E151C"/>
    <w:rsid w:val="000E1B5D"/>
    <w:rsid w:val="000E1FCF"/>
    <w:rsid w:val="000E6191"/>
    <w:rsid w:val="000E6819"/>
    <w:rsid w:val="000E7A02"/>
    <w:rsid w:val="000F0713"/>
    <w:rsid w:val="000F3029"/>
    <w:rsid w:val="000F7FB5"/>
    <w:rsid w:val="00100D25"/>
    <w:rsid w:val="00104ADE"/>
    <w:rsid w:val="00104B9A"/>
    <w:rsid w:val="0010549F"/>
    <w:rsid w:val="0010792A"/>
    <w:rsid w:val="00111025"/>
    <w:rsid w:val="00111309"/>
    <w:rsid w:val="00113310"/>
    <w:rsid w:val="00122330"/>
    <w:rsid w:val="0012753B"/>
    <w:rsid w:val="00131A6A"/>
    <w:rsid w:val="00131D48"/>
    <w:rsid w:val="0013392C"/>
    <w:rsid w:val="001346E6"/>
    <w:rsid w:val="0013559F"/>
    <w:rsid w:val="001405AF"/>
    <w:rsid w:val="001418BD"/>
    <w:rsid w:val="00145AE6"/>
    <w:rsid w:val="0014635E"/>
    <w:rsid w:val="00150105"/>
    <w:rsid w:val="00160D18"/>
    <w:rsid w:val="001619A7"/>
    <w:rsid w:val="00161FDE"/>
    <w:rsid w:val="00162BE4"/>
    <w:rsid w:val="00164FED"/>
    <w:rsid w:val="00165A96"/>
    <w:rsid w:val="00166833"/>
    <w:rsid w:val="00166D5C"/>
    <w:rsid w:val="00170A8C"/>
    <w:rsid w:val="00170BB2"/>
    <w:rsid w:val="001740E9"/>
    <w:rsid w:val="00184037"/>
    <w:rsid w:val="001858C6"/>
    <w:rsid w:val="00187238"/>
    <w:rsid w:val="001905C2"/>
    <w:rsid w:val="00190ECC"/>
    <w:rsid w:val="00191CF0"/>
    <w:rsid w:val="00193F6B"/>
    <w:rsid w:val="00196087"/>
    <w:rsid w:val="0019762E"/>
    <w:rsid w:val="0019763E"/>
    <w:rsid w:val="001A1000"/>
    <w:rsid w:val="001B024A"/>
    <w:rsid w:val="001B2070"/>
    <w:rsid w:val="001B20B0"/>
    <w:rsid w:val="001B3941"/>
    <w:rsid w:val="001B4FD3"/>
    <w:rsid w:val="001B5579"/>
    <w:rsid w:val="001B7E50"/>
    <w:rsid w:val="001C073A"/>
    <w:rsid w:val="001C106B"/>
    <w:rsid w:val="001C1F21"/>
    <w:rsid w:val="001C39C4"/>
    <w:rsid w:val="001C429B"/>
    <w:rsid w:val="001C4767"/>
    <w:rsid w:val="001C56D1"/>
    <w:rsid w:val="001D302B"/>
    <w:rsid w:val="001D37C1"/>
    <w:rsid w:val="001D7653"/>
    <w:rsid w:val="001E0FBE"/>
    <w:rsid w:val="001E19BA"/>
    <w:rsid w:val="001E2570"/>
    <w:rsid w:val="001E6C8A"/>
    <w:rsid w:val="001F348A"/>
    <w:rsid w:val="001F4F94"/>
    <w:rsid w:val="001F7F09"/>
    <w:rsid w:val="0020043B"/>
    <w:rsid w:val="0020322E"/>
    <w:rsid w:val="00203300"/>
    <w:rsid w:val="002059F2"/>
    <w:rsid w:val="00205B11"/>
    <w:rsid w:val="00207751"/>
    <w:rsid w:val="002148D2"/>
    <w:rsid w:val="002252AE"/>
    <w:rsid w:val="002277B6"/>
    <w:rsid w:val="00230991"/>
    <w:rsid w:val="00231770"/>
    <w:rsid w:val="00231804"/>
    <w:rsid w:val="00234FF5"/>
    <w:rsid w:val="0023652D"/>
    <w:rsid w:val="00236E3E"/>
    <w:rsid w:val="00237487"/>
    <w:rsid w:val="002409D5"/>
    <w:rsid w:val="0024160C"/>
    <w:rsid w:val="002426D7"/>
    <w:rsid w:val="00242910"/>
    <w:rsid w:val="00246057"/>
    <w:rsid w:val="002511FA"/>
    <w:rsid w:val="00251A99"/>
    <w:rsid w:val="00254453"/>
    <w:rsid w:val="00260D9C"/>
    <w:rsid w:val="002633E8"/>
    <w:rsid w:val="0026531B"/>
    <w:rsid w:val="00267732"/>
    <w:rsid w:val="002711EB"/>
    <w:rsid w:val="002742CC"/>
    <w:rsid w:val="0027432C"/>
    <w:rsid w:val="00275338"/>
    <w:rsid w:val="002763FD"/>
    <w:rsid w:val="00281349"/>
    <w:rsid w:val="00281DC4"/>
    <w:rsid w:val="00285563"/>
    <w:rsid w:val="00285B28"/>
    <w:rsid w:val="00286539"/>
    <w:rsid w:val="0028709E"/>
    <w:rsid w:val="00291D7F"/>
    <w:rsid w:val="00293672"/>
    <w:rsid w:val="00294E4C"/>
    <w:rsid w:val="00295E93"/>
    <w:rsid w:val="00296D28"/>
    <w:rsid w:val="002A4CA7"/>
    <w:rsid w:val="002A4E06"/>
    <w:rsid w:val="002A6DAD"/>
    <w:rsid w:val="002A7CAA"/>
    <w:rsid w:val="002B0EF3"/>
    <w:rsid w:val="002B4BEF"/>
    <w:rsid w:val="002B756D"/>
    <w:rsid w:val="002B7EEA"/>
    <w:rsid w:val="002C3D11"/>
    <w:rsid w:val="002C3FBC"/>
    <w:rsid w:val="002C61F7"/>
    <w:rsid w:val="002C62BE"/>
    <w:rsid w:val="002C6E6C"/>
    <w:rsid w:val="002C76E4"/>
    <w:rsid w:val="002C7895"/>
    <w:rsid w:val="002D0B99"/>
    <w:rsid w:val="002D60F0"/>
    <w:rsid w:val="002E0CCB"/>
    <w:rsid w:val="002E103E"/>
    <w:rsid w:val="002E1118"/>
    <w:rsid w:val="002E20E3"/>
    <w:rsid w:val="002E2F22"/>
    <w:rsid w:val="002E39ED"/>
    <w:rsid w:val="002E61E5"/>
    <w:rsid w:val="002E7875"/>
    <w:rsid w:val="002E7E8E"/>
    <w:rsid w:val="002F148D"/>
    <w:rsid w:val="002F2D3D"/>
    <w:rsid w:val="002F36DF"/>
    <w:rsid w:val="002F4376"/>
    <w:rsid w:val="002F6656"/>
    <w:rsid w:val="00300F26"/>
    <w:rsid w:val="00301D02"/>
    <w:rsid w:val="003034CB"/>
    <w:rsid w:val="003034E3"/>
    <w:rsid w:val="00310C9A"/>
    <w:rsid w:val="00311E51"/>
    <w:rsid w:val="003140AE"/>
    <w:rsid w:val="003145E8"/>
    <w:rsid w:val="00315139"/>
    <w:rsid w:val="0031573B"/>
    <w:rsid w:val="00320763"/>
    <w:rsid w:val="00320C94"/>
    <w:rsid w:val="00322B78"/>
    <w:rsid w:val="00322F95"/>
    <w:rsid w:val="003263A4"/>
    <w:rsid w:val="003314E7"/>
    <w:rsid w:val="0033251A"/>
    <w:rsid w:val="003328A8"/>
    <w:rsid w:val="00334C9A"/>
    <w:rsid w:val="00345140"/>
    <w:rsid w:val="00345C74"/>
    <w:rsid w:val="003467CE"/>
    <w:rsid w:val="00353CA7"/>
    <w:rsid w:val="0036232B"/>
    <w:rsid w:val="00362FA8"/>
    <w:rsid w:val="003632E8"/>
    <w:rsid w:val="00367672"/>
    <w:rsid w:val="00367ACB"/>
    <w:rsid w:val="00371527"/>
    <w:rsid w:val="00371B36"/>
    <w:rsid w:val="00372BE6"/>
    <w:rsid w:val="00372D89"/>
    <w:rsid w:val="00373A8A"/>
    <w:rsid w:val="00374964"/>
    <w:rsid w:val="00375042"/>
    <w:rsid w:val="00376867"/>
    <w:rsid w:val="003848D1"/>
    <w:rsid w:val="003863CB"/>
    <w:rsid w:val="0039328A"/>
    <w:rsid w:val="00397097"/>
    <w:rsid w:val="003A3704"/>
    <w:rsid w:val="003A6ADA"/>
    <w:rsid w:val="003B07D1"/>
    <w:rsid w:val="003B1858"/>
    <w:rsid w:val="003B2714"/>
    <w:rsid w:val="003B28DF"/>
    <w:rsid w:val="003B5DD2"/>
    <w:rsid w:val="003B631E"/>
    <w:rsid w:val="003C1DCA"/>
    <w:rsid w:val="003D1586"/>
    <w:rsid w:val="003D5121"/>
    <w:rsid w:val="003D63EB"/>
    <w:rsid w:val="003E4B4C"/>
    <w:rsid w:val="003E6EED"/>
    <w:rsid w:val="003F0884"/>
    <w:rsid w:val="003F2098"/>
    <w:rsid w:val="003F280C"/>
    <w:rsid w:val="003F6022"/>
    <w:rsid w:val="003F7139"/>
    <w:rsid w:val="003F767F"/>
    <w:rsid w:val="00400CFC"/>
    <w:rsid w:val="0040617E"/>
    <w:rsid w:val="00407FA8"/>
    <w:rsid w:val="004134FE"/>
    <w:rsid w:val="00414FB3"/>
    <w:rsid w:val="004271D3"/>
    <w:rsid w:val="00430F1C"/>
    <w:rsid w:val="00433B96"/>
    <w:rsid w:val="0043419D"/>
    <w:rsid w:val="00437AD1"/>
    <w:rsid w:val="00441B87"/>
    <w:rsid w:val="00442024"/>
    <w:rsid w:val="00442BAD"/>
    <w:rsid w:val="00443F90"/>
    <w:rsid w:val="0044417D"/>
    <w:rsid w:val="004446ED"/>
    <w:rsid w:val="00444CF6"/>
    <w:rsid w:val="00446BAC"/>
    <w:rsid w:val="00451F97"/>
    <w:rsid w:val="0045494E"/>
    <w:rsid w:val="0045507D"/>
    <w:rsid w:val="004552F1"/>
    <w:rsid w:val="00455B88"/>
    <w:rsid w:val="004562E8"/>
    <w:rsid w:val="00457DCF"/>
    <w:rsid w:val="004606F5"/>
    <w:rsid w:val="00462B06"/>
    <w:rsid w:val="00463740"/>
    <w:rsid w:val="00463BBA"/>
    <w:rsid w:val="0047124F"/>
    <w:rsid w:val="00480DE4"/>
    <w:rsid w:val="00484721"/>
    <w:rsid w:val="0049382A"/>
    <w:rsid w:val="004A088D"/>
    <w:rsid w:val="004A52BE"/>
    <w:rsid w:val="004A530C"/>
    <w:rsid w:val="004A5887"/>
    <w:rsid w:val="004A6B71"/>
    <w:rsid w:val="004B009B"/>
    <w:rsid w:val="004B1847"/>
    <w:rsid w:val="004B39B6"/>
    <w:rsid w:val="004C4E3F"/>
    <w:rsid w:val="004C593E"/>
    <w:rsid w:val="004D1B08"/>
    <w:rsid w:val="004D3357"/>
    <w:rsid w:val="004D600D"/>
    <w:rsid w:val="004D7220"/>
    <w:rsid w:val="004D73F8"/>
    <w:rsid w:val="004E097E"/>
    <w:rsid w:val="004E0D04"/>
    <w:rsid w:val="004E52CD"/>
    <w:rsid w:val="004E73E1"/>
    <w:rsid w:val="004F1099"/>
    <w:rsid w:val="004F3710"/>
    <w:rsid w:val="005027FF"/>
    <w:rsid w:val="00503A22"/>
    <w:rsid w:val="005044B6"/>
    <w:rsid w:val="00506A53"/>
    <w:rsid w:val="005108CF"/>
    <w:rsid w:val="00510C1E"/>
    <w:rsid w:val="005125DF"/>
    <w:rsid w:val="00514E69"/>
    <w:rsid w:val="005176B2"/>
    <w:rsid w:val="00517CE3"/>
    <w:rsid w:val="0052193A"/>
    <w:rsid w:val="005220F7"/>
    <w:rsid w:val="005231DE"/>
    <w:rsid w:val="00524891"/>
    <w:rsid w:val="00524977"/>
    <w:rsid w:val="005250FD"/>
    <w:rsid w:val="005304F9"/>
    <w:rsid w:val="005319A5"/>
    <w:rsid w:val="00533D70"/>
    <w:rsid w:val="00535DEB"/>
    <w:rsid w:val="0053605D"/>
    <w:rsid w:val="00537ADF"/>
    <w:rsid w:val="005415F6"/>
    <w:rsid w:val="00541D49"/>
    <w:rsid w:val="00542CF3"/>
    <w:rsid w:val="005501AA"/>
    <w:rsid w:val="00551FC7"/>
    <w:rsid w:val="00552AE1"/>
    <w:rsid w:val="00561C1E"/>
    <w:rsid w:val="0056404A"/>
    <w:rsid w:val="00564B22"/>
    <w:rsid w:val="00565CC0"/>
    <w:rsid w:val="00571CCA"/>
    <w:rsid w:val="00581782"/>
    <w:rsid w:val="005907F8"/>
    <w:rsid w:val="00590932"/>
    <w:rsid w:val="0059110F"/>
    <w:rsid w:val="005926E8"/>
    <w:rsid w:val="005942F6"/>
    <w:rsid w:val="005960B5"/>
    <w:rsid w:val="005962DB"/>
    <w:rsid w:val="005971B1"/>
    <w:rsid w:val="005A18E7"/>
    <w:rsid w:val="005A7DE9"/>
    <w:rsid w:val="005B00A7"/>
    <w:rsid w:val="005B04F8"/>
    <w:rsid w:val="005B12FD"/>
    <w:rsid w:val="005B161B"/>
    <w:rsid w:val="005B3609"/>
    <w:rsid w:val="005B37E8"/>
    <w:rsid w:val="005B49AF"/>
    <w:rsid w:val="005B60BB"/>
    <w:rsid w:val="005B68F5"/>
    <w:rsid w:val="005D264F"/>
    <w:rsid w:val="005D5718"/>
    <w:rsid w:val="005D648E"/>
    <w:rsid w:val="005D6867"/>
    <w:rsid w:val="005E05B1"/>
    <w:rsid w:val="005E1007"/>
    <w:rsid w:val="005E13BE"/>
    <w:rsid w:val="005F1A2C"/>
    <w:rsid w:val="005F1EC3"/>
    <w:rsid w:val="005F40D9"/>
    <w:rsid w:val="005F62B2"/>
    <w:rsid w:val="0060242B"/>
    <w:rsid w:val="00602551"/>
    <w:rsid w:val="00603151"/>
    <w:rsid w:val="00603249"/>
    <w:rsid w:val="00603482"/>
    <w:rsid w:val="006038A9"/>
    <w:rsid w:val="0060532B"/>
    <w:rsid w:val="00611AC1"/>
    <w:rsid w:val="00612F12"/>
    <w:rsid w:val="00615CCA"/>
    <w:rsid w:val="00616069"/>
    <w:rsid w:val="006204D3"/>
    <w:rsid w:val="00620C4D"/>
    <w:rsid w:val="00627475"/>
    <w:rsid w:val="00627DB8"/>
    <w:rsid w:val="0063630E"/>
    <w:rsid w:val="00636FBE"/>
    <w:rsid w:val="006379FC"/>
    <w:rsid w:val="00640F81"/>
    <w:rsid w:val="00646C7B"/>
    <w:rsid w:val="00647529"/>
    <w:rsid w:val="00654AB1"/>
    <w:rsid w:val="006557E1"/>
    <w:rsid w:val="00661D7D"/>
    <w:rsid w:val="006645B7"/>
    <w:rsid w:val="006654B8"/>
    <w:rsid w:val="006832E2"/>
    <w:rsid w:val="00684BB1"/>
    <w:rsid w:val="00684CEE"/>
    <w:rsid w:val="00693B6D"/>
    <w:rsid w:val="006975C7"/>
    <w:rsid w:val="006A006D"/>
    <w:rsid w:val="006A030F"/>
    <w:rsid w:val="006A14FF"/>
    <w:rsid w:val="006A6418"/>
    <w:rsid w:val="006A6DB7"/>
    <w:rsid w:val="006A72B7"/>
    <w:rsid w:val="006A75E7"/>
    <w:rsid w:val="006B4DFB"/>
    <w:rsid w:val="006B6AD3"/>
    <w:rsid w:val="006B6BB2"/>
    <w:rsid w:val="006B724C"/>
    <w:rsid w:val="006B7A67"/>
    <w:rsid w:val="006C0CA0"/>
    <w:rsid w:val="006C46C9"/>
    <w:rsid w:val="006C4B55"/>
    <w:rsid w:val="006C51D9"/>
    <w:rsid w:val="006C5205"/>
    <w:rsid w:val="006C5852"/>
    <w:rsid w:val="006D005C"/>
    <w:rsid w:val="006D22B8"/>
    <w:rsid w:val="006D38F9"/>
    <w:rsid w:val="006D4202"/>
    <w:rsid w:val="006D58FE"/>
    <w:rsid w:val="006D599A"/>
    <w:rsid w:val="006D5B06"/>
    <w:rsid w:val="006D7E6D"/>
    <w:rsid w:val="006E03CE"/>
    <w:rsid w:val="006E09C4"/>
    <w:rsid w:val="006E2D26"/>
    <w:rsid w:val="006E35C4"/>
    <w:rsid w:val="006E3BD5"/>
    <w:rsid w:val="006E4544"/>
    <w:rsid w:val="006E6654"/>
    <w:rsid w:val="006E7312"/>
    <w:rsid w:val="006E7EC0"/>
    <w:rsid w:val="006F26E1"/>
    <w:rsid w:val="006F47E2"/>
    <w:rsid w:val="006F77A8"/>
    <w:rsid w:val="006F7D8A"/>
    <w:rsid w:val="0070026B"/>
    <w:rsid w:val="00705ACC"/>
    <w:rsid w:val="0070732B"/>
    <w:rsid w:val="00710958"/>
    <w:rsid w:val="007140F5"/>
    <w:rsid w:val="00715032"/>
    <w:rsid w:val="007231C5"/>
    <w:rsid w:val="007243DF"/>
    <w:rsid w:val="007310FB"/>
    <w:rsid w:val="0073192C"/>
    <w:rsid w:val="00733FBF"/>
    <w:rsid w:val="00737718"/>
    <w:rsid w:val="00737FD1"/>
    <w:rsid w:val="007427ED"/>
    <w:rsid w:val="007449B5"/>
    <w:rsid w:val="0074622C"/>
    <w:rsid w:val="0074777D"/>
    <w:rsid w:val="00747BAA"/>
    <w:rsid w:val="00747D99"/>
    <w:rsid w:val="00750DC8"/>
    <w:rsid w:val="00752AA4"/>
    <w:rsid w:val="00752BB5"/>
    <w:rsid w:val="007532FF"/>
    <w:rsid w:val="00753C37"/>
    <w:rsid w:val="00754A20"/>
    <w:rsid w:val="007560C9"/>
    <w:rsid w:val="00763CD4"/>
    <w:rsid w:val="00763D15"/>
    <w:rsid w:val="00764AA5"/>
    <w:rsid w:val="007653AE"/>
    <w:rsid w:val="00765D66"/>
    <w:rsid w:val="00765EE1"/>
    <w:rsid w:val="00766D48"/>
    <w:rsid w:val="00767B6A"/>
    <w:rsid w:val="00767EAB"/>
    <w:rsid w:val="00771876"/>
    <w:rsid w:val="00772721"/>
    <w:rsid w:val="00775FA6"/>
    <w:rsid w:val="00776635"/>
    <w:rsid w:val="00777DD6"/>
    <w:rsid w:val="00777E6F"/>
    <w:rsid w:val="00782982"/>
    <w:rsid w:val="00782E34"/>
    <w:rsid w:val="00785278"/>
    <w:rsid w:val="00785B41"/>
    <w:rsid w:val="00787531"/>
    <w:rsid w:val="007907B2"/>
    <w:rsid w:val="00790A96"/>
    <w:rsid w:val="00791393"/>
    <w:rsid w:val="007933C8"/>
    <w:rsid w:val="00793ECC"/>
    <w:rsid w:val="007967C1"/>
    <w:rsid w:val="007A0329"/>
    <w:rsid w:val="007A129C"/>
    <w:rsid w:val="007A1AF1"/>
    <w:rsid w:val="007A2E2C"/>
    <w:rsid w:val="007A4373"/>
    <w:rsid w:val="007A5178"/>
    <w:rsid w:val="007A58CE"/>
    <w:rsid w:val="007A7128"/>
    <w:rsid w:val="007B26BB"/>
    <w:rsid w:val="007B28C7"/>
    <w:rsid w:val="007B3AB8"/>
    <w:rsid w:val="007B64B8"/>
    <w:rsid w:val="007C5684"/>
    <w:rsid w:val="007D1875"/>
    <w:rsid w:val="007D3D27"/>
    <w:rsid w:val="007D45DD"/>
    <w:rsid w:val="007D55D0"/>
    <w:rsid w:val="007D6374"/>
    <w:rsid w:val="007D77C3"/>
    <w:rsid w:val="007E0A0D"/>
    <w:rsid w:val="007E4C1B"/>
    <w:rsid w:val="007E4C8F"/>
    <w:rsid w:val="007E4E5D"/>
    <w:rsid w:val="007E4FAF"/>
    <w:rsid w:val="007E7603"/>
    <w:rsid w:val="007F006B"/>
    <w:rsid w:val="007F4838"/>
    <w:rsid w:val="007F6D33"/>
    <w:rsid w:val="007F78F7"/>
    <w:rsid w:val="008008D2"/>
    <w:rsid w:val="00803F54"/>
    <w:rsid w:val="0080412F"/>
    <w:rsid w:val="00805427"/>
    <w:rsid w:val="00806808"/>
    <w:rsid w:val="0081097A"/>
    <w:rsid w:val="00813A4B"/>
    <w:rsid w:val="0081404E"/>
    <w:rsid w:val="008153B7"/>
    <w:rsid w:val="00822B44"/>
    <w:rsid w:val="008236E4"/>
    <w:rsid w:val="0082386F"/>
    <w:rsid w:val="008242E5"/>
    <w:rsid w:val="00824E8E"/>
    <w:rsid w:val="00825B46"/>
    <w:rsid w:val="00825C35"/>
    <w:rsid w:val="00826E9A"/>
    <w:rsid w:val="0082745A"/>
    <w:rsid w:val="008302A0"/>
    <w:rsid w:val="00833866"/>
    <w:rsid w:val="00837982"/>
    <w:rsid w:val="00844FAD"/>
    <w:rsid w:val="008460A0"/>
    <w:rsid w:val="00853E63"/>
    <w:rsid w:val="0085710C"/>
    <w:rsid w:val="00857D61"/>
    <w:rsid w:val="008644EF"/>
    <w:rsid w:val="008706F3"/>
    <w:rsid w:val="00880BF9"/>
    <w:rsid w:val="00880C1B"/>
    <w:rsid w:val="0088518F"/>
    <w:rsid w:val="00886A49"/>
    <w:rsid w:val="008879F7"/>
    <w:rsid w:val="00891665"/>
    <w:rsid w:val="008934B7"/>
    <w:rsid w:val="00893D87"/>
    <w:rsid w:val="008A1A7B"/>
    <w:rsid w:val="008A472F"/>
    <w:rsid w:val="008A6661"/>
    <w:rsid w:val="008B345A"/>
    <w:rsid w:val="008B3F7E"/>
    <w:rsid w:val="008B7346"/>
    <w:rsid w:val="008C1E5F"/>
    <w:rsid w:val="008C2550"/>
    <w:rsid w:val="008C2DC1"/>
    <w:rsid w:val="008D22FD"/>
    <w:rsid w:val="008D2E08"/>
    <w:rsid w:val="008E021C"/>
    <w:rsid w:val="008E08B8"/>
    <w:rsid w:val="008E2D29"/>
    <w:rsid w:val="008E3338"/>
    <w:rsid w:val="008E3A09"/>
    <w:rsid w:val="008E7308"/>
    <w:rsid w:val="008F2033"/>
    <w:rsid w:val="008F3C63"/>
    <w:rsid w:val="008F4633"/>
    <w:rsid w:val="009026EC"/>
    <w:rsid w:val="009042D8"/>
    <w:rsid w:val="00905873"/>
    <w:rsid w:val="00906FDB"/>
    <w:rsid w:val="00912BB1"/>
    <w:rsid w:val="009150E2"/>
    <w:rsid w:val="00915521"/>
    <w:rsid w:val="00915779"/>
    <w:rsid w:val="00915957"/>
    <w:rsid w:val="00920626"/>
    <w:rsid w:val="00921241"/>
    <w:rsid w:val="00921541"/>
    <w:rsid w:val="00923B44"/>
    <w:rsid w:val="00925737"/>
    <w:rsid w:val="009258FA"/>
    <w:rsid w:val="0093197E"/>
    <w:rsid w:val="009333A7"/>
    <w:rsid w:val="00941406"/>
    <w:rsid w:val="00943A61"/>
    <w:rsid w:val="00951637"/>
    <w:rsid w:val="00955DA6"/>
    <w:rsid w:val="00960CF2"/>
    <w:rsid w:val="009630B8"/>
    <w:rsid w:val="0096491A"/>
    <w:rsid w:val="00964B86"/>
    <w:rsid w:val="00965C38"/>
    <w:rsid w:val="0096707E"/>
    <w:rsid w:val="00971673"/>
    <w:rsid w:val="009728AB"/>
    <w:rsid w:val="009732D7"/>
    <w:rsid w:val="00973B97"/>
    <w:rsid w:val="00975AA2"/>
    <w:rsid w:val="00975D09"/>
    <w:rsid w:val="0098174A"/>
    <w:rsid w:val="0098202D"/>
    <w:rsid w:val="00983A0C"/>
    <w:rsid w:val="009861AB"/>
    <w:rsid w:val="00986A16"/>
    <w:rsid w:val="00992CFE"/>
    <w:rsid w:val="00993240"/>
    <w:rsid w:val="009955CC"/>
    <w:rsid w:val="00995B90"/>
    <w:rsid w:val="009A1617"/>
    <w:rsid w:val="009A4BB6"/>
    <w:rsid w:val="009B57B8"/>
    <w:rsid w:val="009C1D0D"/>
    <w:rsid w:val="009C1E75"/>
    <w:rsid w:val="009C3D00"/>
    <w:rsid w:val="009C5E3F"/>
    <w:rsid w:val="009D2311"/>
    <w:rsid w:val="009D4660"/>
    <w:rsid w:val="009D63D2"/>
    <w:rsid w:val="009D79B3"/>
    <w:rsid w:val="009E1AF7"/>
    <w:rsid w:val="009E1F80"/>
    <w:rsid w:val="009E2D5B"/>
    <w:rsid w:val="009E47AA"/>
    <w:rsid w:val="009E4BE0"/>
    <w:rsid w:val="009E4E37"/>
    <w:rsid w:val="009E587A"/>
    <w:rsid w:val="009F2841"/>
    <w:rsid w:val="009F3F19"/>
    <w:rsid w:val="009F5562"/>
    <w:rsid w:val="009F668D"/>
    <w:rsid w:val="00A014B0"/>
    <w:rsid w:val="00A019DF"/>
    <w:rsid w:val="00A0460D"/>
    <w:rsid w:val="00A07411"/>
    <w:rsid w:val="00A078E7"/>
    <w:rsid w:val="00A07A10"/>
    <w:rsid w:val="00A164A8"/>
    <w:rsid w:val="00A20ABE"/>
    <w:rsid w:val="00A217E9"/>
    <w:rsid w:val="00A240F3"/>
    <w:rsid w:val="00A24F9F"/>
    <w:rsid w:val="00A269FB"/>
    <w:rsid w:val="00A27752"/>
    <w:rsid w:val="00A27A64"/>
    <w:rsid w:val="00A307C2"/>
    <w:rsid w:val="00A31FB6"/>
    <w:rsid w:val="00A32B51"/>
    <w:rsid w:val="00A33FFE"/>
    <w:rsid w:val="00A574BE"/>
    <w:rsid w:val="00A60067"/>
    <w:rsid w:val="00A619D1"/>
    <w:rsid w:val="00A6418B"/>
    <w:rsid w:val="00A650A0"/>
    <w:rsid w:val="00A66301"/>
    <w:rsid w:val="00A73BEC"/>
    <w:rsid w:val="00A75C8B"/>
    <w:rsid w:val="00A75FB2"/>
    <w:rsid w:val="00A777F7"/>
    <w:rsid w:val="00A80A26"/>
    <w:rsid w:val="00A81729"/>
    <w:rsid w:val="00A83FC9"/>
    <w:rsid w:val="00A8511D"/>
    <w:rsid w:val="00A86C13"/>
    <w:rsid w:val="00A91338"/>
    <w:rsid w:val="00A97518"/>
    <w:rsid w:val="00A97611"/>
    <w:rsid w:val="00A97D25"/>
    <w:rsid w:val="00AA19C7"/>
    <w:rsid w:val="00AA6257"/>
    <w:rsid w:val="00AA6D8F"/>
    <w:rsid w:val="00AA7A0C"/>
    <w:rsid w:val="00AB54AB"/>
    <w:rsid w:val="00AB5558"/>
    <w:rsid w:val="00AC1D8C"/>
    <w:rsid w:val="00AC5EF7"/>
    <w:rsid w:val="00AC6B31"/>
    <w:rsid w:val="00AD3602"/>
    <w:rsid w:val="00AD3F1B"/>
    <w:rsid w:val="00AD49CF"/>
    <w:rsid w:val="00AD4C17"/>
    <w:rsid w:val="00AD7F61"/>
    <w:rsid w:val="00AE0236"/>
    <w:rsid w:val="00AE1310"/>
    <w:rsid w:val="00AE1B11"/>
    <w:rsid w:val="00AE1F6B"/>
    <w:rsid w:val="00AE23E3"/>
    <w:rsid w:val="00AE4BF4"/>
    <w:rsid w:val="00AE6B27"/>
    <w:rsid w:val="00AE7208"/>
    <w:rsid w:val="00AF22B6"/>
    <w:rsid w:val="00AF650C"/>
    <w:rsid w:val="00AF6820"/>
    <w:rsid w:val="00B05B62"/>
    <w:rsid w:val="00B071B9"/>
    <w:rsid w:val="00B12823"/>
    <w:rsid w:val="00B13C37"/>
    <w:rsid w:val="00B13C62"/>
    <w:rsid w:val="00B13DD5"/>
    <w:rsid w:val="00B15A09"/>
    <w:rsid w:val="00B15D4C"/>
    <w:rsid w:val="00B175C6"/>
    <w:rsid w:val="00B21B6A"/>
    <w:rsid w:val="00B21D01"/>
    <w:rsid w:val="00B2465E"/>
    <w:rsid w:val="00B24ADE"/>
    <w:rsid w:val="00B32648"/>
    <w:rsid w:val="00B36209"/>
    <w:rsid w:val="00B377A8"/>
    <w:rsid w:val="00B40622"/>
    <w:rsid w:val="00B47484"/>
    <w:rsid w:val="00B476A1"/>
    <w:rsid w:val="00B51888"/>
    <w:rsid w:val="00B52E14"/>
    <w:rsid w:val="00B534F5"/>
    <w:rsid w:val="00B54598"/>
    <w:rsid w:val="00B54F57"/>
    <w:rsid w:val="00B562AB"/>
    <w:rsid w:val="00B56818"/>
    <w:rsid w:val="00B61587"/>
    <w:rsid w:val="00B62F30"/>
    <w:rsid w:val="00B63521"/>
    <w:rsid w:val="00B65C3D"/>
    <w:rsid w:val="00B710B6"/>
    <w:rsid w:val="00B75FB5"/>
    <w:rsid w:val="00B77464"/>
    <w:rsid w:val="00B8065C"/>
    <w:rsid w:val="00B8079E"/>
    <w:rsid w:val="00B813C5"/>
    <w:rsid w:val="00B825C1"/>
    <w:rsid w:val="00B836B3"/>
    <w:rsid w:val="00B875A6"/>
    <w:rsid w:val="00B87AE5"/>
    <w:rsid w:val="00B90746"/>
    <w:rsid w:val="00B9220C"/>
    <w:rsid w:val="00B92ED2"/>
    <w:rsid w:val="00B93DBD"/>
    <w:rsid w:val="00BA0559"/>
    <w:rsid w:val="00BA539C"/>
    <w:rsid w:val="00BA563F"/>
    <w:rsid w:val="00BA5643"/>
    <w:rsid w:val="00BA7177"/>
    <w:rsid w:val="00BB2994"/>
    <w:rsid w:val="00BB2A9E"/>
    <w:rsid w:val="00BC53FC"/>
    <w:rsid w:val="00BD269B"/>
    <w:rsid w:val="00BD5C08"/>
    <w:rsid w:val="00BD7C8E"/>
    <w:rsid w:val="00BE183B"/>
    <w:rsid w:val="00BE1DE7"/>
    <w:rsid w:val="00BE206F"/>
    <w:rsid w:val="00BE3F43"/>
    <w:rsid w:val="00BE5BB3"/>
    <w:rsid w:val="00BF0272"/>
    <w:rsid w:val="00BF0FD8"/>
    <w:rsid w:val="00BF183D"/>
    <w:rsid w:val="00BF1C4A"/>
    <w:rsid w:val="00BF2EE7"/>
    <w:rsid w:val="00BF2FD8"/>
    <w:rsid w:val="00BF597B"/>
    <w:rsid w:val="00C02807"/>
    <w:rsid w:val="00C04D24"/>
    <w:rsid w:val="00C050D5"/>
    <w:rsid w:val="00C05CB8"/>
    <w:rsid w:val="00C05DF0"/>
    <w:rsid w:val="00C11AD4"/>
    <w:rsid w:val="00C126CF"/>
    <w:rsid w:val="00C12765"/>
    <w:rsid w:val="00C20016"/>
    <w:rsid w:val="00C21232"/>
    <w:rsid w:val="00C21C79"/>
    <w:rsid w:val="00C23B04"/>
    <w:rsid w:val="00C242F2"/>
    <w:rsid w:val="00C25692"/>
    <w:rsid w:val="00C276B4"/>
    <w:rsid w:val="00C3253E"/>
    <w:rsid w:val="00C32F8A"/>
    <w:rsid w:val="00C33819"/>
    <w:rsid w:val="00C371DA"/>
    <w:rsid w:val="00C41AE8"/>
    <w:rsid w:val="00C42096"/>
    <w:rsid w:val="00C436B9"/>
    <w:rsid w:val="00C51302"/>
    <w:rsid w:val="00C52A9E"/>
    <w:rsid w:val="00C5332F"/>
    <w:rsid w:val="00C5351C"/>
    <w:rsid w:val="00C54CC8"/>
    <w:rsid w:val="00C5502E"/>
    <w:rsid w:val="00C5667C"/>
    <w:rsid w:val="00C56A1F"/>
    <w:rsid w:val="00C56C9C"/>
    <w:rsid w:val="00C5768B"/>
    <w:rsid w:val="00C60726"/>
    <w:rsid w:val="00C61403"/>
    <w:rsid w:val="00C62093"/>
    <w:rsid w:val="00C62411"/>
    <w:rsid w:val="00C6266F"/>
    <w:rsid w:val="00C62896"/>
    <w:rsid w:val="00C74208"/>
    <w:rsid w:val="00C7572D"/>
    <w:rsid w:val="00C76E89"/>
    <w:rsid w:val="00C779AC"/>
    <w:rsid w:val="00C8191A"/>
    <w:rsid w:val="00C82859"/>
    <w:rsid w:val="00C94711"/>
    <w:rsid w:val="00CA046E"/>
    <w:rsid w:val="00CA1D50"/>
    <w:rsid w:val="00CA41E7"/>
    <w:rsid w:val="00CA4DA1"/>
    <w:rsid w:val="00CA6F1C"/>
    <w:rsid w:val="00CB407E"/>
    <w:rsid w:val="00CB49F2"/>
    <w:rsid w:val="00CC23D2"/>
    <w:rsid w:val="00CC3561"/>
    <w:rsid w:val="00CD1575"/>
    <w:rsid w:val="00CD33E8"/>
    <w:rsid w:val="00CD346F"/>
    <w:rsid w:val="00CD414D"/>
    <w:rsid w:val="00CD4969"/>
    <w:rsid w:val="00CD4A38"/>
    <w:rsid w:val="00CD573C"/>
    <w:rsid w:val="00CD6FCB"/>
    <w:rsid w:val="00CD7D91"/>
    <w:rsid w:val="00CE04FF"/>
    <w:rsid w:val="00CE05A9"/>
    <w:rsid w:val="00CF1269"/>
    <w:rsid w:val="00CF15E7"/>
    <w:rsid w:val="00CF3D1E"/>
    <w:rsid w:val="00CF7179"/>
    <w:rsid w:val="00CF7F0F"/>
    <w:rsid w:val="00D01016"/>
    <w:rsid w:val="00D014EA"/>
    <w:rsid w:val="00D039A9"/>
    <w:rsid w:val="00D03A5C"/>
    <w:rsid w:val="00D03DE5"/>
    <w:rsid w:val="00D059EB"/>
    <w:rsid w:val="00D05F52"/>
    <w:rsid w:val="00D104E9"/>
    <w:rsid w:val="00D1129D"/>
    <w:rsid w:val="00D11605"/>
    <w:rsid w:val="00D12B9B"/>
    <w:rsid w:val="00D1398E"/>
    <w:rsid w:val="00D167A1"/>
    <w:rsid w:val="00D16933"/>
    <w:rsid w:val="00D1790B"/>
    <w:rsid w:val="00D21751"/>
    <w:rsid w:val="00D21FD8"/>
    <w:rsid w:val="00D24B82"/>
    <w:rsid w:val="00D27286"/>
    <w:rsid w:val="00D335FE"/>
    <w:rsid w:val="00D3433C"/>
    <w:rsid w:val="00D37429"/>
    <w:rsid w:val="00D37E74"/>
    <w:rsid w:val="00D460D7"/>
    <w:rsid w:val="00D4664F"/>
    <w:rsid w:val="00D504AE"/>
    <w:rsid w:val="00D52D4F"/>
    <w:rsid w:val="00D5455F"/>
    <w:rsid w:val="00D546C0"/>
    <w:rsid w:val="00D55422"/>
    <w:rsid w:val="00D650FB"/>
    <w:rsid w:val="00D70F6B"/>
    <w:rsid w:val="00D70F83"/>
    <w:rsid w:val="00D74158"/>
    <w:rsid w:val="00D74212"/>
    <w:rsid w:val="00D8277C"/>
    <w:rsid w:val="00D82910"/>
    <w:rsid w:val="00D83713"/>
    <w:rsid w:val="00D85693"/>
    <w:rsid w:val="00D90F8F"/>
    <w:rsid w:val="00D91997"/>
    <w:rsid w:val="00D95DD9"/>
    <w:rsid w:val="00D97816"/>
    <w:rsid w:val="00DA6919"/>
    <w:rsid w:val="00DA72D2"/>
    <w:rsid w:val="00DB1E41"/>
    <w:rsid w:val="00DB1E9F"/>
    <w:rsid w:val="00DB5D94"/>
    <w:rsid w:val="00DB629F"/>
    <w:rsid w:val="00DB6F2E"/>
    <w:rsid w:val="00DC1637"/>
    <w:rsid w:val="00DC4835"/>
    <w:rsid w:val="00DC4B0F"/>
    <w:rsid w:val="00DD02F0"/>
    <w:rsid w:val="00DD253A"/>
    <w:rsid w:val="00DD2A13"/>
    <w:rsid w:val="00DD30AE"/>
    <w:rsid w:val="00DD320E"/>
    <w:rsid w:val="00DD5A15"/>
    <w:rsid w:val="00DD63D1"/>
    <w:rsid w:val="00DE1C48"/>
    <w:rsid w:val="00DE229D"/>
    <w:rsid w:val="00DE42B6"/>
    <w:rsid w:val="00DE447E"/>
    <w:rsid w:val="00DE574A"/>
    <w:rsid w:val="00DE5C51"/>
    <w:rsid w:val="00DE5D7A"/>
    <w:rsid w:val="00DE76AA"/>
    <w:rsid w:val="00DF0592"/>
    <w:rsid w:val="00DF17BD"/>
    <w:rsid w:val="00DF1C33"/>
    <w:rsid w:val="00DF2AA2"/>
    <w:rsid w:val="00DF407B"/>
    <w:rsid w:val="00DF5A95"/>
    <w:rsid w:val="00DF65B8"/>
    <w:rsid w:val="00E02F44"/>
    <w:rsid w:val="00E133F3"/>
    <w:rsid w:val="00E17EC6"/>
    <w:rsid w:val="00E21F2E"/>
    <w:rsid w:val="00E243EA"/>
    <w:rsid w:val="00E248BF"/>
    <w:rsid w:val="00E264DE"/>
    <w:rsid w:val="00E356A4"/>
    <w:rsid w:val="00E37A09"/>
    <w:rsid w:val="00E427A7"/>
    <w:rsid w:val="00E44FED"/>
    <w:rsid w:val="00E45699"/>
    <w:rsid w:val="00E46010"/>
    <w:rsid w:val="00E468F2"/>
    <w:rsid w:val="00E47976"/>
    <w:rsid w:val="00E50878"/>
    <w:rsid w:val="00E5460E"/>
    <w:rsid w:val="00E5467A"/>
    <w:rsid w:val="00E54DE8"/>
    <w:rsid w:val="00E5512F"/>
    <w:rsid w:val="00E65006"/>
    <w:rsid w:val="00E651D7"/>
    <w:rsid w:val="00E7253E"/>
    <w:rsid w:val="00E84F84"/>
    <w:rsid w:val="00E9037D"/>
    <w:rsid w:val="00E970DA"/>
    <w:rsid w:val="00E97DB5"/>
    <w:rsid w:val="00EA3466"/>
    <w:rsid w:val="00EA46CF"/>
    <w:rsid w:val="00EB2893"/>
    <w:rsid w:val="00EB3C0D"/>
    <w:rsid w:val="00EB73C0"/>
    <w:rsid w:val="00EC07E0"/>
    <w:rsid w:val="00EC1256"/>
    <w:rsid w:val="00EC2A73"/>
    <w:rsid w:val="00EC405D"/>
    <w:rsid w:val="00EC521D"/>
    <w:rsid w:val="00ED265E"/>
    <w:rsid w:val="00EE2147"/>
    <w:rsid w:val="00EE2C5A"/>
    <w:rsid w:val="00EE3E61"/>
    <w:rsid w:val="00EE58B6"/>
    <w:rsid w:val="00EE6925"/>
    <w:rsid w:val="00EE76E2"/>
    <w:rsid w:val="00EF5C07"/>
    <w:rsid w:val="00EF6273"/>
    <w:rsid w:val="00F025B5"/>
    <w:rsid w:val="00F02A26"/>
    <w:rsid w:val="00F0747C"/>
    <w:rsid w:val="00F07761"/>
    <w:rsid w:val="00F12F0A"/>
    <w:rsid w:val="00F13E84"/>
    <w:rsid w:val="00F16BA6"/>
    <w:rsid w:val="00F17978"/>
    <w:rsid w:val="00F2716F"/>
    <w:rsid w:val="00F27640"/>
    <w:rsid w:val="00F30168"/>
    <w:rsid w:val="00F32A8D"/>
    <w:rsid w:val="00F41848"/>
    <w:rsid w:val="00F42F81"/>
    <w:rsid w:val="00F458C4"/>
    <w:rsid w:val="00F467E0"/>
    <w:rsid w:val="00F5238D"/>
    <w:rsid w:val="00F52F89"/>
    <w:rsid w:val="00F56A34"/>
    <w:rsid w:val="00F6386E"/>
    <w:rsid w:val="00F63E12"/>
    <w:rsid w:val="00F67D5D"/>
    <w:rsid w:val="00F71782"/>
    <w:rsid w:val="00F7465D"/>
    <w:rsid w:val="00F74DDC"/>
    <w:rsid w:val="00F7678D"/>
    <w:rsid w:val="00F81D52"/>
    <w:rsid w:val="00F820D0"/>
    <w:rsid w:val="00F8215C"/>
    <w:rsid w:val="00F82E63"/>
    <w:rsid w:val="00F86176"/>
    <w:rsid w:val="00F90F8C"/>
    <w:rsid w:val="00F910E7"/>
    <w:rsid w:val="00F9203F"/>
    <w:rsid w:val="00F94EDC"/>
    <w:rsid w:val="00F9577B"/>
    <w:rsid w:val="00FA2EB5"/>
    <w:rsid w:val="00FA6071"/>
    <w:rsid w:val="00FA652C"/>
    <w:rsid w:val="00FA7A09"/>
    <w:rsid w:val="00FB075F"/>
    <w:rsid w:val="00FB2F69"/>
    <w:rsid w:val="00FC0DBA"/>
    <w:rsid w:val="00FC2F2A"/>
    <w:rsid w:val="00FC2FE2"/>
    <w:rsid w:val="00FC3815"/>
    <w:rsid w:val="00FC445B"/>
    <w:rsid w:val="00FC476B"/>
    <w:rsid w:val="00FC5178"/>
    <w:rsid w:val="00FD18B7"/>
    <w:rsid w:val="00FD76D1"/>
    <w:rsid w:val="00FE011A"/>
    <w:rsid w:val="00FE20C6"/>
    <w:rsid w:val="00FF7893"/>
    <w:rsid w:val="015E1342"/>
    <w:rsid w:val="016814B1"/>
    <w:rsid w:val="01AA7872"/>
    <w:rsid w:val="01ED3A08"/>
    <w:rsid w:val="021D229B"/>
    <w:rsid w:val="02533F0F"/>
    <w:rsid w:val="02581525"/>
    <w:rsid w:val="025E3D06"/>
    <w:rsid w:val="02907D0A"/>
    <w:rsid w:val="02CE2CB2"/>
    <w:rsid w:val="02D44EAD"/>
    <w:rsid w:val="031A4A2D"/>
    <w:rsid w:val="035840B8"/>
    <w:rsid w:val="036F15FB"/>
    <w:rsid w:val="0371289F"/>
    <w:rsid w:val="03B60BF9"/>
    <w:rsid w:val="03C03826"/>
    <w:rsid w:val="042A6EF2"/>
    <w:rsid w:val="044551EB"/>
    <w:rsid w:val="0447133F"/>
    <w:rsid w:val="045D72C7"/>
    <w:rsid w:val="04710A64"/>
    <w:rsid w:val="04820D65"/>
    <w:rsid w:val="048C212A"/>
    <w:rsid w:val="04A92FF6"/>
    <w:rsid w:val="04CD082D"/>
    <w:rsid w:val="04D806FC"/>
    <w:rsid w:val="04D8694E"/>
    <w:rsid w:val="04EA3016"/>
    <w:rsid w:val="052F5C3B"/>
    <w:rsid w:val="058552B3"/>
    <w:rsid w:val="05D2339D"/>
    <w:rsid w:val="06020126"/>
    <w:rsid w:val="060542FA"/>
    <w:rsid w:val="06187544"/>
    <w:rsid w:val="06426774"/>
    <w:rsid w:val="064761C9"/>
    <w:rsid w:val="06783F44"/>
    <w:rsid w:val="06822E33"/>
    <w:rsid w:val="06D179F8"/>
    <w:rsid w:val="06E72E78"/>
    <w:rsid w:val="0741502D"/>
    <w:rsid w:val="0748600C"/>
    <w:rsid w:val="07695AA4"/>
    <w:rsid w:val="076F3599"/>
    <w:rsid w:val="082223BA"/>
    <w:rsid w:val="084D40BF"/>
    <w:rsid w:val="08525F25"/>
    <w:rsid w:val="0855058C"/>
    <w:rsid w:val="08666BF7"/>
    <w:rsid w:val="08AF5C17"/>
    <w:rsid w:val="08B17BE1"/>
    <w:rsid w:val="08C6543B"/>
    <w:rsid w:val="08D15B8E"/>
    <w:rsid w:val="0928694E"/>
    <w:rsid w:val="09A6526C"/>
    <w:rsid w:val="09BC6115"/>
    <w:rsid w:val="09BE5E69"/>
    <w:rsid w:val="09F63AFE"/>
    <w:rsid w:val="0A257792"/>
    <w:rsid w:val="0A311903"/>
    <w:rsid w:val="0A6F5566"/>
    <w:rsid w:val="0B3348DE"/>
    <w:rsid w:val="0B905282"/>
    <w:rsid w:val="0B971310"/>
    <w:rsid w:val="0B9730BE"/>
    <w:rsid w:val="0BE35DA5"/>
    <w:rsid w:val="0BF40511"/>
    <w:rsid w:val="0C4F5747"/>
    <w:rsid w:val="0C72601A"/>
    <w:rsid w:val="0C7A51F4"/>
    <w:rsid w:val="0C8B02FF"/>
    <w:rsid w:val="0C917B0E"/>
    <w:rsid w:val="0CAA5073"/>
    <w:rsid w:val="0CB85844"/>
    <w:rsid w:val="0CBF1D46"/>
    <w:rsid w:val="0CCA1272"/>
    <w:rsid w:val="0CE41AC4"/>
    <w:rsid w:val="0D251254"/>
    <w:rsid w:val="0D505C1B"/>
    <w:rsid w:val="0D613488"/>
    <w:rsid w:val="0DCD3B4B"/>
    <w:rsid w:val="0DD4230C"/>
    <w:rsid w:val="0E8536A2"/>
    <w:rsid w:val="0EAB6CCE"/>
    <w:rsid w:val="0FC1070A"/>
    <w:rsid w:val="10005E95"/>
    <w:rsid w:val="100B5E29"/>
    <w:rsid w:val="10326AAF"/>
    <w:rsid w:val="10335C69"/>
    <w:rsid w:val="106F460A"/>
    <w:rsid w:val="1073769E"/>
    <w:rsid w:val="10BE3CB5"/>
    <w:rsid w:val="10D64689"/>
    <w:rsid w:val="112D11B0"/>
    <w:rsid w:val="11570513"/>
    <w:rsid w:val="11773F20"/>
    <w:rsid w:val="117D2D56"/>
    <w:rsid w:val="11BD409D"/>
    <w:rsid w:val="12323B41"/>
    <w:rsid w:val="12957C2C"/>
    <w:rsid w:val="1299479A"/>
    <w:rsid w:val="12AA5BB5"/>
    <w:rsid w:val="12B941B2"/>
    <w:rsid w:val="12C81DAF"/>
    <w:rsid w:val="12D06EB6"/>
    <w:rsid w:val="130E398D"/>
    <w:rsid w:val="13187776"/>
    <w:rsid w:val="13645F7C"/>
    <w:rsid w:val="13DA7FEC"/>
    <w:rsid w:val="14443CD0"/>
    <w:rsid w:val="14661C91"/>
    <w:rsid w:val="147A00A2"/>
    <w:rsid w:val="147F4F22"/>
    <w:rsid w:val="14E82BDD"/>
    <w:rsid w:val="1526760E"/>
    <w:rsid w:val="1588503E"/>
    <w:rsid w:val="15A5466A"/>
    <w:rsid w:val="15C947BC"/>
    <w:rsid w:val="15D22C36"/>
    <w:rsid w:val="15FD6214"/>
    <w:rsid w:val="1626782C"/>
    <w:rsid w:val="1666200B"/>
    <w:rsid w:val="167D1103"/>
    <w:rsid w:val="169244AA"/>
    <w:rsid w:val="169B1DC3"/>
    <w:rsid w:val="16A732A3"/>
    <w:rsid w:val="16AA46FD"/>
    <w:rsid w:val="16D8510C"/>
    <w:rsid w:val="16DC04F7"/>
    <w:rsid w:val="1707445B"/>
    <w:rsid w:val="170F61FF"/>
    <w:rsid w:val="17401284"/>
    <w:rsid w:val="17691333"/>
    <w:rsid w:val="176C179B"/>
    <w:rsid w:val="179662E5"/>
    <w:rsid w:val="17D567AE"/>
    <w:rsid w:val="17E86BCC"/>
    <w:rsid w:val="17F61E31"/>
    <w:rsid w:val="17F6314D"/>
    <w:rsid w:val="17FB2C27"/>
    <w:rsid w:val="18245CDA"/>
    <w:rsid w:val="186802BC"/>
    <w:rsid w:val="186B56B7"/>
    <w:rsid w:val="189E728F"/>
    <w:rsid w:val="18B828C6"/>
    <w:rsid w:val="18CE3052"/>
    <w:rsid w:val="18EB4081"/>
    <w:rsid w:val="190653E0"/>
    <w:rsid w:val="190873AA"/>
    <w:rsid w:val="193163BA"/>
    <w:rsid w:val="19376C13"/>
    <w:rsid w:val="193F59E1"/>
    <w:rsid w:val="19404D95"/>
    <w:rsid w:val="19614D0C"/>
    <w:rsid w:val="19D61D4C"/>
    <w:rsid w:val="19D62058"/>
    <w:rsid w:val="1A197394"/>
    <w:rsid w:val="1A3B730B"/>
    <w:rsid w:val="1A8B2040"/>
    <w:rsid w:val="1A8C7B66"/>
    <w:rsid w:val="1A9B7FF4"/>
    <w:rsid w:val="1AB21997"/>
    <w:rsid w:val="1ABC2607"/>
    <w:rsid w:val="1B285AE1"/>
    <w:rsid w:val="1B9A62B3"/>
    <w:rsid w:val="1BFE7EA1"/>
    <w:rsid w:val="1C4526C3"/>
    <w:rsid w:val="1C60574F"/>
    <w:rsid w:val="1C6C2CF5"/>
    <w:rsid w:val="1C8C5BBE"/>
    <w:rsid w:val="1CBD5269"/>
    <w:rsid w:val="1CE046C9"/>
    <w:rsid w:val="1D4B3D09"/>
    <w:rsid w:val="1D924F95"/>
    <w:rsid w:val="1DCA10D2"/>
    <w:rsid w:val="1DFE6FCD"/>
    <w:rsid w:val="1E0A0261"/>
    <w:rsid w:val="1E4D5A5B"/>
    <w:rsid w:val="1E7D6144"/>
    <w:rsid w:val="1E877D62"/>
    <w:rsid w:val="1EA90CE7"/>
    <w:rsid w:val="1EB37DB8"/>
    <w:rsid w:val="1EDD6BE3"/>
    <w:rsid w:val="1F303070"/>
    <w:rsid w:val="1F464788"/>
    <w:rsid w:val="1F4956E7"/>
    <w:rsid w:val="1F4C1F2D"/>
    <w:rsid w:val="1F563A6A"/>
    <w:rsid w:val="1FBC4B02"/>
    <w:rsid w:val="1FDD539E"/>
    <w:rsid w:val="20315438"/>
    <w:rsid w:val="20817CFF"/>
    <w:rsid w:val="20A95B67"/>
    <w:rsid w:val="20D01929"/>
    <w:rsid w:val="21515F0F"/>
    <w:rsid w:val="215F4227"/>
    <w:rsid w:val="21BE2CFB"/>
    <w:rsid w:val="21C6753E"/>
    <w:rsid w:val="21F1456A"/>
    <w:rsid w:val="22237002"/>
    <w:rsid w:val="22A068A5"/>
    <w:rsid w:val="236B6EB3"/>
    <w:rsid w:val="238910E7"/>
    <w:rsid w:val="23907F76"/>
    <w:rsid w:val="23BB6CF2"/>
    <w:rsid w:val="23C6233B"/>
    <w:rsid w:val="23E40A13"/>
    <w:rsid w:val="23E46C65"/>
    <w:rsid w:val="2401385A"/>
    <w:rsid w:val="24955D86"/>
    <w:rsid w:val="24D82326"/>
    <w:rsid w:val="24DD5B8E"/>
    <w:rsid w:val="24F844DE"/>
    <w:rsid w:val="251A0B90"/>
    <w:rsid w:val="252268A0"/>
    <w:rsid w:val="252C08C4"/>
    <w:rsid w:val="25627001"/>
    <w:rsid w:val="256E67E6"/>
    <w:rsid w:val="25712AAB"/>
    <w:rsid w:val="258355DC"/>
    <w:rsid w:val="25E47FA0"/>
    <w:rsid w:val="25F62B6B"/>
    <w:rsid w:val="260C2602"/>
    <w:rsid w:val="26211AAB"/>
    <w:rsid w:val="26260C6B"/>
    <w:rsid w:val="26D11ECF"/>
    <w:rsid w:val="26D92385"/>
    <w:rsid w:val="26D93B30"/>
    <w:rsid w:val="26FF2292"/>
    <w:rsid w:val="273916EB"/>
    <w:rsid w:val="275601EF"/>
    <w:rsid w:val="27EF6F7C"/>
    <w:rsid w:val="27F02960"/>
    <w:rsid w:val="28373807"/>
    <w:rsid w:val="28377363"/>
    <w:rsid w:val="28836A4D"/>
    <w:rsid w:val="28FB4835"/>
    <w:rsid w:val="29733248"/>
    <w:rsid w:val="298D4039"/>
    <w:rsid w:val="299C31FE"/>
    <w:rsid w:val="29A15228"/>
    <w:rsid w:val="29B42C36"/>
    <w:rsid w:val="29EA2E8A"/>
    <w:rsid w:val="2A263B34"/>
    <w:rsid w:val="2A443FBA"/>
    <w:rsid w:val="2A5160CD"/>
    <w:rsid w:val="2A7C35F0"/>
    <w:rsid w:val="2B09278D"/>
    <w:rsid w:val="2B281DF4"/>
    <w:rsid w:val="2B4D7BA9"/>
    <w:rsid w:val="2B666A52"/>
    <w:rsid w:val="2B786611"/>
    <w:rsid w:val="2B9A19FE"/>
    <w:rsid w:val="2BC173D4"/>
    <w:rsid w:val="2BF73439"/>
    <w:rsid w:val="2C1557A2"/>
    <w:rsid w:val="2C3E68FC"/>
    <w:rsid w:val="2C46226B"/>
    <w:rsid w:val="2C9009DD"/>
    <w:rsid w:val="2C991A37"/>
    <w:rsid w:val="2CAF6062"/>
    <w:rsid w:val="2D460049"/>
    <w:rsid w:val="2D7F7E73"/>
    <w:rsid w:val="2DAD7088"/>
    <w:rsid w:val="2DD45655"/>
    <w:rsid w:val="2DED132C"/>
    <w:rsid w:val="2DF342A1"/>
    <w:rsid w:val="2E3552EF"/>
    <w:rsid w:val="2E5E26CA"/>
    <w:rsid w:val="2E613BA4"/>
    <w:rsid w:val="2E7C6418"/>
    <w:rsid w:val="2ED7364E"/>
    <w:rsid w:val="2EEE6260"/>
    <w:rsid w:val="2EEF0DDF"/>
    <w:rsid w:val="2EFF0FAA"/>
    <w:rsid w:val="2F0E4B96"/>
    <w:rsid w:val="2F5051AF"/>
    <w:rsid w:val="2F754C15"/>
    <w:rsid w:val="2F911BA3"/>
    <w:rsid w:val="2FD47E0E"/>
    <w:rsid w:val="2FE53B49"/>
    <w:rsid w:val="2FF26266"/>
    <w:rsid w:val="3076462C"/>
    <w:rsid w:val="30E450AD"/>
    <w:rsid w:val="30E62F57"/>
    <w:rsid w:val="30FD3114"/>
    <w:rsid w:val="31494095"/>
    <w:rsid w:val="317759AD"/>
    <w:rsid w:val="317F0D23"/>
    <w:rsid w:val="318178A1"/>
    <w:rsid w:val="31860D2E"/>
    <w:rsid w:val="319F5F79"/>
    <w:rsid w:val="31D53B98"/>
    <w:rsid w:val="31F33DF2"/>
    <w:rsid w:val="31FB3AF8"/>
    <w:rsid w:val="321E23C8"/>
    <w:rsid w:val="32240CD2"/>
    <w:rsid w:val="32392EE7"/>
    <w:rsid w:val="323C0139"/>
    <w:rsid w:val="326339AB"/>
    <w:rsid w:val="328D70FE"/>
    <w:rsid w:val="329F0927"/>
    <w:rsid w:val="32C4213C"/>
    <w:rsid w:val="32CD082B"/>
    <w:rsid w:val="33150BE9"/>
    <w:rsid w:val="331F7372"/>
    <w:rsid w:val="333B1B0A"/>
    <w:rsid w:val="333F5C66"/>
    <w:rsid w:val="338E0757"/>
    <w:rsid w:val="33B10912"/>
    <w:rsid w:val="33B739EB"/>
    <w:rsid w:val="33C7653D"/>
    <w:rsid w:val="33FD5E2E"/>
    <w:rsid w:val="340F73E6"/>
    <w:rsid w:val="342015F4"/>
    <w:rsid w:val="349F46D3"/>
    <w:rsid w:val="34CD586F"/>
    <w:rsid w:val="34F66E13"/>
    <w:rsid w:val="353B24CA"/>
    <w:rsid w:val="35893A5D"/>
    <w:rsid w:val="359202CF"/>
    <w:rsid w:val="35A00A4E"/>
    <w:rsid w:val="35AF7C43"/>
    <w:rsid w:val="35F04FF6"/>
    <w:rsid w:val="36003092"/>
    <w:rsid w:val="36443DC1"/>
    <w:rsid w:val="364F3991"/>
    <w:rsid w:val="368469E1"/>
    <w:rsid w:val="369B1405"/>
    <w:rsid w:val="36C00E6C"/>
    <w:rsid w:val="371D1E1A"/>
    <w:rsid w:val="372169DA"/>
    <w:rsid w:val="37245D3F"/>
    <w:rsid w:val="37441B27"/>
    <w:rsid w:val="378753AD"/>
    <w:rsid w:val="379D6BDA"/>
    <w:rsid w:val="386E4AA6"/>
    <w:rsid w:val="389B749B"/>
    <w:rsid w:val="38DC4DE1"/>
    <w:rsid w:val="38F32A23"/>
    <w:rsid w:val="39096B3B"/>
    <w:rsid w:val="390B0342"/>
    <w:rsid w:val="390E5B80"/>
    <w:rsid w:val="391B5E6A"/>
    <w:rsid w:val="392865F9"/>
    <w:rsid w:val="39490F75"/>
    <w:rsid w:val="39B3294D"/>
    <w:rsid w:val="39CB1823"/>
    <w:rsid w:val="39CB7DBD"/>
    <w:rsid w:val="3A4B038F"/>
    <w:rsid w:val="3A565BD7"/>
    <w:rsid w:val="3AA36ADA"/>
    <w:rsid w:val="3ABE1CC4"/>
    <w:rsid w:val="3AD14381"/>
    <w:rsid w:val="3AD273C0"/>
    <w:rsid w:val="3AFB0BAF"/>
    <w:rsid w:val="3B0D3370"/>
    <w:rsid w:val="3B266377"/>
    <w:rsid w:val="3B3B31B7"/>
    <w:rsid w:val="3B4863B5"/>
    <w:rsid w:val="3B895CD0"/>
    <w:rsid w:val="3BA66882"/>
    <w:rsid w:val="3BBD1E1E"/>
    <w:rsid w:val="3BBF16F2"/>
    <w:rsid w:val="3C017F5D"/>
    <w:rsid w:val="3C7B7D0F"/>
    <w:rsid w:val="3C8A1488"/>
    <w:rsid w:val="3CAB7EC8"/>
    <w:rsid w:val="3CDE4E19"/>
    <w:rsid w:val="3D043BC6"/>
    <w:rsid w:val="3D0D3457"/>
    <w:rsid w:val="3D3F6A52"/>
    <w:rsid w:val="3D513BA1"/>
    <w:rsid w:val="3DAB2EE2"/>
    <w:rsid w:val="3DB00644"/>
    <w:rsid w:val="3E2972F7"/>
    <w:rsid w:val="3E9E7CE5"/>
    <w:rsid w:val="3EB27E08"/>
    <w:rsid w:val="3EC15781"/>
    <w:rsid w:val="3ECE5B93"/>
    <w:rsid w:val="3EF101E4"/>
    <w:rsid w:val="3EF26D83"/>
    <w:rsid w:val="3F3F3C49"/>
    <w:rsid w:val="3F4F7231"/>
    <w:rsid w:val="3F6902F3"/>
    <w:rsid w:val="3F697094"/>
    <w:rsid w:val="3FA11B9E"/>
    <w:rsid w:val="3FBC7B83"/>
    <w:rsid w:val="3FC91B19"/>
    <w:rsid w:val="3FE20CE2"/>
    <w:rsid w:val="401915C7"/>
    <w:rsid w:val="40D30C94"/>
    <w:rsid w:val="41061B71"/>
    <w:rsid w:val="412344D1"/>
    <w:rsid w:val="42312C1E"/>
    <w:rsid w:val="426879EA"/>
    <w:rsid w:val="426D61F9"/>
    <w:rsid w:val="42A653BA"/>
    <w:rsid w:val="42B37EC6"/>
    <w:rsid w:val="42C52E01"/>
    <w:rsid w:val="42E5365A"/>
    <w:rsid w:val="43326EBF"/>
    <w:rsid w:val="43416AEA"/>
    <w:rsid w:val="434313ED"/>
    <w:rsid w:val="43794A7C"/>
    <w:rsid w:val="43D146B8"/>
    <w:rsid w:val="43FB7987"/>
    <w:rsid w:val="440E36ED"/>
    <w:rsid w:val="441139AC"/>
    <w:rsid w:val="44444E8A"/>
    <w:rsid w:val="448F5357"/>
    <w:rsid w:val="44CB16E6"/>
    <w:rsid w:val="44D34B3F"/>
    <w:rsid w:val="44D37FBC"/>
    <w:rsid w:val="44D65EDB"/>
    <w:rsid w:val="44E64193"/>
    <w:rsid w:val="45052509"/>
    <w:rsid w:val="454E0BE0"/>
    <w:rsid w:val="454F7F8B"/>
    <w:rsid w:val="455C4456"/>
    <w:rsid w:val="464E0242"/>
    <w:rsid w:val="46902609"/>
    <w:rsid w:val="46B04B93"/>
    <w:rsid w:val="46C86EF4"/>
    <w:rsid w:val="47694C08"/>
    <w:rsid w:val="477B540D"/>
    <w:rsid w:val="47A3653C"/>
    <w:rsid w:val="47E02BCF"/>
    <w:rsid w:val="481D46A7"/>
    <w:rsid w:val="483E5F26"/>
    <w:rsid w:val="487969FF"/>
    <w:rsid w:val="489F4D85"/>
    <w:rsid w:val="48B42733"/>
    <w:rsid w:val="48B63E7D"/>
    <w:rsid w:val="48D9333D"/>
    <w:rsid w:val="49217E1E"/>
    <w:rsid w:val="493E0716"/>
    <w:rsid w:val="497756A4"/>
    <w:rsid w:val="499E09AD"/>
    <w:rsid w:val="49CC562F"/>
    <w:rsid w:val="4A011472"/>
    <w:rsid w:val="4A1C51FB"/>
    <w:rsid w:val="4A8A736F"/>
    <w:rsid w:val="4AAD305D"/>
    <w:rsid w:val="4AF40C8C"/>
    <w:rsid w:val="4B6A1A9E"/>
    <w:rsid w:val="4B6C2AE7"/>
    <w:rsid w:val="4B943616"/>
    <w:rsid w:val="4BC77BFA"/>
    <w:rsid w:val="4BD42F98"/>
    <w:rsid w:val="4BD765E4"/>
    <w:rsid w:val="4BDC3BFA"/>
    <w:rsid w:val="4C6E4BBE"/>
    <w:rsid w:val="4C9330D2"/>
    <w:rsid w:val="4C99201E"/>
    <w:rsid w:val="4D072248"/>
    <w:rsid w:val="4D1B69A4"/>
    <w:rsid w:val="4D270667"/>
    <w:rsid w:val="4D292E6F"/>
    <w:rsid w:val="4D5B7E6E"/>
    <w:rsid w:val="4D5C3245"/>
    <w:rsid w:val="4D64034B"/>
    <w:rsid w:val="4D9C7AE5"/>
    <w:rsid w:val="4DA772A9"/>
    <w:rsid w:val="4DE656F0"/>
    <w:rsid w:val="4DFC4A28"/>
    <w:rsid w:val="4ECF3EEA"/>
    <w:rsid w:val="4F3D157E"/>
    <w:rsid w:val="4F905428"/>
    <w:rsid w:val="4FC27B2B"/>
    <w:rsid w:val="505226DD"/>
    <w:rsid w:val="50712142"/>
    <w:rsid w:val="507B419E"/>
    <w:rsid w:val="512C1180"/>
    <w:rsid w:val="5151508A"/>
    <w:rsid w:val="51A8671B"/>
    <w:rsid w:val="52351C92"/>
    <w:rsid w:val="523D4A81"/>
    <w:rsid w:val="525F7333"/>
    <w:rsid w:val="52E66DAD"/>
    <w:rsid w:val="530D6D8F"/>
    <w:rsid w:val="53171619"/>
    <w:rsid w:val="53542C10"/>
    <w:rsid w:val="5374316B"/>
    <w:rsid w:val="543640C4"/>
    <w:rsid w:val="545B2F59"/>
    <w:rsid w:val="54770964"/>
    <w:rsid w:val="54820F50"/>
    <w:rsid w:val="54A454D1"/>
    <w:rsid w:val="54B75204"/>
    <w:rsid w:val="55202DAA"/>
    <w:rsid w:val="557422B1"/>
    <w:rsid w:val="55AF05D2"/>
    <w:rsid w:val="55F8121C"/>
    <w:rsid w:val="56130B60"/>
    <w:rsid w:val="565F5B54"/>
    <w:rsid w:val="56715CDD"/>
    <w:rsid w:val="56CC08DA"/>
    <w:rsid w:val="570356C7"/>
    <w:rsid w:val="57300955"/>
    <w:rsid w:val="57757D1E"/>
    <w:rsid w:val="577A6D5E"/>
    <w:rsid w:val="57AF1E17"/>
    <w:rsid w:val="57BB4783"/>
    <w:rsid w:val="57EA7801"/>
    <w:rsid w:val="581E008B"/>
    <w:rsid w:val="582E3A30"/>
    <w:rsid w:val="58426929"/>
    <w:rsid w:val="58562F86"/>
    <w:rsid w:val="587A7E63"/>
    <w:rsid w:val="58AB42E3"/>
    <w:rsid w:val="58C61EBA"/>
    <w:rsid w:val="5903310E"/>
    <w:rsid w:val="5906759F"/>
    <w:rsid w:val="590B5B1F"/>
    <w:rsid w:val="59171737"/>
    <w:rsid w:val="59341C6D"/>
    <w:rsid w:val="599A6BC1"/>
    <w:rsid w:val="5A0E5D14"/>
    <w:rsid w:val="5A0F6138"/>
    <w:rsid w:val="5A9A53AC"/>
    <w:rsid w:val="5AD05272"/>
    <w:rsid w:val="5B044F1C"/>
    <w:rsid w:val="5B0B44FC"/>
    <w:rsid w:val="5B1918FA"/>
    <w:rsid w:val="5B1C04B7"/>
    <w:rsid w:val="5B4272BF"/>
    <w:rsid w:val="5B5F6EAE"/>
    <w:rsid w:val="5B767BC7"/>
    <w:rsid w:val="5BDB5C7C"/>
    <w:rsid w:val="5C034DDA"/>
    <w:rsid w:val="5C0F5926"/>
    <w:rsid w:val="5C29540E"/>
    <w:rsid w:val="5C522F78"/>
    <w:rsid w:val="5CA86351"/>
    <w:rsid w:val="5CB87D6C"/>
    <w:rsid w:val="5CCA1947"/>
    <w:rsid w:val="5CCB6BB1"/>
    <w:rsid w:val="5CDD77D2"/>
    <w:rsid w:val="5CE26FEB"/>
    <w:rsid w:val="5CEB0141"/>
    <w:rsid w:val="5D0749D1"/>
    <w:rsid w:val="5D243653"/>
    <w:rsid w:val="5D43061D"/>
    <w:rsid w:val="5D861C18"/>
    <w:rsid w:val="5D891708"/>
    <w:rsid w:val="5DA85049"/>
    <w:rsid w:val="5DE057B4"/>
    <w:rsid w:val="5DFB1B13"/>
    <w:rsid w:val="5E1973BD"/>
    <w:rsid w:val="5E2507EE"/>
    <w:rsid w:val="5E274671"/>
    <w:rsid w:val="5E532442"/>
    <w:rsid w:val="5E685DE5"/>
    <w:rsid w:val="5E824AD5"/>
    <w:rsid w:val="5EB01642"/>
    <w:rsid w:val="5EBB1968"/>
    <w:rsid w:val="5EC23F5D"/>
    <w:rsid w:val="5F166FCB"/>
    <w:rsid w:val="5F21609C"/>
    <w:rsid w:val="5F2E2567"/>
    <w:rsid w:val="5F313E05"/>
    <w:rsid w:val="5F8535C9"/>
    <w:rsid w:val="5F993BEE"/>
    <w:rsid w:val="5FB4218C"/>
    <w:rsid w:val="5FE01AB3"/>
    <w:rsid w:val="5FE61094"/>
    <w:rsid w:val="60895068"/>
    <w:rsid w:val="60BD7BA0"/>
    <w:rsid w:val="60DE6B07"/>
    <w:rsid w:val="610010CC"/>
    <w:rsid w:val="61256752"/>
    <w:rsid w:val="617C3A5E"/>
    <w:rsid w:val="618B3B57"/>
    <w:rsid w:val="61A3440B"/>
    <w:rsid w:val="61F44B90"/>
    <w:rsid w:val="626B11E6"/>
    <w:rsid w:val="62CF1BC2"/>
    <w:rsid w:val="62FB05C2"/>
    <w:rsid w:val="63047520"/>
    <w:rsid w:val="630C44AD"/>
    <w:rsid w:val="635A392B"/>
    <w:rsid w:val="63732C3E"/>
    <w:rsid w:val="63920794"/>
    <w:rsid w:val="63D23E09"/>
    <w:rsid w:val="63EB6C79"/>
    <w:rsid w:val="63F45AFA"/>
    <w:rsid w:val="63F703B7"/>
    <w:rsid w:val="63FE17EF"/>
    <w:rsid w:val="64403325"/>
    <w:rsid w:val="646F1658"/>
    <w:rsid w:val="647D59F7"/>
    <w:rsid w:val="64805613"/>
    <w:rsid w:val="64CC32C3"/>
    <w:rsid w:val="64D4464D"/>
    <w:rsid w:val="64E334B6"/>
    <w:rsid w:val="64E4310C"/>
    <w:rsid w:val="64EC2CA8"/>
    <w:rsid w:val="650A1380"/>
    <w:rsid w:val="65461C48"/>
    <w:rsid w:val="65B451A1"/>
    <w:rsid w:val="65C23A09"/>
    <w:rsid w:val="65F7333E"/>
    <w:rsid w:val="65FC6944"/>
    <w:rsid w:val="66613222"/>
    <w:rsid w:val="66880F48"/>
    <w:rsid w:val="66915BCA"/>
    <w:rsid w:val="66C445EA"/>
    <w:rsid w:val="66DE0D17"/>
    <w:rsid w:val="66F033E8"/>
    <w:rsid w:val="67486779"/>
    <w:rsid w:val="677220A2"/>
    <w:rsid w:val="67E92570"/>
    <w:rsid w:val="681B76E7"/>
    <w:rsid w:val="68294213"/>
    <w:rsid w:val="685227EA"/>
    <w:rsid w:val="68891DE6"/>
    <w:rsid w:val="68BE20AE"/>
    <w:rsid w:val="68EE738C"/>
    <w:rsid w:val="691D0F49"/>
    <w:rsid w:val="693D2E16"/>
    <w:rsid w:val="69431305"/>
    <w:rsid w:val="69696A17"/>
    <w:rsid w:val="69950AD8"/>
    <w:rsid w:val="69E228CC"/>
    <w:rsid w:val="69F0323B"/>
    <w:rsid w:val="6A5C442C"/>
    <w:rsid w:val="6B3C01C5"/>
    <w:rsid w:val="6B3E3B32"/>
    <w:rsid w:val="6B48013F"/>
    <w:rsid w:val="6B813803"/>
    <w:rsid w:val="6BB91D5D"/>
    <w:rsid w:val="6BF17448"/>
    <w:rsid w:val="6C060AF4"/>
    <w:rsid w:val="6C2B3C4B"/>
    <w:rsid w:val="6C3A618C"/>
    <w:rsid w:val="6C5138E7"/>
    <w:rsid w:val="6C7041BF"/>
    <w:rsid w:val="6CA81F23"/>
    <w:rsid w:val="6CCE444C"/>
    <w:rsid w:val="6D0668D1"/>
    <w:rsid w:val="6D1C6AA2"/>
    <w:rsid w:val="6D2C27DC"/>
    <w:rsid w:val="6D886761"/>
    <w:rsid w:val="6DA92C5D"/>
    <w:rsid w:val="6DEC4EA2"/>
    <w:rsid w:val="6E0911EF"/>
    <w:rsid w:val="6E7F57E7"/>
    <w:rsid w:val="6EB43F07"/>
    <w:rsid w:val="6EB74811"/>
    <w:rsid w:val="6EBB2185"/>
    <w:rsid w:val="6EF37212"/>
    <w:rsid w:val="6F046E40"/>
    <w:rsid w:val="6F35349E"/>
    <w:rsid w:val="6F394D8D"/>
    <w:rsid w:val="6F8429E5"/>
    <w:rsid w:val="6FD26F3F"/>
    <w:rsid w:val="6FE50894"/>
    <w:rsid w:val="70392D95"/>
    <w:rsid w:val="704559D6"/>
    <w:rsid w:val="708D6B50"/>
    <w:rsid w:val="709D505A"/>
    <w:rsid w:val="709D6A76"/>
    <w:rsid w:val="70B013DA"/>
    <w:rsid w:val="712832BA"/>
    <w:rsid w:val="71306613"/>
    <w:rsid w:val="7133409F"/>
    <w:rsid w:val="7147054A"/>
    <w:rsid w:val="716167CC"/>
    <w:rsid w:val="71793E85"/>
    <w:rsid w:val="71824F76"/>
    <w:rsid w:val="71871F2A"/>
    <w:rsid w:val="718A6B4A"/>
    <w:rsid w:val="71CF5C3A"/>
    <w:rsid w:val="71FD4EBA"/>
    <w:rsid w:val="724A6931"/>
    <w:rsid w:val="7326196A"/>
    <w:rsid w:val="73420701"/>
    <w:rsid w:val="73C10274"/>
    <w:rsid w:val="73C104B5"/>
    <w:rsid w:val="73DE1B17"/>
    <w:rsid w:val="73F74938"/>
    <w:rsid w:val="74170BD2"/>
    <w:rsid w:val="741953E8"/>
    <w:rsid w:val="741E2752"/>
    <w:rsid w:val="74286545"/>
    <w:rsid w:val="74582108"/>
    <w:rsid w:val="747252D9"/>
    <w:rsid w:val="74746816"/>
    <w:rsid w:val="748D3FF1"/>
    <w:rsid w:val="74AE541B"/>
    <w:rsid w:val="74F0138C"/>
    <w:rsid w:val="74F636CF"/>
    <w:rsid w:val="750135CC"/>
    <w:rsid w:val="75143CB6"/>
    <w:rsid w:val="75593909"/>
    <w:rsid w:val="75731C89"/>
    <w:rsid w:val="75812F99"/>
    <w:rsid w:val="75C15A8B"/>
    <w:rsid w:val="75E55C1E"/>
    <w:rsid w:val="75EB48B6"/>
    <w:rsid w:val="75F93477"/>
    <w:rsid w:val="76206C56"/>
    <w:rsid w:val="76585881"/>
    <w:rsid w:val="766F06E3"/>
    <w:rsid w:val="76724FD8"/>
    <w:rsid w:val="76A87834"/>
    <w:rsid w:val="76C770D1"/>
    <w:rsid w:val="76E13D2F"/>
    <w:rsid w:val="76F36118"/>
    <w:rsid w:val="774C75D7"/>
    <w:rsid w:val="77D61A62"/>
    <w:rsid w:val="783764D9"/>
    <w:rsid w:val="7847671C"/>
    <w:rsid w:val="78877767"/>
    <w:rsid w:val="78B96EEE"/>
    <w:rsid w:val="78F02827"/>
    <w:rsid w:val="79251491"/>
    <w:rsid w:val="79B71741"/>
    <w:rsid w:val="79C16B75"/>
    <w:rsid w:val="79C62081"/>
    <w:rsid w:val="79FC52E4"/>
    <w:rsid w:val="7A5C5D83"/>
    <w:rsid w:val="7A831561"/>
    <w:rsid w:val="7A8E6F8F"/>
    <w:rsid w:val="7A9153FC"/>
    <w:rsid w:val="7AAD4830"/>
    <w:rsid w:val="7ABB2C05"/>
    <w:rsid w:val="7AD17EE8"/>
    <w:rsid w:val="7AE871D8"/>
    <w:rsid w:val="7B7018CD"/>
    <w:rsid w:val="7B86450F"/>
    <w:rsid w:val="7BEB4D7B"/>
    <w:rsid w:val="7C5D4FDD"/>
    <w:rsid w:val="7CB64128"/>
    <w:rsid w:val="7CF9798C"/>
    <w:rsid w:val="7D2E787D"/>
    <w:rsid w:val="7D9506C6"/>
    <w:rsid w:val="7DAE2D99"/>
    <w:rsid w:val="7DCA5C98"/>
    <w:rsid w:val="7DCD75AF"/>
    <w:rsid w:val="7DFD5ACF"/>
    <w:rsid w:val="7E1D3A7B"/>
    <w:rsid w:val="7E325778"/>
    <w:rsid w:val="7E6A1DB7"/>
    <w:rsid w:val="7E6A718F"/>
    <w:rsid w:val="7E9A331D"/>
    <w:rsid w:val="7EA24D91"/>
    <w:rsid w:val="7EC7596E"/>
    <w:rsid w:val="7ECB1729"/>
    <w:rsid w:val="7EDA0885"/>
    <w:rsid w:val="7EFF7B93"/>
    <w:rsid w:val="7F21759B"/>
    <w:rsid w:val="7F587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link w:val="34"/>
    <w:qFormat/>
    <w:uiPriority w:val="9"/>
    <w:pPr>
      <w:widowControl/>
      <w:spacing w:before="100" w:beforeAutospacing="1" w:after="100" w:afterAutospacing="1"/>
      <w:jc w:val="left"/>
      <w:outlineLvl w:val="1"/>
    </w:pPr>
    <w:rPr>
      <w:rFonts w:ascii="宋体" w:hAnsi="宋体" w:eastAsia="宋体" w:cs="宋体"/>
      <w:b/>
      <w:bCs/>
      <w:kern w:val="0"/>
      <w:sz w:val="36"/>
      <w:szCs w:val="36"/>
      <w14:ligatures w14:val="none"/>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snapToGrid w:val="0"/>
      <w:spacing w:line="360" w:lineRule="auto"/>
      <w:ind w:firstLine="420" w:firstLineChars="200"/>
    </w:pPr>
    <w:rPr>
      <w:rFonts w:ascii="等线" w:hAnsi="等线" w:eastAsia="等线" w:cs="宋体"/>
      <w:sz w:val="32"/>
      <w14:ligatures w14:val="none"/>
    </w:rPr>
  </w:style>
  <w:style w:type="paragraph" w:styleId="7">
    <w:name w:val="annotation text"/>
    <w:basedOn w:val="1"/>
    <w:link w:val="31"/>
    <w:unhideWhenUsed/>
    <w:qFormat/>
    <w:uiPriority w:val="99"/>
    <w:pPr>
      <w:jc w:val="left"/>
    </w:pPr>
  </w:style>
  <w:style w:type="paragraph" w:styleId="8">
    <w:name w:val="Body Text"/>
    <w:basedOn w:val="1"/>
    <w:next w:val="1"/>
    <w:link w:val="27"/>
    <w:semiHidden/>
    <w:qFormat/>
    <w:uiPriority w:val="0"/>
    <w:rPr>
      <w:rFonts w:ascii="仿宋" w:hAnsi="仿宋" w:eastAsia="仿宋" w:cs="仿宋"/>
      <w:sz w:val="31"/>
      <w:szCs w:val="31"/>
      <w:lang w:eastAsia="en-US"/>
    </w:rPr>
  </w:style>
  <w:style w:type="paragraph" w:styleId="9">
    <w:name w:val="Body Text Indent"/>
    <w:basedOn w:val="1"/>
    <w:link w:val="29"/>
    <w:semiHidden/>
    <w:unhideWhenUsed/>
    <w:qFormat/>
    <w:uiPriority w:val="99"/>
    <w:pPr>
      <w:spacing w:after="120"/>
      <w:ind w:left="420" w:leftChars="200"/>
    </w:pPr>
  </w:style>
  <w:style w:type="paragraph" w:styleId="10">
    <w:name w:val="toc 3"/>
    <w:basedOn w:val="1"/>
    <w:next w:val="1"/>
    <w:unhideWhenUsed/>
    <w:qFormat/>
    <w:uiPriority w:val="39"/>
    <w:pPr>
      <w:ind w:left="840" w:leftChars="400"/>
    </w:p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tabs>
        <w:tab w:val="center" w:pos="4153"/>
        <w:tab w:val="right" w:pos="8306"/>
      </w:tabs>
      <w:snapToGrid w:val="0"/>
      <w:jc w:val="center"/>
    </w:pPr>
    <w:rPr>
      <w:sz w:val="18"/>
      <w:szCs w:val="18"/>
    </w:rPr>
  </w:style>
  <w:style w:type="paragraph" w:styleId="13">
    <w:name w:val="toc 1"/>
    <w:basedOn w:val="1"/>
    <w:next w:val="1"/>
    <w:autoRedefine/>
    <w:unhideWhenUsed/>
    <w:qFormat/>
    <w:uiPriority w:val="39"/>
    <w:pPr>
      <w:tabs>
        <w:tab w:val="right" w:leader="dot" w:pos="8296"/>
      </w:tabs>
    </w:pPr>
    <w:rPr>
      <w:rFonts w:ascii="Times New Roman" w:hAnsi="Times New Roman"/>
      <w:b/>
      <w:bCs/>
    </w:rPr>
  </w:style>
  <w:style w:type="paragraph" w:styleId="14">
    <w:name w:val="toc 2"/>
    <w:basedOn w:val="1"/>
    <w:next w:val="1"/>
    <w:autoRedefine/>
    <w:unhideWhenUsed/>
    <w:qFormat/>
    <w:uiPriority w:val="39"/>
    <w:pPr>
      <w:tabs>
        <w:tab w:val="right" w:leader="dot" w:pos="8296"/>
      </w:tabs>
      <w:spacing w:line="360" w:lineRule="auto"/>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6">
    <w:name w:val="annotation subject"/>
    <w:basedOn w:val="7"/>
    <w:next w:val="7"/>
    <w:link w:val="32"/>
    <w:semiHidden/>
    <w:unhideWhenUsed/>
    <w:qFormat/>
    <w:uiPriority w:val="99"/>
    <w:rPr>
      <w:b/>
      <w:bCs/>
    </w:rPr>
  </w:style>
  <w:style w:type="paragraph" w:styleId="17">
    <w:name w:val="Body Text First Indent 2"/>
    <w:basedOn w:val="9"/>
    <w:link w:val="30"/>
    <w:semiHidden/>
    <w:unhideWhenUsed/>
    <w:qFormat/>
    <w:uiPriority w:val="99"/>
    <w:pPr>
      <w:ind w:firstLine="420" w:firstLineChars="2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Hyperlink"/>
    <w:basedOn w:val="20"/>
    <w:unhideWhenUsed/>
    <w:qFormat/>
    <w:uiPriority w:val="99"/>
    <w:rPr>
      <w:color w:val="0563C1"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2"/>
    <w:qFormat/>
    <w:uiPriority w:val="99"/>
    <w:rPr>
      <w:sz w:val="18"/>
      <w:szCs w:val="18"/>
    </w:rPr>
  </w:style>
  <w:style w:type="character" w:customStyle="1" w:styleId="25">
    <w:name w:val="页脚 Char"/>
    <w:basedOn w:val="20"/>
    <w:link w:val="11"/>
    <w:qFormat/>
    <w:uiPriority w:val="99"/>
    <w:rPr>
      <w:sz w:val="18"/>
      <w:szCs w:val="18"/>
    </w:rPr>
  </w:style>
  <w:style w:type="paragraph" w:styleId="26">
    <w:name w:val="List Paragraph"/>
    <w:basedOn w:val="1"/>
    <w:qFormat/>
    <w:uiPriority w:val="34"/>
    <w:pPr>
      <w:ind w:firstLine="420" w:firstLineChars="200"/>
    </w:pPr>
  </w:style>
  <w:style w:type="character" w:customStyle="1" w:styleId="27">
    <w:name w:val="正文文本 Char"/>
    <w:basedOn w:val="20"/>
    <w:link w:val="8"/>
    <w:semiHidden/>
    <w:qFormat/>
    <w:uiPriority w:val="0"/>
    <w:rPr>
      <w:rFonts w:ascii="仿宋" w:hAnsi="仿宋" w:eastAsia="仿宋" w:cs="仿宋"/>
      <w:sz w:val="31"/>
      <w:szCs w:val="31"/>
      <w:lang w:eastAsia="en-US"/>
    </w:rPr>
  </w:style>
  <w:style w:type="paragraph" w:customStyle="1" w:styleId="28">
    <w:name w:val="列表段落1"/>
    <w:basedOn w:val="1"/>
    <w:qFormat/>
    <w:uiPriority w:val="0"/>
    <w:pPr>
      <w:spacing w:before="100" w:beforeAutospacing="1" w:line="273" w:lineRule="auto"/>
      <w:ind w:left="720"/>
      <w:jc w:val="left"/>
    </w:pPr>
    <w:rPr>
      <w:rFonts w:ascii="Calibri" w:hAnsi="Calibri" w:eastAsia="宋体" w:cs="Times New Roman"/>
      <w:sz w:val="22"/>
      <w14:ligatures w14:val="none"/>
    </w:rPr>
  </w:style>
  <w:style w:type="character" w:customStyle="1" w:styleId="29">
    <w:name w:val="正文文本缩进 Char"/>
    <w:basedOn w:val="20"/>
    <w:link w:val="9"/>
    <w:semiHidden/>
    <w:qFormat/>
    <w:uiPriority w:val="99"/>
  </w:style>
  <w:style w:type="character" w:customStyle="1" w:styleId="30">
    <w:name w:val="正文首行缩进 2 Char"/>
    <w:basedOn w:val="29"/>
    <w:link w:val="17"/>
    <w:semiHidden/>
    <w:qFormat/>
    <w:uiPriority w:val="99"/>
  </w:style>
  <w:style w:type="character" w:customStyle="1" w:styleId="31">
    <w:name w:val="批注文字 Char"/>
    <w:basedOn w:val="20"/>
    <w:link w:val="7"/>
    <w:qFormat/>
    <w:uiPriority w:val="99"/>
  </w:style>
  <w:style w:type="character" w:customStyle="1" w:styleId="32">
    <w:name w:val="批注主题 Char"/>
    <w:basedOn w:val="31"/>
    <w:link w:val="16"/>
    <w:semiHidden/>
    <w:qFormat/>
    <w:uiPriority w:val="99"/>
    <w:rPr>
      <w:b/>
      <w:bCs/>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34">
    <w:name w:val="标题 2 Char"/>
    <w:basedOn w:val="20"/>
    <w:link w:val="3"/>
    <w:qFormat/>
    <w:uiPriority w:val="9"/>
    <w:rPr>
      <w:rFonts w:ascii="宋体" w:hAnsi="宋体" w:eastAsia="宋体" w:cs="宋体"/>
      <w:b/>
      <w:bCs/>
      <w:kern w:val="0"/>
      <w:sz w:val="36"/>
      <w:szCs w:val="36"/>
      <w14:ligatures w14:val="none"/>
    </w:rPr>
  </w:style>
  <w:style w:type="character" w:customStyle="1" w:styleId="35">
    <w:name w:val="标题 3 Char"/>
    <w:basedOn w:val="20"/>
    <w:link w:val="4"/>
    <w:qFormat/>
    <w:uiPriority w:val="9"/>
    <w:rPr>
      <w:b/>
      <w:bCs/>
      <w:sz w:val="32"/>
      <w:szCs w:val="32"/>
    </w:rPr>
  </w:style>
  <w:style w:type="character" w:customStyle="1" w:styleId="36">
    <w:name w:val="标题 1 Char"/>
    <w:basedOn w:val="20"/>
    <w:link w:val="2"/>
    <w:qFormat/>
    <w:uiPriority w:val="9"/>
    <w:rPr>
      <w:b/>
      <w:bCs/>
      <w:kern w:val="44"/>
      <w:sz w:val="44"/>
      <w:szCs w:val="44"/>
    </w:rPr>
  </w:style>
  <w:style w:type="paragraph" w:customStyle="1" w:styleId="37">
    <w:name w:val="二级小节"/>
    <w:basedOn w:val="3"/>
    <w:next w:val="1"/>
    <w:qFormat/>
    <w:uiPriority w:val="0"/>
    <w:pPr>
      <w:keepNext/>
      <w:keepLines/>
      <w:widowControl w:val="0"/>
      <w:snapToGrid w:val="0"/>
      <w:spacing w:before="260" w:beforeAutospacing="0" w:after="260" w:afterAutospacing="0" w:line="580" w:lineRule="exact"/>
      <w:ind w:firstLine="643" w:firstLineChars="200"/>
      <w:jc w:val="both"/>
    </w:pPr>
    <w:rPr>
      <w:rFonts w:hint="eastAsia" w:ascii="Times New Roman" w:hAnsi="Times New Roman" w:eastAsia="楷体_GB2312" w:cs="Times New Roman"/>
      <w:bCs w:val="0"/>
      <w:kern w:val="2"/>
      <w:sz w:val="32"/>
      <w:szCs w:val="32"/>
    </w:rPr>
  </w:style>
  <w:style w:type="paragraph" w:customStyle="1" w:styleId="38">
    <w:name w:val="一级章"/>
    <w:basedOn w:val="2"/>
    <w:next w:val="1"/>
    <w:qFormat/>
    <w:uiPriority w:val="0"/>
    <w:pPr>
      <w:snapToGrid w:val="0"/>
      <w:spacing w:line="360" w:lineRule="auto"/>
      <w:ind w:firstLine="640" w:firstLineChars="200"/>
    </w:pPr>
    <w:rPr>
      <w:rFonts w:hint="eastAsia" w:ascii="黑体" w:hAnsi="黑体" w:eastAsia="黑体" w:cs="Times New Roman"/>
      <w:bCs w:val="0"/>
      <w:sz w:val="32"/>
      <w:szCs w:val="32"/>
      <w14:ligatures w14:val="none"/>
    </w:rPr>
  </w:style>
  <w:style w:type="paragraph" w:customStyle="1" w:styleId="39">
    <w:name w:val="正文文本 21"/>
    <w:basedOn w:val="1"/>
    <w:qFormat/>
    <w:uiPriority w:val="0"/>
    <w:pPr>
      <w:spacing w:line="480" w:lineRule="auto"/>
    </w:pPr>
  </w:style>
  <w:style w:type="table" w:customStyle="1" w:styleId="40">
    <w:name w:val="网格型1"/>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
    <w:name w:val="Table Normal"/>
    <w:semiHidden/>
    <w:unhideWhenUsed/>
    <w:qFormat/>
    <w:uiPriority w:val="0"/>
    <w:tblPr>
      <w:tblCellMar>
        <w:top w:w="0" w:type="dxa"/>
        <w:left w:w="0" w:type="dxa"/>
        <w:bottom w:w="0" w:type="dxa"/>
        <w:right w:w="0" w:type="dxa"/>
      </w:tblCellMar>
    </w:tblPr>
  </w:style>
  <w:style w:type="table" w:customStyle="1" w:styleId="42">
    <w:name w:val="网格型2"/>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14:ligatures w14:val="none"/>
    </w:rPr>
  </w:style>
  <w:style w:type="paragraph" w:customStyle="1" w:styleId="44">
    <w:name w:val="正文首行缩进1"/>
    <w:basedOn w:val="8"/>
    <w:qFormat/>
    <w:uiPriority w:val="0"/>
    <w:pPr>
      <w:ind w:firstLine="420" w:firstLineChars="100"/>
    </w:pPr>
    <w:rPr>
      <w:rFonts w:eastAsia="仿宋_GB2312" w:cs="Times New Roman"/>
      <w:kern w:val="0"/>
      <w:sz w:val="32"/>
      <w:szCs w:val="24"/>
    </w:rPr>
  </w:style>
  <w:style w:type="paragraph" w:customStyle="1" w:styleId="45">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64</Pages>
  <Words>2955</Words>
  <Characters>3127</Characters>
  <Lines>74</Lines>
  <Paragraphs>21</Paragraphs>
  <TotalTime>5</TotalTime>
  <ScaleCrop>false</ScaleCrop>
  <LinksUpToDate>false</LinksUpToDate>
  <CharactersWithSpaces>3225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2025-11-17T01:29:00Z</dcterms:created>
  <dc:creator>文涛 陆</dc:creator>
  <cp:lastModifiedBy>666</cp:lastModifiedBy>
  <cp:lastPrinted>2026-05-25T03:57:00Z</cp:lastPrinted>
  <dcterms:modified xsi:type="dcterms:W3CDTF">2026-07-30T03:14:30Z</dcterms:modified>
  <cp:revision>335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eyJoZGlkIjoiOWE1OWRiMWQ0YmVhNjk1MWUwOGRhZTE1MzhkOTRhNDMiLCJ1c2VySWQiOiIzNTQ1NzkxMTcifQ==</vt:lpwstr>
  </property>
  <property fmtid="{D5CDD505-2E9C-101B-9397-08002B2CF9AE}" pid="3" name="KSOProductBuildVer">
    <vt:lpwstr>2052-12.8.2.18913</vt:lpwstr>
  </property>
  <property fmtid="{D5CDD505-2E9C-101B-9397-08002B2CF9AE}" pid="4" name="ICV">
    <vt:lpwstr>E2910011EA714E0E9FA7EFB2B1CB5D12_13</vt:lpwstr>
  </property>
</Properties>
</file>