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2D3D51">
      <w:pPr>
        <w:adjustRightInd w:val="0"/>
        <w:snapToGrid w:val="0"/>
        <w:spacing w:line="700" w:lineRule="exact"/>
        <w:jc w:val="both"/>
        <w:rPr>
          <w:rFonts w:hint="eastAsia" w:ascii="仿宋" w:hAnsi="仿宋" w:eastAsia="仿宋" w:cs="仿宋"/>
          <w:b/>
          <w:bCs/>
          <w:color w:val="000000"/>
          <w:sz w:val="48"/>
          <w:szCs w:val="48"/>
          <w:highlight w:val="none"/>
        </w:rPr>
      </w:pPr>
    </w:p>
    <w:p w14:paraId="419779B2">
      <w:pPr>
        <w:adjustRightInd w:val="0"/>
        <w:snapToGrid w:val="0"/>
        <w:spacing w:line="700" w:lineRule="exact"/>
        <w:jc w:val="both"/>
        <w:rPr>
          <w:rFonts w:hint="eastAsia" w:ascii="仿宋" w:hAnsi="仿宋" w:eastAsia="仿宋" w:cs="仿宋"/>
          <w:b/>
          <w:bCs/>
          <w:color w:val="000000"/>
          <w:sz w:val="48"/>
          <w:szCs w:val="48"/>
          <w:highlight w:val="none"/>
        </w:rPr>
      </w:pPr>
    </w:p>
    <w:p w14:paraId="3E02BBB0">
      <w:pPr>
        <w:adjustRightInd w:val="0"/>
        <w:snapToGrid w:val="0"/>
        <w:spacing w:line="700" w:lineRule="exact"/>
        <w:jc w:val="both"/>
        <w:rPr>
          <w:rFonts w:hint="eastAsia" w:ascii="仿宋" w:hAnsi="仿宋" w:eastAsia="仿宋" w:cs="仿宋"/>
          <w:b/>
          <w:bCs/>
          <w:color w:val="000000"/>
          <w:sz w:val="48"/>
          <w:szCs w:val="48"/>
          <w:highlight w:val="none"/>
        </w:rPr>
      </w:pPr>
    </w:p>
    <w:p w14:paraId="76DB3A89">
      <w:pPr>
        <w:adjustRightInd w:val="0"/>
        <w:snapToGrid w:val="0"/>
        <w:spacing w:line="700" w:lineRule="exact"/>
        <w:jc w:val="both"/>
        <w:rPr>
          <w:rFonts w:hint="eastAsia" w:ascii="仿宋" w:hAnsi="仿宋" w:eastAsia="仿宋" w:cs="仿宋"/>
          <w:b/>
          <w:bCs/>
          <w:color w:val="000000"/>
          <w:sz w:val="48"/>
          <w:szCs w:val="48"/>
          <w:highlight w:val="none"/>
        </w:rPr>
      </w:pPr>
    </w:p>
    <w:p w14:paraId="0BE61C45">
      <w:pPr>
        <w:adjustRightInd w:val="0"/>
        <w:snapToGrid w:val="0"/>
        <w:spacing w:line="360" w:lineRule="auto"/>
        <w:jc w:val="center"/>
        <w:textAlignment w:val="center"/>
        <w:outlineLvl w:val="0"/>
        <w:rPr>
          <w:rFonts w:hint="eastAsia" w:ascii="仿宋" w:hAnsi="仿宋" w:eastAsia="仿宋" w:cs="仿宋"/>
          <w:b/>
          <w:bCs/>
          <w:color w:val="000000"/>
          <w:spacing w:val="0"/>
          <w:sz w:val="40"/>
          <w:szCs w:val="40"/>
          <w:highlight w:val="none"/>
          <w:lang w:eastAsia="zh-CN"/>
        </w:rPr>
      </w:pPr>
      <w:r>
        <w:rPr>
          <w:rFonts w:hint="eastAsia" w:ascii="仿宋" w:hAnsi="仿宋" w:eastAsia="仿宋" w:cs="仿宋"/>
          <w:b/>
          <w:bCs/>
          <w:color w:val="000000"/>
          <w:spacing w:val="0"/>
          <w:sz w:val="40"/>
          <w:szCs w:val="40"/>
          <w:highlight w:val="none"/>
          <w:lang w:eastAsia="zh-CN"/>
        </w:rPr>
        <w:t>中交一公局集团有限公司G331线至三塘湖火车站道路建设项目临时用地</w:t>
      </w:r>
    </w:p>
    <w:p w14:paraId="751DFF26">
      <w:pPr>
        <w:adjustRightInd w:val="0"/>
        <w:snapToGrid w:val="0"/>
        <w:spacing w:line="360" w:lineRule="auto"/>
        <w:jc w:val="center"/>
        <w:textAlignment w:val="center"/>
        <w:outlineLvl w:val="1"/>
        <w:rPr>
          <w:rFonts w:eastAsia="黑体"/>
          <w:color w:val="000000"/>
          <w:sz w:val="30"/>
          <w:szCs w:val="30"/>
          <w:highlight w:val="none"/>
        </w:rPr>
      </w:pPr>
      <w:r>
        <w:rPr>
          <w:rFonts w:hint="eastAsia" w:ascii="黑体" w:hAnsi="黑体" w:eastAsia="黑体" w:cs="黑体"/>
          <w:color w:val="000000"/>
          <w:sz w:val="52"/>
          <w:szCs w:val="52"/>
          <w:highlight w:val="none"/>
        </w:rPr>
        <w:t>土地复垦方案报告表</w:t>
      </w:r>
    </w:p>
    <w:p w14:paraId="033C2CFF">
      <w:pPr>
        <w:adjustRightInd w:val="0"/>
        <w:snapToGrid w:val="0"/>
        <w:spacing w:line="360" w:lineRule="auto"/>
        <w:textAlignment w:val="center"/>
        <w:rPr>
          <w:rFonts w:eastAsia="黑体"/>
          <w:color w:val="000000"/>
          <w:sz w:val="30"/>
          <w:szCs w:val="30"/>
          <w:highlight w:val="none"/>
        </w:rPr>
      </w:pPr>
    </w:p>
    <w:p w14:paraId="3220B604">
      <w:pPr>
        <w:adjustRightInd w:val="0"/>
        <w:snapToGrid w:val="0"/>
        <w:spacing w:line="360" w:lineRule="auto"/>
        <w:textAlignment w:val="center"/>
        <w:rPr>
          <w:rFonts w:eastAsia="黑体"/>
          <w:color w:val="000000"/>
          <w:sz w:val="30"/>
          <w:szCs w:val="30"/>
          <w:highlight w:val="none"/>
        </w:rPr>
      </w:pPr>
    </w:p>
    <w:p w14:paraId="48C1EE28">
      <w:pPr>
        <w:adjustRightInd w:val="0"/>
        <w:snapToGrid w:val="0"/>
        <w:spacing w:line="360" w:lineRule="auto"/>
        <w:textAlignment w:val="center"/>
        <w:rPr>
          <w:rFonts w:eastAsia="黑体"/>
          <w:color w:val="000000"/>
          <w:sz w:val="30"/>
          <w:szCs w:val="30"/>
          <w:highlight w:val="none"/>
        </w:rPr>
      </w:pPr>
    </w:p>
    <w:p w14:paraId="64E13289">
      <w:pPr>
        <w:adjustRightInd w:val="0"/>
        <w:snapToGrid w:val="0"/>
        <w:spacing w:line="360" w:lineRule="auto"/>
        <w:textAlignment w:val="center"/>
        <w:rPr>
          <w:rFonts w:eastAsia="黑体"/>
          <w:color w:val="000000"/>
          <w:sz w:val="30"/>
          <w:szCs w:val="30"/>
          <w:highlight w:val="none"/>
        </w:rPr>
      </w:pPr>
    </w:p>
    <w:p w14:paraId="34E117C5">
      <w:pPr>
        <w:adjustRightInd w:val="0"/>
        <w:snapToGrid w:val="0"/>
        <w:spacing w:line="360" w:lineRule="auto"/>
        <w:textAlignment w:val="center"/>
        <w:rPr>
          <w:rFonts w:eastAsia="黑体"/>
          <w:color w:val="000000"/>
          <w:sz w:val="30"/>
          <w:szCs w:val="30"/>
          <w:highlight w:val="none"/>
        </w:rPr>
      </w:pPr>
    </w:p>
    <w:p w14:paraId="559E9277">
      <w:pPr>
        <w:adjustRightInd w:val="0"/>
        <w:snapToGrid w:val="0"/>
        <w:spacing w:line="360" w:lineRule="auto"/>
        <w:textAlignment w:val="center"/>
        <w:rPr>
          <w:rFonts w:eastAsia="黑体"/>
          <w:color w:val="000000"/>
          <w:sz w:val="30"/>
          <w:szCs w:val="30"/>
          <w:highlight w:val="none"/>
        </w:rPr>
      </w:pPr>
    </w:p>
    <w:p w14:paraId="33ECD62D">
      <w:pPr>
        <w:adjustRightInd w:val="0"/>
        <w:snapToGrid w:val="0"/>
        <w:spacing w:line="360" w:lineRule="auto"/>
        <w:textAlignment w:val="center"/>
        <w:rPr>
          <w:rFonts w:eastAsia="黑体"/>
          <w:color w:val="000000"/>
          <w:sz w:val="30"/>
          <w:szCs w:val="30"/>
          <w:highlight w:val="none"/>
        </w:rPr>
      </w:pPr>
    </w:p>
    <w:p w14:paraId="4C81393C">
      <w:pPr>
        <w:adjustRightInd w:val="0"/>
        <w:snapToGrid w:val="0"/>
        <w:spacing w:line="360" w:lineRule="auto"/>
        <w:textAlignment w:val="center"/>
        <w:rPr>
          <w:rFonts w:eastAsia="黑体"/>
          <w:color w:val="000000"/>
          <w:sz w:val="30"/>
          <w:szCs w:val="30"/>
          <w:highlight w:val="none"/>
        </w:rPr>
      </w:pPr>
    </w:p>
    <w:p w14:paraId="0118935A">
      <w:pPr>
        <w:adjustRightInd w:val="0"/>
        <w:snapToGrid w:val="0"/>
        <w:spacing w:line="360" w:lineRule="auto"/>
        <w:textAlignment w:val="center"/>
        <w:rPr>
          <w:rFonts w:eastAsia="黑体"/>
          <w:color w:val="000000"/>
          <w:sz w:val="30"/>
          <w:szCs w:val="30"/>
          <w:highlight w:val="none"/>
        </w:rPr>
      </w:pPr>
    </w:p>
    <w:p w14:paraId="6040A8A6">
      <w:pPr>
        <w:adjustRightInd w:val="0"/>
        <w:snapToGrid w:val="0"/>
        <w:spacing w:line="360" w:lineRule="auto"/>
        <w:textAlignment w:val="center"/>
        <w:rPr>
          <w:rFonts w:eastAsia="黑体"/>
          <w:color w:val="000000"/>
          <w:sz w:val="30"/>
          <w:szCs w:val="30"/>
          <w:highlight w:val="none"/>
        </w:rPr>
      </w:pPr>
    </w:p>
    <w:p w14:paraId="46817F22">
      <w:pPr>
        <w:adjustRightInd w:val="0"/>
        <w:snapToGrid w:val="0"/>
        <w:spacing w:line="360" w:lineRule="auto"/>
        <w:textAlignment w:val="center"/>
        <w:rPr>
          <w:rFonts w:hint="eastAsia" w:eastAsia="黑体"/>
          <w:color w:val="000000"/>
          <w:sz w:val="30"/>
          <w:szCs w:val="30"/>
          <w:highlight w:val="none"/>
          <w:lang w:eastAsia="zh-CN"/>
        </w:rPr>
      </w:pPr>
    </w:p>
    <w:p w14:paraId="68C7BF82">
      <w:pPr>
        <w:adjustRightInd w:val="0"/>
        <w:snapToGrid w:val="0"/>
        <w:spacing w:line="700" w:lineRule="exact"/>
        <w:ind w:firstLine="1920" w:firstLineChars="600"/>
        <w:jc w:val="both"/>
        <w:outlineLvl w:val="2"/>
        <w:rPr>
          <w:rStyle w:val="50"/>
          <w:rFonts w:hint="eastAsia" w:ascii="宋体" w:hAnsi="Times New Roman" w:eastAsia="宋体" w:cs="Times New Roman"/>
          <w:iCs/>
          <w:color w:val="000000"/>
          <w:sz w:val="32"/>
          <w:szCs w:val="32"/>
          <w:highlight w:val="none"/>
          <w:lang w:val="en-US" w:eastAsia="zh-CN"/>
        </w:rPr>
      </w:pPr>
      <w:r>
        <w:rPr>
          <w:rStyle w:val="50"/>
          <w:rFonts w:hint="eastAsia" w:ascii="宋体" w:hAnsi="Times New Roman" w:eastAsia="宋体" w:cs="Times New Roman"/>
          <w:iCs/>
          <w:color w:val="000000"/>
          <w:sz w:val="32"/>
          <w:szCs w:val="32"/>
          <w:highlight w:val="none"/>
          <w:lang w:val="en-US" w:eastAsia="zh-CN"/>
        </w:rPr>
        <w:t>提交单位：中交一公局集团有限公司</w:t>
      </w:r>
    </w:p>
    <w:p w14:paraId="7C71BFFD">
      <w:pPr>
        <w:adjustRightInd w:val="0"/>
        <w:snapToGrid w:val="0"/>
        <w:spacing w:line="700" w:lineRule="exact"/>
        <w:ind w:firstLine="1920" w:firstLineChars="600"/>
        <w:jc w:val="both"/>
        <w:outlineLvl w:val="2"/>
        <w:rPr>
          <w:rStyle w:val="50"/>
          <w:rFonts w:hint="default" w:ascii="宋体" w:hAnsi="Times New Roman" w:eastAsia="宋体" w:cs="Times New Roman"/>
          <w:iCs/>
          <w:color w:val="000000"/>
          <w:sz w:val="32"/>
          <w:szCs w:val="32"/>
          <w:highlight w:val="none"/>
          <w:lang w:val="en-US" w:eastAsia="zh-CN"/>
        </w:rPr>
      </w:pPr>
      <w:r>
        <w:rPr>
          <w:rStyle w:val="50"/>
          <w:rFonts w:hint="eastAsia" w:ascii="宋体" w:hAnsi="Times New Roman" w:eastAsia="宋体" w:cs="Times New Roman"/>
          <w:iCs/>
          <w:color w:val="000000"/>
          <w:sz w:val="32"/>
          <w:szCs w:val="32"/>
          <w:highlight w:val="none"/>
          <w:lang w:val="en-US" w:eastAsia="zh-CN"/>
        </w:rPr>
        <w:t>编制单位：新疆臻图工程测绘有限公司</w:t>
      </w:r>
    </w:p>
    <w:p w14:paraId="46318302">
      <w:pPr>
        <w:pStyle w:val="10"/>
        <w:adjustRightInd w:val="0"/>
        <w:snapToGrid w:val="0"/>
        <w:spacing w:line="520" w:lineRule="exact"/>
        <w:ind w:left="0"/>
        <w:jc w:val="center"/>
        <w:rPr>
          <w:rStyle w:val="50"/>
          <w:rFonts w:hint="eastAsia"/>
          <w:i w:val="0"/>
          <w:color w:val="000000"/>
          <w:sz w:val="32"/>
          <w:szCs w:val="32"/>
          <w:highlight w:val="none"/>
        </w:rPr>
      </w:pPr>
      <w:r>
        <w:rPr>
          <w:rStyle w:val="50"/>
          <w:rFonts w:hint="eastAsia"/>
          <w:i w:val="0"/>
          <w:color w:val="000000"/>
          <w:sz w:val="32"/>
          <w:szCs w:val="32"/>
          <w:highlight w:val="none"/>
        </w:rPr>
        <w:t>二○二</w:t>
      </w:r>
      <w:r>
        <w:rPr>
          <w:rStyle w:val="50"/>
          <w:rFonts w:hint="eastAsia"/>
          <w:i w:val="0"/>
          <w:color w:val="000000"/>
          <w:sz w:val="32"/>
          <w:szCs w:val="32"/>
          <w:highlight w:val="none"/>
          <w:lang w:val="en-US" w:eastAsia="zh-CN"/>
        </w:rPr>
        <w:t>五</w:t>
      </w:r>
      <w:r>
        <w:rPr>
          <w:rStyle w:val="50"/>
          <w:rFonts w:hint="eastAsia"/>
          <w:i w:val="0"/>
          <w:color w:val="000000"/>
          <w:sz w:val="32"/>
          <w:szCs w:val="32"/>
          <w:highlight w:val="none"/>
        </w:rPr>
        <w:t>年</w:t>
      </w:r>
      <w:r>
        <w:rPr>
          <w:rStyle w:val="50"/>
          <w:rFonts w:hint="eastAsia"/>
          <w:i w:val="0"/>
          <w:color w:val="000000"/>
          <w:sz w:val="32"/>
          <w:szCs w:val="32"/>
          <w:highlight w:val="none"/>
          <w:lang w:val="en-US" w:eastAsia="zh-CN"/>
        </w:rPr>
        <w:t>一</w:t>
      </w:r>
      <w:r>
        <w:rPr>
          <w:rStyle w:val="50"/>
          <w:rFonts w:hint="eastAsia"/>
          <w:i w:val="0"/>
          <w:color w:val="000000"/>
          <w:sz w:val="32"/>
          <w:szCs w:val="32"/>
          <w:highlight w:val="none"/>
        </w:rPr>
        <w:t>月</w:t>
      </w:r>
    </w:p>
    <w:p w14:paraId="33DE67B0">
      <w:pPr>
        <w:adjustRightInd w:val="0"/>
        <w:snapToGrid w:val="0"/>
        <w:spacing w:line="360" w:lineRule="auto"/>
        <w:rPr>
          <w:rFonts w:hint="eastAsia" w:ascii="仿宋" w:hAnsi="仿宋" w:eastAsia="仿宋"/>
          <w:b/>
          <w:bCs/>
          <w:color w:val="000000"/>
          <w:sz w:val="48"/>
          <w:highlight w:val="none"/>
        </w:rPr>
      </w:pPr>
    </w:p>
    <w:p w14:paraId="1ADBF6D5">
      <w:pPr>
        <w:adjustRightInd w:val="0"/>
        <w:snapToGrid w:val="0"/>
        <w:spacing w:line="360" w:lineRule="auto"/>
        <w:jc w:val="center"/>
        <w:rPr>
          <w:rFonts w:hint="eastAsia" w:ascii="仿宋" w:hAnsi="仿宋" w:eastAsia="仿宋"/>
          <w:b/>
          <w:bCs/>
          <w:color w:val="000000"/>
          <w:sz w:val="36"/>
          <w:szCs w:val="36"/>
          <w:highlight w:val="none"/>
        </w:rPr>
      </w:pPr>
    </w:p>
    <w:p w14:paraId="5DBA577A">
      <w:pPr>
        <w:adjustRightInd w:val="0"/>
        <w:snapToGrid w:val="0"/>
        <w:spacing w:line="360" w:lineRule="auto"/>
        <w:jc w:val="center"/>
        <w:rPr>
          <w:rFonts w:hint="eastAsia" w:ascii="仿宋" w:hAnsi="仿宋" w:eastAsia="仿宋"/>
          <w:b/>
          <w:bCs/>
          <w:color w:val="000000"/>
          <w:sz w:val="36"/>
          <w:szCs w:val="36"/>
          <w:highlight w:val="none"/>
        </w:rPr>
      </w:pPr>
    </w:p>
    <w:p w14:paraId="26606606">
      <w:pPr>
        <w:adjustRightInd w:val="0"/>
        <w:snapToGrid w:val="0"/>
        <w:spacing w:line="360" w:lineRule="auto"/>
        <w:rPr>
          <w:rFonts w:hint="eastAsia" w:ascii="仿宋" w:hAnsi="仿宋" w:eastAsia="仿宋"/>
          <w:b/>
          <w:bCs/>
          <w:color w:val="000000"/>
          <w:sz w:val="36"/>
          <w:szCs w:val="36"/>
          <w:highlight w:val="none"/>
        </w:rPr>
      </w:pPr>
    </w:p>
    <w:p w14:paraId="0A118195">
      <w:pPr>
        <w:adjustRightInd w:val="0"/>
        <w:snapToGrid w:val="0"/>
        <w:spacing w:line="700" w:lineRule="exact"/>
        <w:jc w:val="center"/>
        <w:rPr>
          <w:rFonts w:hint="eastAsia" w:ascii="仿宋" w:hAnsi="仿宋" w:eastAsia="仿宋" w:cs="仿宋"/>
          <w:b/>
          <w:bCs/>
          <w:color w:val="000000"/>
          <w:sz w:val="44"/>
          <w:szCs w:val="44"/>
          <w:highlight w:val="none"/>
        </w:rPr>
      </w:pPr>
    </w:p>
    <w:p w14:paraId="34119C9C">
      <w:pPr>
        <w:adjustRightInd w:val="0"/>
        <w:snapToGrid w:val="0"/>
        <w:spacing w:line="360" w:lineRule="auto"/>
        <w:jc w:val="center"/>
        <w:textAlignment w:val="center"/>
        <w:outlineLvl w:val="0"/>
        <w:rPr>
          <w:rFonts w:hint="eastAsia" w:ascii="仿宋" w:hAnsi="仿宋" w:eastAsia="仿宋" w:cs="仿宋"/>
          <w:b/>
          <w:bCs/>
          <w:color w:val="000000"/>
          <w:spacing w:val="0"/>
          <w:sz w:val="44"/>
          <w:szCs w:val="44"/>
          <w:highlight w:val="none"/>
          <w:lang w:eastAsia="zh-CN"/>
        </w:rPr>
      </w:pPr>
      <w:r>
        <w:rPr>
          <w:rFonts w:hint="eastAsia" w:ascii="仿宋" w:hAnsi="仿宋" w:eastAsia="仿宋" w:cs="仿宋"/>
          <w:b/>
          <w:bCs/>
          <w:color w:val="000000"/>
          <w:spacing w:val="0"/>
          <w:sz w:val="40"/>
          <w:szCs w:val="40"/>
          <w:highlight w:val="none"/>
          <w:lang w:eastAsia="zh-CN"/>
        </w:rPr>
        <w:t>中交一公局集团有限公司G331线至三塘湖火车站道路建设项目临时用地</w:t>
      </w:r>
    </w:p>
    <w:p w14:paraId="076747EE">
      <w:pPr>
        <w:adjustRightInd w:val="0"/>
        <w:snapToGrid w:val="0"/>
        <w:spacing w:line="360" w:lineRule="auto"/>
        <w:jc w:val="center"/>
        <w:textAlignment w:val="center"/>
        <w:outlineLvl w:val="1"/>
        <w:rPr>
          <w:rFonts w:eastAsia="黑体"/>
          <w:b/>
          <w:bCs/>
          <w:color w:val="000000"/>
          <w:sz w:val="52"/>
          <w:szCs w:val="52"/>
          <w:highlight w:val="none"/>
        </w:rPr>
      </w:pPr>
      <w:r>
        <w:rPr>
          <w:rFonts w:hint="eastAsia" w:ascii="黑体" w:hAnsi="黑体" w:eastAsia="黑体" w:cs="黑体"/>
          <w:color w:val="000000"/>
          <w:sz w:val="52"/>
          <w:szCs w:val="52"/>
          <w:highlight w:val="none"/>
        </w:rPr>
        <w:t>土地复垦方案报告表</w:t>
      </w:r>
    </w:p>
    <w:p w14:paraId="534CB46C">
      <w:pPr>
        <w:adjustRightInd w:val="0"/>
        <w:snapToGrid w:val="0"/>
        <w:spacing w:line="700" w:lineRule="exact"/>
        <w:jc w:val="center"/>
        <w:rPr>
          <w:rFonts w:ascii="黑体" w:hAnsi="黑体" w:eastAsia="黑体" w:cs="黑体"/>
          <w:color w:val="000000"/>
          <w:spacing w:val="5"/>
          <w:w w:val="62"/>
          <w:kern w:val="0"/>
          <w:sz w:val="52"/>
          <w:szCs w:val="52"/>
          <w:highlight w:val="none"/>
        </w:rPr>
      </w:pPr>
    </w:p>
    <w:p w14:paraId="44635698">
      <w:pPr>
        <w:pStyle w:val="25"/>
        <w:spacing w:line="360" w:lineRule="auto"/>
        <w:jc w:val="center"/>
        <w:rPr>
          <w:rFonts w:hint="eastAsia"/>
          <w:b/>
          <w:bCs/>
          <w:color w:val="000000"/>
          <w:sz w:val="44"/>
          <w:szCs w:val="44"/>
          <w:highlight w:val="none"/>
        </w:rPr>
      </w:pPr>
    </w:p>
    <w:p w14:paraId="2B9CC398">
      <w:pPr>
        <w:pStyle w:val="25"/>
        <w:spacing w:line="360" w:lineRule="auto"/>
        <w:jc w:val="center"/>
        <w:rPr>
          <w:rFonts w:hint="eastAsia"/>
          <w:b/>
          <w:bCs/>
          <w:color w:val="000000"/>
          <w:sz w:val="32"/>
          <w:highlight w:val="none"/>
        </w:rPr>
      </w:pPr>
    </w:p>
    <w:p w14:paraId="2A1BE87D">
      <w:pPr>
        <w:pStyle w:val="25"/>
        <w:spacing w:line="360" w:lineRule="auto"/>
        <w:rPr>
          <w:rFonts w:hint="eastAsia"/>
          <w:b/>
          <w:bCs/>
          <w:color w:val="000000"/>
          <w:sz w:val="32"/>
          <w:highlight w:val="none"/>
        </w:rPr>
      </w:pPr>
    </w:p>
    <w:p w14:paraId="623EAC7A">
      <w:pPr>
        <w:pStyle w:val="25"/>
        <w:spacing w:line="360" w:lineRule="auto"/>
        <w:rPr>
          <w:rFonts w:hint="eastAsia"/>
          <w:b/>
          <w:bCs/>
          <w:color w:val="000000"/>
          <w:sz w:val="32"/>
          <w:highlight w:val="none"/>
        </w:rPr>
      </w:pPr>
    </w:p>
    <w:p w14:paraId="1CD4F72A">
      <w:pPr>
        <w:pStyle w:val="25"/>
        <w:spacing w:line="360" w:lineRule="auto"/>
        <w:rPr>
          <w:rStyle w:val="50"/>
          <w:rFonts w:hint="eastAsia"/>
          <w:b/>
          <w:bCs/>
          <w:iCs/>
          <w:color w:val="000000"/>
          <w:szCs w:val="28"/>
          <w:highlight w:val="none"/>
        </w:rPr>
      </w:pPr>
    </w:p>
    <w:p w14:paraId="7E4902C7">
      <w:pPr>
        <w:pStyle w:val="25"/>
        <w:spacing w:line="520" w:lineRule="exact"/>
        <w:ind w:firstLine="1280" w:firstLineChars="400"/>
        <w:outlineLvl w:val="2"/>
        <w:rPr>
          <w:rStyle w:val="50"/>
          <w:rFonts w:hint="eastAsia" w:ascii="宋体" w:hAnsi="Times New Roman" w:eastAsia="宋体" w:cs="Times New Roman"/>
          <w:iCs/>
          <w:color w:val="000000"/>
          <w:spacing w:val="-20"/>
          <w:kern w:val="2"/>
          <w:sz w:val="32"/>
          <w:szCs w:val="32"/>
          <w:highlight w:val="none"/>
          <w:lang w:val="en-US" w:eastAsia="zh-CN" w:bidi="ar-SA"/>
        </w:rPr>
      </w:pPr>
      <w:r>
        <w:rPr>
          <w:rStyle w:val="50"/>
          <w:rFonts w:hint="eastAsia"/>
          <w:iCs/>
          <w:color w:val="000000"/>
          <w:sz w:val="32"/>
          <w:szCs w:val="32"/>
          <w:highlight w:val="none"/>
        </w:rPr>
        <w:t>方案提交单位：</w:t>
      </w:r>
      <w:r>
        <w:rPr>
          <w:rStyle w:val="50"/>
          <w:rFonts w:hint="eastAsia" w:ascii="宋体" w:hAnsi="Times New Roman" w:eastAsia="宋体" w:cs="Times New Roman"/>
          <w:iCs/>
          <w:color w:val="000000"/>
          <w:spacing w:val="-20"/>
          <w:kern w:val="2"/>
          <w:sz w:val="32"/>
          <w:szCs w:val="32"/>
          <w:highlight w:val="none"/>
          <w:lang w:val="en-US" w:eastAsia="zh-CN" w:bidi="ar-SA"/>
        </w:rPr>
        <w:t>中交一公局集团有限公司</w:t>
      </w:r>
    </w:p>
    <w:p w14:paraId="48150336">
      <w:pPr>
        <w:pStyle w:val="25"/>
        <w:spacing w:line="520" w:lineRule="exact"/>
        <w:ind w:firstLine="1280" w:firstLineChars="400"/>
        <w:outlineLvl w:val="2"/>
        <w:rPr>
          <w:rStyle w:val="50"/>
          <w:rFonts w:hint="eastAsia" w:eastAsia="宋体"/>
          <w:iCs/>
          <w:color w:val="000000"/>
          <w:spacing w:val="-20"/>
          <w:sz w:val="32"/>
          <w:szCs w:val="32"/>
          <w:highlight w:val="none"/>
          <w:lang w:eastAsia="zh-CN"/>
        </w:rPr>
      </w:pPr>
      <w:r>
        <w:rPr>
          <w:rStyle w:val="50"/>
          <w:rFonts w:hint="eastAsia"/>
          <w:iCs/>
          <w:color w:val="000000"/>
          <w:sz w:val="32"/>
          <w:szCs w:val="32"/>
          <w:highlight w:val="none"/>
        </w:rPr>
        <w:t>方案编制单位：</w:t>
      </w:r>
      <w:r>
        <w:rPr>
          <w:rStyle w:val="50"/>
          <w:rFonts w:hint="eastAsia"/>
          <w:iCs/>
          <w:color w:val="000000"/>
          <w:spacing w:val="-20"/>
          <w:sz w:val="32"/>
          <w:szCs w:val="32"/>
          <w:highlight w:val="none"/>
          <w:lang w:val="en-US" w:eastAsia="zh-CN"/>
        </w:rPr>
        <w:t>新疆臻图工程测绘有限公司</w:t>
      </w:r>
    </w:p>
    <w:p w14:paraId="7A960393">
      <w:pPr>
        <w:pStyle w:val="25"/>
        <w:spacing w:line="520" w:lineRule="exact"/>
        <w:ind w:left="1277" w:leftChars="608"/>
        <w:outlineLvl w:val="2"/>
        <w:rPr>
          <w:rStyle w:val="50"/>
          <w:rFonts w:hint="default" w:eastAsia="宋体"/>
          <w:iCs/>
          <w:color w:val="000000"/>
          <w:sz w:val="32"/>
          <w:szCs w:val="32"/>
          <w:highlight w:val="none"/>
          <w:lang w:val="en-US" w:eastAsia="zh-CN"/>
        </w:rPr>
      </w:pPr>
      <w:r>
        <w:rPr>
          <w:rStyle w:val="50"/>
          <w:rFonts w:hint="eastAsia"/>
          <w:iCs/>
          <w:color w:val="000000"/>
          <w:sz w:val="32"/>
          <w:szCs w:val="32"/>
          <w:highlight w:val="none"/>
        </w:rPr>
        <w:t>方案编制单位负责人</w:t>
      </w:r>
      <w:r>
        <w:rPr>
          <w:rStyle w:val="50"/>
          <w:rFonts w:hint="eastAsia"/>
          <w:iCs/>
          <w:color w:val="000000"/>
          <w:sz w:val="32"/>
          <w:szCs w:val="32"/>
          <w:highlight w:val="none"/>
          <w:lang w:eastAsia="zh-CN"/>
        </w:rPr>
        <w:t>：</w:t>
      </w:r>
      <w:r>
        <w:rPr>
          <w:rStyle w:val="50"/>
          <w:rFonts w:hint="eastAsia"/>
          <w:iCs/>
          <w:color w:val="000000"/>
          <w:sz w:val="32"/>
          <w:szCs w:val="32"/>
          <w:highlight w:val="none"/>
          <w:lang w:val="en-US" w:eastAsia="zh-CN"/>
        </w:rPr>
        <w:t>刘继虎</w:t>
      </w:r>
    </w:p>
    <w:p w14:paraId="7D998CD9">
      <w:pPr>
        <w:pStyle w:val="25"/>
        <w:spacing w:line="520" w:lineRule="exact"/>
        <w:ind w:firstLine="1280" w:firstLineChars="400"/>
        <w:outlineLvl w:val="2"/>
        <w:rPr>
          <w:rStyle w:val="50"/>
          <w:rFonts w:hint="eastAsia" w:eastAsia="宋体"/>
          <w:iCs/>
          <w:color w:val="000000"/>
          <w:sz w:val="32"/>
          <w:szCs w:val="32"/>
          <w:highlight w:val="none"/>
          <w:lang w:eastAsia="zh-CN"/>
        </w:rPr>
      </w:pPr>
      <w:r>
        <w:rPr>
          <w:rStyle w:val="50"/>
          <w:rFonts w:hint="eastAsia"/>
          <w:iCs/>
          <w:color w:val="000000"/>
          <w:sz w:val="32"/>
          <w:szCs w:val="32"/>
          <w:highlight w:val="none"/>
        </w:rPr>
        <w:t>方案项目负责人：</w:t>
      </w:r>
      <w:r>
        <w:rPr>
          <w:rStyle w:val="50"/>
          <w:rFonts w:hint="eastAsia"/>
          <w:iCs/>
          <w:color w:val="000000"/>
          <w:sz w:val="32"/>
          <w:szCs w:val="32"/>
          <w:highlight w:val="none"/>
          <w:lang w:val="en-US" w:eastAsia="zh-CN"/>
        </w:rPr>
        <w:t>尤琇</w:t>
      </w:r>
    </w:p>
    <w:p w14:paraId="3ABD0A25">
      <w:pPr>
        <w:pStyle w:val="25"/>
        <w:spacing w:line="520" w:lineRule="exact"/>
        <w:ind w:firstLine="1280" w:firstLineChars="400"/>
        <w:outlineLvl w:val="2"/>
        <w:rPr>
          <w:rStyle w:val="50"/>
          <w:rFonts w:hint="eastAsia" w:eastAsia="宋体"/>
          <w:iCs/>
          <w:color w:val="000000"/>
          <w:sz w:val="32"/>
          <w:szCs w:val="32"/>
          <w:highlight w:val="none"/>
          <w:lang w:eastAsia="zh-CN"/>
        </w:rPr>
      </w:pPr>
      <w:r>
        <w:rPr>
          <w:rStyle w:val="50"/>
          <w:rFonts w:hint="eastAsia"/>
          <w:iCs/>
          <w:color w:val="000000"/>
          <w:sz w:val="32"/>
          <w:szCs w:val="32"/>
          <w:highlight w:val="none"/>
        </w:rPr>
        <w:t>方案编写人：</w:t>
      </w:r>
      <w:r>
        <w:rPr>
          <w:rStyle w:val="50"/>
          <w:rFonts w:hint="eastAsia"/>
          <w:iCs/>
          <w:color w:val="000000"/>
          <w:sz w:val="32"/>
          <w:szCs w:val="32"/>
          <w:highlight w:val="none"/>
          <w:lang w:val="en-US" w:eastAsia="zh-CN"/>
        </w:rPr>
        <w:t>祖里帕哈</w:t>
      </w:r>
    </w:p>
    <w:p w14:paraId="7840CDF2">
      <w:pPr>
        <w:pStyle w:val="25"/>
        <w:spacing w:line="520" w:lineRule="exact"/>
        <w:ind w:firstLine="1280" w:firstLineChars="400"/>
        <w:outlineLvl w:val="2"/>
        <w:rPr>
          <w:rStyle w:val="50"/>
          <w:rFonts w:hint="default" w:eastAsia="宋体"/>
          <w:iCs/>
          <w:color w:val="000000"/>
          <w:sz w:val="32"/>
          <w:szCs w:val="32"/>
          <w:highlight w:val="none"/>
          <w:lang w:val="en-US" w:eastAsia="zh-CN"/>
        </w:rPr>
      </w:pPr>
      <w:r>
        <w:rPr>
          <w:rStyle w:val="50"/>
          <w:rFonts w:hint="eastAsia"/>
          <w:iCs/>
          <w:color w:val="000000"/>
          <w:sz w:val="32"/>
          <w:szCs w:val="32"/>
          <w:highlight w:val="none"/>
        </w:rPr>
        <w:t>方案审核人：</w:t>
      </w:r>
      <w:r>
        <w:rPr>
          <w:rStyle w:val="50"/>
          <w:rFonts w:hint="eastAsia"/>
          <w:iCs/>
          <w:color w:val="000000"/>
          <w:sz w:val="32"/>
          <w:szCs w:val="32"/>
          <w:highlight w:val="none"/>
          <w:lang w:val="en-US" w:eastAsia="zh-CN"/>
        </w:rPr>
        <w:t>刘继虎</w:t>
      </w:r>
    </w:p>
    <w:p w14:paraId="01806D84">
      <w:pPr>
        <w:pStyle w:val="25"/>
        <w:spacing w:line="520" w:lineRule="exact"/>
        <w:ind w:firstLine="1280" w:firstLineChars="400"/>
        <w:outlineLvl w:val="2"/>
        <w:rPr>
          <w:rFonts w:hint="eastAsia" w:ascii="宋体" w:hAnsi="宋体" w:cs="宋体"/>
          <w:b/>
          <w:color w:val="000000"/>
          <w:sz w:val="28"/>
          <w:szCs w:val="28"/>
          <w:highlight w:val="none"/>
        </w:rPr>
        <w:sectPr>
          <w:headerReference r:id="rId3" w:type="default"/>
          <w:pgSz w:w="11906" w:h="16838"/>
          <w:pgMar w:top="1134" w:right="1418" w:bottom="1134" w:left="896" w:header="851" w:footer="992" w:gutter="567"/>
          <w:pgNumType w:start="1"/>
          <w:cols w:space="720" w:num="1"/>
          <w:docGrid w:type="lines" w:linePitch="312" w:charSpace="0"/>
        </w:sectPr>
      </w:pPr>
      <w:r>
        <w:rPr>
          <w:rStyle w:val="50"/>
          <w:rFonts w:hint="eastAsia"/>
          <w:iCs/>
          <w:color w:val="000000"/>
          <w:sz w:val="32"/>
          <w:szCs w:val="32"/>
          <w:highlight w:val="none"/>
        </w:rPr>
        <w:t>方案提交日期：二〇二</w:t>
      </w:r>
      <w:r>
        <w:rPr>
          <w:rStyle w:val="50"/>
          <w:rFonts w:hint="eastAsia"/>
          <w:iCs/>
          <w:color w:val="000000"/>
          <w:sz w:val="32"/>
          <w:szCs w:val="32"/>
          <w:highlight w:val="none"/>
          <w:lang w:val="en-US" w:eastAsia="zh-CN"/>
        </w:rPr>
        <w:t>五</w:t>
      </w:r>
      <w:r>
        <w:rPr>
          <w:rStyle w:val="50"/>
          <w:rFonts w:hint="eastAsia"/>
          <w:iCs/>
          <w:color w:val="000000"/>
          <w:sz w:val="32"/>
          <w:szCs w:val="32"/>
          <w:highlight w:val="none"/>
        </w:rPr>
        <w:t>年</w:t>
      </w:r>
      <w:r>
        <w:rPr>
          <w:rStyle w:val="50"/>
          <w:rFonts w:hint="eastAsia"/>
          <w:iCs/>
          <w:color w:val="000000"/>
          <w:sz w:val="32"/>
          <w:szCs w:val="32"/>
          <w:highlight w:val="none"/>
          <w:lang w:val="en-US" w:eastAsia="zh-CN"/>
        </w:rPr>
        <w:t>一</w:t>
      </w:r>
      <w:r>
        <w:rPr>
          <w:rStyle w:val="50"/>
          <w:rFonts w:hint="eastAsia"/>
          <w:iCs/>
          <w:color w:val="000000"/>
          <w:sz w:val="32"/>
          <w:szCs w:val="32"/>
          <w:highlight w:val="none"/>
        </w:rPr>
        <w:t>月</w:t>
      </w:r>
    </w:p>
    <w:p w14:paraId="35072FFB">
      <w:pPr>
        <w:jc w:val="center"/>
        <w:rPr>
          <w:rFonts w:hint="eastAsia" w:ascii="宋体" w:hAnsi="宋体" w:cs="宋体"/>
          <w:b/>
          <w:color w:val="000000"/>
          <w:sz w:val="28"/>
          <w:szCs w:val="28"/>
          <w:highlight w:val="none"/>
        </w:rPr>
        <w:sectPr>
          <w:headerReference r:id="rId4" w:type="default"/>
          <w:footerReference r:id="rId5" w:type="default"/>
          <w:type w:val="continuous"/>
          <w:pgSz w:w="11906" w:h="16838"/>
          <w:pgMar w:top="1134" w:right="1418" w:bottom="1134" w:left="896" w:header="851" w:footer="992" w:gutter="567"/>
          <w:cols w:space="720" w:num="1"/>
          <w:docGrid w:type="lines" w:linePitch="312" w:charSpace="0"/>
        </w:sectPr>
      </w:pPr>
    </w:p>
    <w:tbl>
      <w:tblPr>
        <w:tblStyle w:val="19"/>
        <w:tblpPr w:leftFromText="180" w:rightFromText="180" w:vertAnchor="text" w:horzAnchor="page" w:tblpX="1780" w:tblpY="447"/>
        <w:tblOverlap w:val="never"/>
        <w:tblW w:w="83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89"/>
        <w:gridCol w:w="1857"/>
        <w:gridCol w:w="1749"/>
        <w:gridCol w:w="2457"/>
        <w:gridCol w:w="187"/>
        <w:gridCol w:w="1429"/>
      </w:tblGrid>
      <w:tr w14:paraId="60C46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5" w:hRule="exact"/>
        </w:trPr>
        <w:tc>
          <w:tcPr>
            <w:tcW w:w="689" w:type="dxa"/>
            <w:vMerge w:val="restart"/>
            <w:noWrap w:val="0"/>
            <w:vAlign w:val="center"/>
          </w:tcPr>
          <w:p w14:paraId="06D51E7E">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bCs/>
                <w:color w:val="000000"/>
                <w:spacing w:val="0"/>
                <w:sz w:val="21"/>
                <w:szCs w:val="21"/>
                <w:highlight w:val="none"/>
                <w:lang w:val="en-US" w:eastAsia="zh-CN"/>
              </w:rPr>
            </w:pPr>
            <w:r>
              <w:rPr>
                <w:rFonts w:hint="eastAsia" w:ascii="宋体" w:hAnsi="宋体" w:eastAsia="宋体" w:cs="宋体"/>
                <w:bCs/>
                <w:color w:val="000000"/>
                <w:spacing w:val="0"/>
                <w:sz w:val="21"/>
                <w:szCs w:val="21"/>
                <w:highlight w:val="none"/>
                <w:lang w:val="en-US" w:eastAsia="zh-CN"/>
              </w:rPr>
              <w:t>项</w:t>
            </w:r>
          </w:p>
          <w:p w14:paraId="296D5FEC">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bCs/>
                <w:color w:val="000000"/>
                <w:spacing w:val="0"/>
                <w:sz w:val="21"/>
                <w:szCs w:val="21"/>
                <w:highlight w:val="none"/>
                <w:lang w:val="en-US" w:eastAsia="zh-CN"/>
              </w:rPr>
            </w:pPr>
            <w:r>
              <w:rPr>
                <w:rFonts w:hint="eastAsia" w:ascii="宋体" w:hAnsi="宋体" w:eastAsia="宋体" w:cs="宋体"/>
                <w:bCs/>
                <w:color w:val="000000"/>
                <w:spacing w:val="0"/>
                <w:sz w:val="21"/>
                <w:szCs w:val="21"/>
                <w:highlight w:val="none"/>
                <w:lang w:val="en-US" w:eastAsia="zh-CN"/>
              </w:rPr>
              <w:t>目</w:t>
            </w:r>
          </w:p>
          <w:p w14:paraId="406F9A52">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bCs/>
                <w:color w:val="000000"/>
                <w:spacing w:val="0"/>
                <w:sz w:val="21"/>
                <w:szCs w:val="21"/>
                <w:highlight w:val="none"/>
                <w:lang w:val="en-US" w:eastAsia="zh-CN"/>
              </w:rPr>
            </w:pPr>
            <w:r>
              <w:rPr>
                <w:rFonts w:hint="eastAsia" w:ascii="宋体" w:hAnsi="宋体" w:eastAsia="宋体" w:cs="宋体"/>
                <w:bCs/>
                <w:color w:val="000000"/>
                <w:spacing w:val="0"/>
                <w:sz w:val="21"/>
                <w:szCs w:val="21"/>
                <w:highlight w:val="none"/>
                <w:lang w:val="en-US" w:eastAsia="zh-CN"/>
              </w:rPr>
              <w:t>概</w:t>
            </w:r>
          </w:p>
          <w:p w14:paraId="7D0C747B">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bCs/>
                <w:color w:val="000000"/>
                <w:spacing w:val="0"/>
                <w:sz w:val="21"/>
                <w:szCs w:val="21"/>
                <w:highlight w:val="none"/>
                <w:lang w:val="en-US" w:eastAsia="zh-CN"/>
              </w:rPr>
            </w:pPr>
            <w:r>
              <w:rPr>
                <w:rFonts w:hint="eastAsia" w:ascii="宋体" w:hAnsi="宋体" w:eastAsia="宋体" w:cs="宋体"/>
                <w:bCs/>
                <w:color w:val="000000"/>
                <w:spacing w:val="0"/>
                <w:sz w:val="21"/>
                <w:szCs w:val="21"/>
                <w:highlight w:val="none"/>
                <w:lang w:val="en-US" w:eastAsia="zh-CN"/>
              </w:rPr>
              <w:t>况</w:t>
            </w:r>
          </w:p>
        </w:tc>
        <w:tc>
          <w:tcPr>
            <w:tcW w:w="1857" w:type="dxa"/>
            <w:noWrap w:val="0"/>
            <w:vAlign w:val="center"/>
          </w:tcPr>
          <w:p w14:paraId="1E3636AE">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pacing w:val="0"/>
                <w:sz w:val="21"/>
                <w:szCs w:val="21"/>
                <w:highlight w:val="none"/>
              </w:rPr>
            </w:pPr>
            <w:r>
              <w:rPr>
                <w:rFonts w:hint="eastAsia" w:ascii="宋体" w:hAnsi="宋体" w:eastAsia="宋体" w:cs="宋体"/>
                <w:bCs/>
                <w:color w:val="000000"/>
                <w:spacing w:val="0"/>
                <w:sz w:val="21"/>
                <w:szCs w:val="21"/>
                <w:highlight w:val="none"/>
              </w:rPr>
              <w:t>项目名称</w:t>
            </w:r>
          </w:p>
        </w:tc>
        <w:tc>
          <w:tcPr>
            <w:tcW w:w="5822" w:type="dxa"/>
            <w:gridSpan w:val="4"/>
            <w:noWrap w:val="0"/>
            <w:vAlign w:val="center"/>
          </w:tcPr>
          <w:p w14:paraId="16E66A1A">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default" w:ascii="宋体" w:hAnsi="宋体" w:eastAsia="宋体" w:cs="宋体"/>
                <w:bCs/>
                <w:color w:val="000000"/>
                <w:spacing w:val="0"/>
                <w:sz w:val="21"/>
                <w:szCs w:val="21"/>
                <w:highlight w:val="none"/>
                <w:lang w:val="en-US"/>
              </w:rPr>
            </w:pPr>
            <w:r>
              <w:rPr>
                <w:rFonts w:hint="eastAsia" w:ascii="宋体" w:hAnsi="宋体" w:eastAsia="宋体" w:cs="宋体"/>
                <w:color w:val="000000"/>
                <w:szCs w:val="21"/>
                <w:highlight w:val="none"/>
                <w:lang w:val="en-US" w:eastAsia="zh-CN"/>
              </w:rPr>
              <w:t>中交一公局集团有限公司G331线至三塘湖火车站道路建设项目临时用地</w:t>
            </w:r>
          </w:p>
        </w:tc>
      </w:tr>
      <w:tr w14:paraId="7DD6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exact"/>
        </w:trPr>
        <w:tc>
          <w:tcPr>
            <w:tcW w:w="689" w:type="dxa"/>
            <w:vMerge w:val="continue"/>
            <w:noWrap w:val="0"/>
            <w:vAlign w:val="center"/>
          </w:tcPr>
          <w:p w14:paraId="52A137A1">
            <w:pPr>
              <w:keepNext w:val="0"/>
              <w:keepLines w:val="0"/>
              <w:pageBreakBefore w:val="0"/>
              <w:widowControl/>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bCs/>
                <w:color w:val="000000"/>
                <w:spacing w:val="0"/>
                <w:sz w:val="21"/>
                <w:szCs w:val="21"/>
                <w:highlight w:val="none"/>
              </w:rPr>
            </w:pPr>
          </w:p>
        </w:tc>
        <w:tc>
          <w:tcPr>
            <w:tcW w:w="1857" w:type="dxa"/>
            <w:noWrap w:val="0"/>
            <w:vAlign w:val="center"/>
          </w:tcPr>
          <w:p w14:paraId="638322EF">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pacing w:val="0"/>
                <w:sz w:val="21"/>
                <w:szCs w:val="21"/>
                <w:highlight w:val="none"/>
              </w:rPr>
            </w:pPr>
            <w:r>
              <w:rPr>
                <w:rFonts w:hint="eastAsia" w:ascii="宋体" w:hAnsi="宋体" w:eastAsia="宋体" w:cs="宋体"/>
                <w:bCs/>
                <w:color w:val="000000"/>
                <w:spacing w:val="0"/>
                <w:sz w:val="21"/>
                <w:szCs w:val="21"/>
                <w:highlight w:val="none"/>
              </w:rPr>
              <w:t>单位名称</w:t>
            </w:r>
          </w:p>
        </w:tc>
        <w:tc>
          <w:tcPr>
            <w:tcW w:w="5822" w:type="dxa"/>
            <w:gridSpan w:val="4"/>
            <w:noWrap w:val="0"/>
            <w:vAlign w:val="center"/>
          </w:tcPr>
          <w:p w14:paraId="2F763C3F">
            <w:pPr>
              <w:keepNext w:val="0"/>
              <w:keepLines w:val="0"/>
              <w:pageBreakBefore w:val="0"/>
              <w:widowControl/>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bCs/>
                <w:color w:val="000000"/>
                <w:spacing w:val="0"/>
                <w:sz w:val="21"/>
                <w:szCs w:val="21"/>
                <w:highlight w:val="none"/>
              </w:rPr>
            </w:pPr>
            <w:r>
              <w:rPr>
                <w:rFonts w:hint="eastAsia" w:ascii="宋体" w:hAnsi="宋体" w:eastAsia="宋体" w:cs="宋体"/>
                <w:color w:val="000000"/>
                <w:szCs w:val="21"/>
                <w:highlight w:val="none"/>
                <w:lang w:val="en-US" w:eastAsia="zh-CN"/>
              </w:rPr>
              <w:t>中交一公局集团有限公司</w:t>
            </w:r>
          </w:p>
        </w:tc>
      </w:tr>
      <w:tr w14:paraId="4DB1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99" w:hRule="exact"/>
        </w:trPr>
        <w:tc>
          <w:tcPr>
            <w:tcW w:w="689" w:type="dxa"/>
            <w:vMerge w:val="continue"/>
            <w:noWrap w:val="0"/>
            <w:vAlign w:val="center"/>
          </w:tcPr>
          <w:p w14:paraId="451507A8">
            <w:pPr>
              <w:keepNext w:val="0"/>
              <w:keepLines w:val="0"/>
              <w:pageBreakBefore w:val="0"/>
              <w:widowControl/>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bCs/>
                <w:color w:val="000000"/>
                <w:spacing w:val="0"/>
                <w:sz w:val="21"/>
                <w:szCs w:val="21"/>
                <w:highlight w:val="none"/>
              </w:rPr>
            </w:pPr>
          </w:p>
        </w:tc>
        <w:tc>
          <w:tcPr>
            <w:tcW w:w="1857" w:type="dxa"/>
            <w:noWrap w:val="0"/>
            <w:vAlign w:val="center"/>
          </w:tcPr>
          <w:p w14:paraId="333F1C19">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pacing w:val="0"/>
                <w:sz w:val="21"/>
                <w:szCs w:val="21"/>
                <w:highlight w:val="none"/>
              </w:rPr>
            </w:pPr>
            <w:r>
              <w:rPr>
                <w:rFonts w:hint="eastAsia" w:ascii="宋体" w:hAnsi="宋体" w:eastAsia="宋体" w:cs="宋体"/>
                <w:bCs/>
                <w:color w:val="000000"/>
                <w:spacing w:val="0"/>
                <w:sz w:val="21"/>
                <w:szCs w:val="21"/>
                <w:highlight w:val="none"/>
              </w:rPr>
              <w:t>单位地址</w:t>
            </w:r>
          </w:p>
        </w:tc>
        <w:tc>
          <w:tcPr>
            <w:tcW w:w="5822" w:type="dxa"/>
            <w:gridSpan w:val="4"/>
            <w:noWrap w:val="0"/>
            <w:vAlign w:val="center"/>
          </w:tcPr>
          <w:p w14:paraId="39382752">
            <w:pPr>
              <w:keepNext w:val="0"/>
              <w:keepLines w:val="0"/>
              <w:pageBreakBefore w:val="0"/>
              <w:suppressLineNumbers w:val="0"/>
              <w:kinsoku/>
              <w:wordWrap/>
              <w:overflowPunct/>
              <w:topLinePunct w:val="0"/>
              <w:autoSpaceDE/>
              <w:autoSpaceDN/>
              <w:bidi w:val="0"/>
              <w:spacing w:before="163" w:beforeLines="50" w:beforeAutospacing="0" w:after="163" w:afterLines="50" w:afterAutospacing="0" w:line="260" w:lineRule="exact"/>
              <w:ind w:left="0" w:right="0"/>
              <w:jc w:val="center"/>
              <w:textAlignment w:val="auto"/>
              <w:rPr>
                <w:rFonts w:hint="default" w:ascii="宋体" w:hAnsi="宋体" w:eastAsia="宋体" w:cs="宋体"/>
                <w:color w:val="000000"/>
                <w:spacing w:val="0"/>
                <w:kern w:val="0"/>
                <w:sz w:val="21"/>
                <w:szCs w:val="21"/>
                <w:highlight w:val="none"/>
                <w:lang w:val="en-US" w:eastAsia="zh-CN"/>
              </w:rPr>
            </w:pPr>
            <w:r>
              <w:rPr>
                <w:rFonts w:hint="eastAsia" w:ascii="宋体" w:hAnsi="宋体" w:eastAsia="宋体" w:cs="宋体"/>
                <w:color w:val="000000"/>
                <w:spacing w:val="0"/>
                <w:kern w:val="0"/>
                <w:sz w:val="21"/>
                <w:szCs w:val="21"/>
                <w:highlight w:val="none"/>
                <w:lang w:val="en-US" w:eastAsia="zh-CN"/>
              </w:rPr>
              <w:t>北京市朝阳区管庄周家井</w:t>
            </w:r>
          </w:p>
        </w:tc>
      </w:tr>
      <w:tr w14:paraId="0598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exact"/>
        </w:trPr>
        <w:tc>
          <w:tcPr>
            <w:tcW w:w="689" w:type="dxa"/>
            <w:vMerge w:val="continue"/>
            <w:noWrap w:val="0"/>
            <w:vAlign w:val="center"/>
          </w:tcPr>
          <w:p w14:paraId="28B38DC7">
            <w:pPr>
              <w:keepNext w:val="0"/>
              <w:keepLines w:val="0"/>
              <w:pageBreakBefore w:val="0"/>
              <w:widowControl/>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bCs/>
                <w:color w:val="000000"/>
                <w:spacing w:val="0"/>
                <w:sz w:val="21"/>
                <w:szCs w:val="21"/>
                <w:highlight w:val="none"/>
              </w:rPr>
            </w:pPr>
          </w:p>
        </w:tc>
        <w:tc>
          <w:tcPr>
            <w:tcW w:w="1857" w:type="dxa"/>
            <w:noWrap w:val="0"/>
            <w:vAlign w:val="center"/>
          </w:tcPr>
          <w:p w14:paraId="2EEEFBB6">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pacing w:val="0"/>
                <w:sz w:val="21"/>
                <w:szCs w:val="21"/>
                <w:highlight w:val="none"/>
              </w:rPr>
            </w:pPr>
            <w:r>
              <w:rPr>
                <w:rFonts w:hint="eastAsia" w:ascii="宋体" w:hAnsi="宋体" w:eastAsia="宋体" w:cs="宋体"/>
                <w:bCs/>
                <w:color w:val="000000"/>
                <w:spacing w:val="0"/>
                <w:sz w:val="21"/>
                <w:szCs w:val="21"/>
                <w:highlight w:val="none"/>
              </w:rPr>
              <w:t>法人代表</w:t>
            </w:r>
          </w:p>
        </w:tc>
        <w:tc>
          <w:tcPr>
            <w:tcW w:w="1749" w:type="dxa"/>
            <w:noWrap w:val="0"/>
            <w:vAlign w:val="center"/>
          </w:tcPr>
          <w:p w14:paraId="7F2242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宋体" w:hAnsi="宋体" w:eastAsia="宋体" w:cs="宋体"/>
                <w:bCs/>
                <w:color w:val="000000"/>
                <w:szCs w:val="21"/>
                <w:highlight w:val="none"/>
                <w:lang w:val="en-US" w:eastAsia="zh-CN"/>
              </w:rPr>
            </w:pPr>
            <w:r>
              <w:rPr>
                <w:rFonts w:hint="eastAsia" w:ascii="宋体" w:hAnsi="宋体" w:eastAsia="宋体" w:cs="宋体"/>
                <w:bCs/>
                <w:color w:val="000000"/>
                <w:szCs w:val="21"/>
                <w:highlight w:val="none"/>
                <w:lang w:val="en-US" w:eastAsia="zh-CN"/>
              </w:rPr>
              <w:t>韩国明</w:t>
            </w:r>
          </w:p>
        </w:tc>
        <w:tc>
          <w:tcPr>
            <w:tcW w:w="2457" w:type="dxa"/>
            <w:noWrap w:val="0"/>
            <w:vAlign w:val="center"/>
          </w:tcPr>
          <w:p w14:paraId="3AEE3B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Cs/>
                <w:color w:val="000000"/>
                <w:szCs w:val="21"/>
                <w:highlight w:val="none"/>
                <w:lang w:val="en-US" w:eastAsia="zh-CN"/>
              </w:rPr>
            </w:pPr>
            <w:r>
              <w:rPr>
                <w:rFonts w:hint="eastAsia" w:ascii="宋体" w:hAnsi="宋体" w:eastAsia="宋体" w:cs="宋体"/>
                <w:bCs/>
                <w:color w:val="000000"/>
                <w:szCs w:val="21"/>
                <w:highlight w:val="none"/>
                <w:lang w:val="en-US" w:eastAsia="zh-CN"/>
              </w:rPr>
              <w:t>联系电话</w:t>
            </w:r>
          </w:p>
        </w:tc>
        <w:tc>
          <w:tcPr>
            <w:tcW w:w="1616" w:type="dxa"/>
            <w:gridSpan w:val="2"/>
            <w:noWrap w:val="0"/>
            <w:vAlign w:val="center"/>
          </w:tcPr>
          <w:p w14:paraId="27655E26">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default" w:ascii="宋体" w:hAnsi="宋体" w:eastAsia="宋体" w:cs="宋体"/>
                <w:bCs/>
                <w:color w:val="000000"/>
                <w:spacing w:val="0"/>
                <w:sz w:val="21"/>
                <w:szCs w:val="21"/>
                <w:highlight w:val="none"/>
                <w:lang w:val="en-US" w:eastAsia="zh-CN"/>
              </w:rPr>
            </w:pPr>
          </w:p>
        </w:tc>
      </w:tr>
      <w:tr w14:paraId="00221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7" w:hRule="exact"/>
        </w:trPr>
        <w:tc>
          <w:tcPr>
            <w:tcW w:w="689" w:type="dxa"/>
            <w:vMerge w:val="continue"/>
            <w:noWrap w:val="0"/>
            <w:vAlign w:val="center"/>
          </w:tcPr>
          <w:p w14:paraId="16E4DA02">
            <w:pPr>
              <w:keepNext w:val="0"/>
              <w:keepLines w:val="0"/>
              <w:pageBreakBefore w:val="0"/>
              <w:widowControl/>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bCs/>
                <w:color w:val="000000"/>
                <w:spacing w:val="0"/>
                <w:sz w:val="21"/>
                <w:szCs w:val="21"/>
                <w:highlight w:val="none"/>
              </w:rPr>
            </w:pPr>
          </w:p>
        </w:tc>
        <w:tc>
          <w:tcPr>
            <w:tcW w:w="1857" w:type="dxa"/>
            <w:noWrap w:val="0"/>
            <w:vAlign w:val="center"/>
          </w:tcPr>
          <w:p w14:paraId="005EEEA4">
            <w:pPr>
              <w:keepNext w:val="0"/>
              <w:keepLines w:val="0"/>
              <w:pageBreakBefore w:val="0"/>
              <w:suppressLineNumbers w:val="0"/>
              <w:kinsoku/>
              <w:wordWrap/>
              <w:overflowPunct/>
              <w:topLinePunct w:val="0"/>
              <w:autoSpaceDE/>
              <w:autoSpaceDN/>
              <w:bidi w:val="0"/>
              <w:spacing w:before="163" w:beforeLines="50" w:beforeAutospacing="0" w:after="163" w:afterLines="50" w:afterAutospacing="0" w:line="260" w:lineRule="exact"/>
              <w:ind w:left="0" w:right="0"/>
              <w:jc w:val="center"/>
              <w:textAlignment w:val="auto"/>
              <w:rPr>
                <w:rFonts w:hint="eastAsia" w:ascii="宋体" w:hAnsi="宋体" w:eastAsia="宋体" w:cs="宋体"/>
                <w:bCs/>
                <w:color w:val="000000"/>
                <w:spacing w:val="0"/>
                <w:sz w:val="21"/>
                <w:szCs w:val="21"/>
                <w:highlight w:val="none"/>
              </w:rPr>
            </w:pPr>
            <w:r>
              <w:rPr>
                <w:rFonts w:hint="eastAsia" w:ascii="宋体" w:hAnsi="宋体" w:eastAsia="宋体" w:cs="宋体"/>
                <w:bCs/>
                <w:color w:val="000000"/>
                <w:spacing w:val="0"/>
                <w:sz w:val="21"/>
                <w:szCs w:val="21"/>
                <w:highlight w:val="none"/>
              </w:rPr>
              <w:t>企业性质</w:t>
            </w:r>
          </w:p>
        </w:tc>
        <w:tc>
          <w:tcPr>
            <w:tcW w:w="1749" w:type="dxa"/>
            <w:tcBorders>
              <w:bottom w:val="single" w:color="auto" w:sz="4" w:space="0"/>
            </w:tcBorders>
            <w:noWrap w:val="0"/>
            <w:vAlign w:val="center"/>
          </w:tcPr>
          <w:p w14:paraId="2E724662">
            <w:pPr>
              <w:keepNext w:val="0"/>
              <w:keepLines w:val="0"/>
              <w:pageBreakBefore w:val="0"/>
              <w:suppressLineNumbers w:val="0"/>
              <w:kinsoku/>
              <w:wordWrap/>
              <w:overflowPunct/>
              <w:topLinePunct w:val="0"/>
              <w:autoSpaceDE/>
              <w:autoSpaceDN/>
              <w:bidi w:val="0"/>
              <w:spacing w:before="163" w:beforeLines="50" w:beforeAutospacing="0" w:after="163" w:afterLines="50" w:afterAutospacing="0" w:line="260" w:lineRule="exact"/>
              <w:ind w:left="0" w:right="0"/>
              <w:jc w:val="center"/>
              <w:textAlignment w:val="auto"/>
              <w:rPr>
                <w:rFonts w:hint="eastAsia" w:ascii="宋体" w:hAnsi="宋体" w:eastAsia="宋体" w:cs="宋体"/>
                <w:bCs/>
                <w:color w:val="000000"/>
                <w:spacing w:val="0"/>
                <w:sz w:val="21"/>
                <w:szCs w:val="21"/>
                <w:highlight w:val="none"/>
                <w:lang w:val="en-US" w:eastAsia="zh-CN"/>
              </w:rPr>
            </w:pPr>
            <w:r>
              <w:rPr>
                <w:rFonts w:hint="eastAsia" w:ascii="宋体" w:hAnsi="宋体" w:eastAsia="宋体" w:cs="宋体"/>
                <w:bCs/>
                <w:color w:val="000000"/>
                <w:spacing w:val="0"/>
                <w:sz w:val="21"/>
                <w:szCs w:val="21"/>
                <w:highlight w:val="none"/>
                <w:lang w:val="en-US" w:eastAsia="zh-CN"/>
              </w:rPr>
              <w:t>其他有限责任公司</w:t>
            </w:r>
          </w:p>
          <w:p w14:paraId="48CAAD45">
            <w:pPr>
              <w:keepNext w:val="0"/>
              <w:keepLines w:val="0"/>
              <w:pageBreakBefore w:val="0"/>
              <w:suppressLineNumbers w:val="0"/>
              <w:kinsoku/>
              <w:wordWrap/>
              <w:overflowPunct/>
              <w:topLinePunct w:val="0"/>
              <w:autoSpaceDE/>
              <w:autoSpaceDN/>
              <w:bidi w:val="0"/>
              <w:spacing w:before="163" w:beforeLines="50" w:beforeAutospacing="0" w:after="163" w:afterLines="50" w:afterAutospacing="0" w:line="260" w:lineRule="exact"/>
              <w:ind w:left="0" w:right="0"/>
              <w:jc w:val="center"/>
              <w:textAlignment w:val="auto"/>
              <w:rPr>
                <w:rFonts w:hint="eastAsia" w:ascii="宋体" w:hAnsi="宋体" w:eastAsia="宋体" w:cs="宋体"/>
                <w:bCs/>
                <w:color w:val="000000"/>
                <w:spacing w:val="0"/>
                <w:sz w:val="21"/>
                <w:szCs w:val="21"/>
                <w:highlight w:val="none"/>
                <w:lang w:val="en-US" w:eastAsia="zh-CN"/>
              </w:rPr>
            </w:pPr>
          </w:p>
        </w:tc>
        <w:tc>
          <w:tcPr>
            <w:tcW w:w="2457" w:type="dxa"/>
            <w:tcBorders>
              <w:bottom w:val="single" w:color="auto" w:sz="4" w:space="0"/>
            </w:tcBorders>
            <w:noWrap w:val="0"/>
            <w:vAlign w:val="center"/>
          </w:tcPr>
          <w:p w14:paraId="14BA259C">
            <w:pPr>
              <w:keepNext w:val="0"/>
              <w:keepLines w:val="0"/>
              <w:pageBreakBefore w:val="0"/>
              <w:suppressLineNumbers w:val="0"/>
              <w:kinsoku/>
              <w:wordWrap/>
              <w:overflowPunct/>
              <w:topLinePunct w:val="0"/>
              <w:autoSpaceDE/>
              <w:autoSpaceDN/>
              <w:bidi w:val="0"/>
              <w:spacing w:before="163" w:beforeLines="50" w:beforeAutospacing="0" w:after="163" w:afterLines="50" w:afterAutospacing="0" w:line="260" w:lineRule="exact"/>
              <w:ind w:left="0" w:right="0"/>
              <w:jc w:val="center"/>
              <w:textAlignment w:val="auto"/>
              <w:rPr>
                <w:rFonts w:hint="default" w:ascii="宋体" w:hAnsi="宋体" w:eastAsia="宋体" w:cs="宋体"/>
                <w:bCs/>
                <w:color w:val="000000"/>
                <w:spacing w:val="0"/>
                <w:sz w:val="21"/>
                <w:szCs w:val="21"/>
                <w:highlight w:val="none"/>
                <w:lang w:val="en-US" w:eastAsia="zh-CN"/>
              </w:rPr>
            </w:pPr>
            <w:r>
              <w:rPr>
                <w:rFonts w:hint="eastAsia" w:ascii="宋体" w:hAnsi="宋体" w:eastAsia="宋体" w:cs="宋体"/>
                <w:bCs/>
                <w:color w:val="000000"/>
                <w:spacing w:val="0"/>
                <w:sz w:val="21"/>
                <w:szCs w:val="21"/>
                <w:highlight w:val="none"/>
                <w:lang w:val="en-US" w:eastAsia="zh-CN"/>
              </w:rPr>
              <w:t>项目性质</w:t>
            </w:r>
          </w:p>
        </w:tc>
        <w:tc>
          <w:tcPr>
            <w:tcW w:w="1616" w:type="dxa"/>
            <w:gridSpan w:val="2"/>
            <w:tcBorders>
              <w:bottom w:val="single" w:color="auto" w:sz="4" w:space="0"/>
            </w:tcBorders>
            <w:noWrap w:val="0"/>
            <w:vAlign w:val="center"/>
          </w:tcPr>
          <w:p w14:paraId="561D6A19">
            <w:pPr>
              <w:keepNext w:val="0"/>
              <w:keepLines w:val="0"/>
              <w:pageBreakBefore w:val="0"/>
              <w:suppressLineNumbers w:val="0"/>
              <w:kinsoku/>
              <w:wordWrap/>
              <w:overflowPunct/>
              <w:topLinePunct w:val="0"/>
              <w:autoSpaceDE/>
              <w:autoSpaceDN/>
              <w:bidi w:val="0"/>
              <w:spacing w:before="163" w:beforeLines="50" w:beforeAutospacing="0" w:after="163" w:afterLines="50" w:afterAutospacing="0" w:line="260" w:lineRule="exact"/>
              <w:ind w:left="0" w:right="0"/>
              <w:jc w:val="center"/>
              <w:textAlignment w:val="auto"/>
              <w:rPr>
                <w:rFonts w:hint="default" w:ascii="宋体" w:hAnsi="宋体" w:eastAsia="宋体" w:cs="宋体"/>
                <w:bCs/>
                <w:color w:val="000000"/>
                <w:spacing w:val="0"/>
                <w:sz w:val="21"/>
                <w:szCs w:val="21"/>
                <w:highlight w:val="none"/>
                <w:lang w:val="en-US" w:eastAsia="zh-CN"/>
              </w:rPr>
            </w:pPr>
            <w:r>
              <w:rPr>
                <w:rFonts w:hint="eastAsia" w:ascii="宋体" w:hAnsi="宋体" w:eastAsia="宋体" w:cs="宋体"/>
                <w:bCs/>
                <w:color w:val="000000"/>
                <w:spacing w:val="0"/>
                <w:sz w:val="21"/>
                <w:szCs w:val="21"/>
                <w:highlight w:val="none"/>
                <w:lang w:val="en-US" w:eastAsia="zh-CN"/>
              </w:rPr>
              <w:t>临时用地</w:t>
            </w:r>
          </w:p>
        </w:tc>
      </w:tr>
      <w:tr w14:paraId="405E6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1" w:hRule="atLeast"/>
        </w:trPr>
        <w:tc>
          <w:tcPr>
            <w:tcW w:w="689" w:type="dxa"/>
            <w:vMerge w:val="continue"/>
            <w:noWrap w:val="0"/>
            <w:vAlign w:val="center"/>
          </w:tcPr>
          <w:p w14:paraId="2AE5349C">
            <w:pPr>
              <w:keepNext w:val="0"/>
              <w:keepLines w:val="0"/>
              <w:pageBreakBefore w:val="0"/>
              <w:widowControl/>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bCs/>
                <w:color w:val="000000"/>
                <w:spacing w:val="0"/>
                <w:sz w:val="21"/>
                <w:szCs w:val="21"/>
                <w:highlight w:val="none"/>
              </w:rPr>
            </w:pPr>
          </w:p>
        </w:tc>
        <w:tc>
          <w:tcPr>
            <w:tcW w:w="1857" w:type="dxa"/>
            <w:tcBorders>
              <w:right w:val="single" w:color="auto" w:sz="4" w:space="0"/>
            </w:tcBorders>
            <w:noWrap w:val="0"/>
            <w:vAlign w:val="center"/>
          </w:tcPr>
          <w:p w14:paraId="28B379A6">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pacing w:val="0"/>
                <w:sz w:val="21"/>
                <w:szCs w:val="21"/>
                <w:highlight w:val="none"/>
                <w:lang w:val="en-US" w:eastAsia="zh-CN"/>
              </w:rPr>
            </w:pPr>
            <w:r>
              <w:rPr>
                <w:rFonts w:hint="eastAsia" w:ascii="宋体" w:hAnsi="宋体" w:eastAsia="宋体" w:cs="宋体"/>
                <w:bCs/>
                <w:color w:val="000000"/>
                <w:spacing w:val="0"/>
                <w:sz w:val="21"/>
                <w:szCs w:val="21"/>
                <w:highlight w:val="none"/>
                <w:lang w:val="en-US" w:eastAsia="zh-CN"/>
              </w:rPr>
              <w:t>项目位置</w:t>
            </w:r>
          </w:p>
        </w:tc>
        <w:tc>
          <w:tcPr>
            <w:tcW w:w="5822" w:type="dxa"/>
            <w:gridSpan w:val="4"/>
            <w:tcBorders>
              <w:top w:val="single" w:color="auto" w:sz="4" w:space="0"/>
              <w:left w:val="single" w:color="auto" w:sz="4" w:space="0"/>
              <w:bottom w:val="single" w:color="auto" w:sz="4" w:space="0"/>
              <w:right w:val="single" w:color="auto" w:sz="4" w:space="0"/>
            </w:tcBorders>
            <w:noWrap w:val="0"/>
            <w:vAlign w:val="center"/>
          </w:tcPr>
          <w:p w14:paraId="38D34CFE">
            <w:pPr>
              <w:keepNext w:val="0"/>
              <w:keepLines w:val="0"/>
              <w:suppressLineNumbers w:val="0"/>
              <w:bidi w:val="0"/>
              <w:spacing w:before="0" w:beforeAutospacing="0" w:after="0" w:afterAutospacing="0"/>
              <w:ind w:left="0" w:right="0"/>
              <w:rPr>
                <w:rFonts w:hint="default" w:ascii="宋体" w:hAnsi="宋体" w:eastAsia="宋体" w:cs="宋体"/>
                <w:bCs/>
                <w:color w:val="000000"/>
                <w:spacing w:val="0"/>
                <w:szCs w:val="21"/>
                <w:highlight w:val="none"/>
                <w:lang w:val="en-US" w:eastAsia="zh-CN"/>
              </w:rPr>
            </w:pPr>
            <w:r>
              <w:rPr>
                <w:rFonts w:hint="eastAsia" w:ascii="宋体" w:hAnsi="宋体" w:eastAsia="宋体" w:cs="宋体"/>
                <w:lang w:val="en-US" w:eastAsia="zh-CN"/>
              </w:rPr>
              <w:t>隶属哈密市巴里坤哈萨克自治县三塘湖镇管辖。项目中心地理坐标：东经93°58′52.29″北纬44°01′50.23″。</w:t>
            </w:r>
          </w:p>
        </w:tc>
      </w:tr>
      <w:tr w14:paraId="0F5E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8" w:hRule="atLeast"/>
        </w:trPr>
        <w:tc>
          <w:tcPr>
            <w:tcW w:w="689" w:type="dxa"/>
            <w:vMerge w:val="continue"/>
            <w:noWrap w:val="0"/>
            <w:vAlign w:val="center"/>
          </w:tcPr>
          <w:p w14:paraId="4B306B89">
            <w:pPr>
              <w:keepNext w:val="0"/>
              <w:keepLines w:val="0"/>
              <w:pageBreakBefore w:val="0"/>
              <w:widowControl/>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bCs/>
                <w:color w:val="000000"/>
                <w:spacing w:val="0"/>
                <w:sz w:val="21"/>
                <w:szCs w:val="21"/>
                <w:highlight w:val="none"/>
              </w:rPr>
            </w:pPr>
          </w:p>
        </w:tc>
        <w:tc>
          <w:tcPr>
            <w:tcW w:w="1857" w:type="dxa"/>
            <w:noWrap w:val="0"/>
            <w:vAlign w:val="center"/>
          </w:tcPr>
          <w:p w14:paraId="1085F172">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159" w:leftChars="-76" w:right="-113" w:rightChars="-54" w:hanging="1"/>
              <w:jc w:val="center"/>
              <w:textAlignment w:val="auto"/>
              <w:rPr>
                <w:rFonts w:hint="default" w:ascii="宋体" w:hAnsi="宋体" w:eastAsia="宋体" w:cs="宋体"/>
                <w:bCs/>
                <w:color w:val="000000"/>
                <w:spacing w:val="0"/>
                <w:sz w:val="21"/>
                <w:szCs w:val="21"/>
                <w:highlight w:val="none"/>
                <w:lang w:val="en-US" w:eastAsia="zh-CN"/>
              </w:rPr>
            </w:pPr>
            <w:r>
              <w:rPr>
                <w:rFonts w:hint="eastAsia" w:ascii="宋体" w:hAnsi="宋体" w:eastAsia="宋体" w:cs="宋体"/>
                <w:bCs/>
                <w:color w:val="000000"/>
                <w:spacing w:val="0"/>
                <w:sz w:val="21"/>
                <w:szCs w:val="21"/>
                <w:highlight w:val="none"/>
                <w:lang w:val="en-US" w:eastAsia="zh-CN"/>
              </w:rPr>
              <w:t>资源储量</w:t>
            </w:r>
          </w:p>
        </w:tc>
        <w:tc>
          <w:tcPr>
            <w:tcW w:w="1749" w:type="dxa"/>
            <w:tcBorders>
              <w:top w:val="single" w:color="auto" w:sz="4" w:space="0"/>
            </w:tcBorders>
            <w:noWrap w:val="0"/>
            <w:vAlign w:val="center"/>
          </w:tcPr>
          <w:p w14:paraId="41A71C37">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default" w:ascii="宋体" w:hAnsi="宋体" w:eastAsia="宋体" w:cs="宋体"/>
                <w:bCs/>
                <w:color w:val="000000"/>
                <w:spacing w:val="0"/>
                <w:sz w:val="21"/>
                <w:szCs w:val="21"/>
                <w:highlight w:val="none"/>
                <w:lang w:val="en-US" w:eastAsia="zh-CN"/>
              </w:rPr>
            </w:pPr>
            <w:r>
              <w:rPr>
                <w:rFonts w:hint="eastAsia" w:ascii="宋体" w:hAnsi="宋体" w:eastAsia="宋体" w:cs="宋体"/>
                <w:bCs/>
                <w:color w:val="000000"/>
                <w:spacing w:val="0"/>
                <w:sz w:val="21"/>
                <w:szCs w:val="21"/>
                <w:highlight w:val="none"/>
                <w:lang w:val="en-US" w:eastAsia="zh-CN"/>
              </w:rPr>
              <w:t>/</w:t>
            </w:r>
          </w:p>
        </w:tc>
        <w:tc>
          <w:tcPr>
            <w:tcW w:w="2457" w:type="dxa"/>
            <w:tcBorders>
              <w:top w:val="single" w:color="auto" w:sz="4" w:space="0"/>
            </w:tcBorders>
            <w:noWrap w:val="0"/>
            <w:vAlign w:val="center"/>
          </w:tcPr>
          <w:p w14:paraId="31AF9500">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159" w:leftChars="-76" w:right="-113" w:rightChars="-54" w:hanging="1" w:firstLineChars="0"/>
              <w:jc w:val="center"/>
              <w:textAlignment w:val="auto"/>
              <w:rPr>
                <w:rFonts w:hint="eastAsia" w:ascii="宋体" w:hAnsi="宋体" w:eastAsia="宋体" w:cs="宋体"/>
                <w:bCs/>
                <w:color w:val="000000"/>
                <w:spacing w:val="0"/>
                <w:sz w:val="21"/>
                <w:szCs w:val="21"/>
                <w:highlight w:val="none"/>
                <w:lang w:val="en-US" w:eastAsia="zh-CN"/>
              </w:rPr>
            </w:pPr>
            <w:r>
              <w:rPr>
                <w:rFonts w:hint="eastAsia" w:ascii="宋体" w:hAnsi="宋体" w:eastAsia="宋体" w:cs="宋体"/>
                <w:bCs/>
                <w:color w:val="000000"/>
                <w:spacing w:val="0"/>
                <w:sz w:val="21"/>
                <w:szCs w:val="21"/>
                <w:highlight w:val="none"/>
                <w:lang w:val="en-US" w:eastAsia="zh-CN"/>
              </w:rPr>
              <w:t>投资规模</w:t>
            </w:r>
          </w:p>
        </w:tc>
        <w:tc>
          <w:tcPr>
            <w:tcW w:w="1616" w:type="dxa"/>
            <w:gridSpan w:val="2"/>
            <w:tcBorders>
              <w:top w:val="single" w:color="auto" w:sz="4" w:space="0"/>
            </w:tcBorders>
            <w:noWrap w:val="0"/>
            <w:vAlign w:val="center"/>
          </w:tcPr>
          <w:p w14:paraId="2B0D5BBD">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pacing w:val="0"/>
                <w:sz w:val="21"/>
                <w:szCs w:val="21"/>
                <w:highlight w:val="none"/>
                <w:lang w:val="en-US" w:eastAsia="zh-CN"/>
              </w:rPr>
            </w:pPr>
            <w:r>
              <w:rPr>
                <w:rFonts w:hint="eastAsia" w:ascii="宋体" w:hAnsi="宋体" w:eastAsia="宋体" w:cs="宋体"/>
                <w:bCs/>
                <w:color w:val="000000"/>
                <w:spacing w:val="0"/>
                <w:sz w:val="21"/>
                <w:szCs w:val="21"/>
                <w:highlight w:val="none"/>
                <w:lang w:val="en-US" w:eastAsia="zh-CN"/>
              </w:rPr>
              <w:t>/</w:t>
            </w:r>
          </w:p>
        </w:tc>
      </w:tr>
      <w:tr w14:paraId="2E86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trPr>
        <w:tc>
          <w:tcPr>
            <w:tcW w:w="689" w:type="dxa"/>
            <w:vMerge w:val="continue"/>
            <w:noWrap w:val="0"/>
            <w:vAlign w:val="center"/>
          </w:tcPr>
          <w:p w14:paraId="5A23AC48">
            <w:pPr>
              <w:keepNext w:val="0"/>
              <w:keepLines w:val="0"/>
              <w:pageBreakBefore w:val="0"/>
              <w:widowControl/>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bCs/>
                <w:color w:val="000000"/>
                <w:spacing w:val="0"/>
                <w:sz w:val="21"/>
                <w:szCs w:val="21"/>
                <w:highlight w:val="none"/>
              </w:rPr>
            </w:pPr>
          </w:p>
        </w:tc>
        <w:tc>
          <w:tcPr>
            <w:tcW w:w="1857" w:type="dxa"/>
            <w:noWrap w:val="0"/>
            <w:vAlign w:val="center"/>
          </w:tcPr>
          <w:p w14:paraId="5F27CC3A">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159" w:leftChars="-76" w:right="-113" w:rightChars="-54" w:hanging="1" w:firstLineChars="0"/>
              <w:jc w:val="center"/>
              <w:textAlignment w:val="auto"/>
              <w:rPr>
                <w:rFonts w:hint="default" w:ascii="宋体" w:hAnsi="宋体" w:eastAsia="宋体" w:cs="宋体"/>
                <w:bCs/>
                <w:color w:val="000000"/>
                <w:spacing w:val="0"/>
                <w:kern w:val="2"/>
                <w:sz w:val="21"/>
                <w:szCs w:val="21"/>
                <w:highlight w:val="none"/>
                <w:lang w:val="en-US" w:eastAsia="zh-CN" w:bidi="ar-SA"/>
              </w:rPr>
            </w:pPr>
            <w:r>
              <w:rPr>
                <w:rFonts w:hint="eastAsia" w:ascii="宋体" w:hAnsi="宋体" w:eastAsia="宋体" w:cs="宋体"/>
                <w:bCs/>
                <w:color w:val="000000"/>
                <w:spacing w:val="0"/>
                <w:kern w:val="2"/>
                <w:sz w:val="21"/>
                <w:szCs w:val="21"/>
                <w:highlight w:val="none"/>
                <w:lang w:val="en-US" w:eastAsia="zh-CN" w:bidi="ar-SA"/>
              </w:rPr>
              <w:t>土地利用现状图幅号</w:t>
            </w:r>
          </w:p>
        </w:tc>
        <w:tc>
          <w:tcPr>
            <w:tcW w:w="5822" w:type="dxa"/>
            <w:gridSpan w:val="4"/>
            <w:noWrap w:val="0"/>
            <w:vAlign w:val="center"/>
          </w:tcPr>
          <w:p w14:paraId="3D091A2A">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default" w:ascii="宋体" w:hAnsi="宋体" w:eastAsia="宋体" w:cs="宋体"/>
                <w:bCs/>
                <w:color w:val="000000"/>
                <w:spacing w:val="0"/>
                <w:kern w:val="2"/>
                <w:sz w:val="21"/>
                <w:szCs w:val="21"/>
                <w:highlight w:val="none"/>
                <w:lang w:val="en-US" w:eastAsia="zh-CN" w:bidi="ar-SA"/>
              </w:rPr>
            </w:pPr>
            <w:r>
              <w:rPr>
                <w:rFonts w:hint="eastAsia" w:ascii="宋体" w:hAnsi="宋体" w:eastAsia="宋体" w:cs="宋体"/>
                <w:bCs/>
                <w:color w:val="000000"/>
                <w:spacing w:val="0"/>
                <w:kern w:val="2"/>
                <w:sz w:val="21"/>
                <w:szCs w:val="21"/>
                <w:highlight w:val="none"/>
                <w:lang w:val="en-US" w:eastAsia="zh-CN" w:bidi="ar-SA"/>
              </w:rPr>
              <w:t>L46G091055</w:t>
            </w:r>
          </w:p>
        </w:tc>
      </w:tr>
      <w:tr w14:paraId="27A3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5" w:hRule="atLeast"/>
        </w:trPr>
        <w:tc>
          <w:tcPr>
            <w:tcW w:w="689" w:type="dxa"/>
            <w:vMerge w:val="continue"/>
            <w:noWrap w:val="0"/>
            <w:vAlign w:val="center"/>
          </w:tcPr>
          <w:p w14:paraId="733B586D">
            <w:pPr>
              <w:keepNext w:val="0"/>
              <w:keepLines w:val="0"/>
              <w:pageBreakBefore w:val="0"/>
              <w:widowControl/>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bCs/>
                <w:color w:val="000000"/>
                <w:spacing w:val="0"/>
                <w:sz w:val="21"/>
                <w:szCs w:val="21"/>
                <w:highlight w:val="none"/>
              </w:rPr>
            </w:pPr>
          </w:p>
        </w:tc>
        <w:tc>
          <w:tcPr>
            <w:tcW w:w="1857" w:type="dxa"/>
            <w:noWrap w:val="0"/>
            <w:vAlign w:val="center"/>
          </w:tcPr>
          <w:p w14:paraId="1042746E">
            <w:pPr>
              <w:keepNext w:val="0"/>
              <w:keepLines w:val="0"/>
              <w:pageBreakBefore w:val="0"/>
              <w:widowControl/>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default" w:ascii="宋体" w:hAnsi="宋体" w:eastAsia="宋体" w:cs="宋体"/>
                <w:bCs/>
                <w:color w:val="000000"/>
                <w:spacing w:val="0"/>
                <w:sz w:val="21"/>
                <w:szCs w:val="21"/>
                <w:highlight w:val="none"/>
                <w:lang w:val="en-US" w:eastAsia="zh-CN"/>
              </w:rPr>
            </w:pPr>
            <w:r>
              <w:rPr>
                <w:rFonts w:hint="eastAsia" w:ascii="宋体" w:hAnsi="宋体" w:eastAsia="宋体" w:cs="宋体"/>
                <w:bCs/>
                <w:color w:val="000000"/>
                <w:spacing w:val="0"/>
                <w:sz w:val="21"/>
                <w:szCs w:val="21"/>
                <w:highlight w:val="none"/>
                <w:lang w:val="en-US" w:eastAsia="zh-CN"/>
              </w:rPr>
              <w:t>划定矿区范围</w:t>
            </w:r>
            <w:r>
              <w:rPr>
                <w:rFonts w:hint="eastAsia" w:ascii="宋体" w:hAnsi="宋体" w:eastAsia="宋体" w:cs="宋体"/>
                <w:bCs/>
                <w:color w:val="000000"/>
                <w:spacing w:val="0"/>
                <w:sz w:val="21"/>
                <w:szCs w:val="21"/>
                <w:highlight w:val="none"/>
              </w:rPr>
              <w:t>（hm</w:t>
            </w:r>
            <w:r>
              <w:rPr>
                <w:rFonts w:hint="eastAsia" w:ascii="宋体" w:hAnsi="宋体" w:eastAsia="宋体" w:cs="宋体"/>
                <w:bCs/>
                <w:color w:val="000000"/>
                <w:spacing w:val="0"/>
                <w:sz w:val="21"/>
                <w:szCs w:val="21"/>
                <w:highlight w:val="none"/>
                <w:vertAlign w:val="superscript"/>
              </w:rPr>
              <w:t>2</w:t>
            </w:r>
            <w:r>
              <w:rPr>
                <w:rFonts w:hint="eastAsia" w:ascii="宋体" w:hAnsi="宋体" w:eastAsia="宋体" w:cs="宋体"/>
                <w:bCs/>
                <w:color w:val="000000"/>
                <w:spacing w:val="0"/>
                <w:sz w:val="21"/>
                <w:szCs w:val="21"/>
                <w:highlight w:val="none"/>
              </w:rPr>
              <w:t>）</w:t>
            </w:r>
          </w:p>
        </w:tc>
        <w:tc>
          <w:tcPr>
            <w:tcW w:w="1749" w:type="dxa"/>
            <w:noWrap w:val="0"/>
            <w:vAlign w:val="center"/>
          </w:tcPr>
          <w:p w14:paraId="12484B61">
            <w:pPr>
              <w:keepNext w:val="0"/>
              <w:keepLines w:val="0"/>
              <w:pageBreakBefore w:val="0"/>
              <w:widowControl/>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default" w:ascii="宋体" w:hAnsi="宋体" w:eastAsia="宋体" w:cs="宋体"/>
                <w:bCs/>
                <w:color w:val="000000"/>
                <w:spacing w:val="0"/>
                <w:sz w:val="21"/>
                <w:szCs w:val="21"/>
                <w:highlight w:val="none"/>
                <w:lang w:val="en-US" w:eastAsia="zh-CN"/>
              </w:rPr>
            </w:pPr>
            <w:r>
              <w:rPr>
                <w:rFonts w:hint="eastAsia" w:ascii="宋体" w:hAnsi="宋体" w:eastAsia="宋体" w:cs="宋体"/>
                <w:bCs/>
                <w:color w:val="000000"/>
                <w:spacing w:val="0"/>
                <w:sz w:val="21"/>
                <w:szCs w:val="21"/>
                <w:highlight w:val="none"/>
                <w:lang w:val="en-US" w:eastAsia="zh-CN"/>
              </w:rPr>
              <w:t>/</w:t>
            </w:r>
          </w:p>
        </w:tc>
        <w:tc>
          <w:tcPr>
            <w:tcW w:w="2457" w:type="dxa"/>
            <w:noWrap w:val="0"/>
            <w:vAlign w:val="center"/>
          </w:tcPr>
          <w:p w14:paraId="5ECDD66E">
            <w:pPr>
              <w:keepNext w:val="0"/>
              <w:keepLines w:val="0"/>
              <w:pageBreakBefore w:val="0"/>
              <w:widowControl/>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bCs/>
                <w:color w:val="000000"/>
                <w:spacing w:val="0"/>
                <w:sz w:val="21"/>
                <w:szCs w:val="21"/>
                <w:highlight w:val="none"/>
                <w:lang w:val="en-US" w:eastAsia="zh-CN"/>
              </w:rPr>
            </w:pPr>
            <w:r>
              <w:rPr>
                <w:rFonts w:hint="eastAsia" w:ascii="宋体" w:hAnsi="宋体" w:eastAsia="宋体" w:cs="宋体"/>
                <w:bCs/>
                <w:color w:val="000000"/>
                <w:spacing w:val="0"/>
                <w:sz w:val="21"/>
                <w:szCs w:val="21"/>
                <w:highlight w:val="none"/>
                <w:lang w:val="en-US" w:eastAsia="zh-CN"/>
              </w:rPr>
              <w:t>项目区面积</w:t>
            </w:r>
            <w:r>
              <w:rPr>
                <w:rFonts w:hint="eastAsia" w:ascii="宋体" w:hAnsi="宋体" w:eastAsia="宋体" w:cs="宋体"/>
                <w:bCs/>
                <w:color w:val="000000"/>
                <w:spacing w:val="0"/>
                <w:sz w:val="21"/>
                <w:szCs w:val="21"/>
                <w:highlight w:val="none"/>
              </w:rPr>
              <w:t>（hm</w:t>
            </w:r>
            <w:r>
              <w:rPr>
                <w:rFonts w:hint="eastAsia" w:ascii="宋体" w:hAnsi="宋体" w:eastAsia="宋体" w:cs="宋体"/>
                <w:bCs/>
                <w:color w:val="000000"/>
                <w:spacing w:val="0"/>
                <w:sz w:val="21"/>
                <w:szCs w:val="21"/>
                <w:highlight w:val="none"/>
                <w:vertAlign w:val="superscript"/>
              </w:rPr>
              <w:t>2</w:t>
            </w:r>
            <w:r>
              <w:rPr>
                <w:rFonts w:hint="eastAsia" w:ascii="宋体" w:hAnsi="宋体" w:eastAsia="宋体" w:cs="宋体"/>
                <w:bCs/>
                <w:color w:val="000000"/>
                <w:spacing w:val="0"/>
                <w:sz w:val="21"/>
                <w:szCs w:val="21"/>
                <w:highlight w:val="none"/>
              </w:rPr>
              <w:t>）</w:t>
            </w:r>
          </w:p>
        </w:tc>
        <w:tc>
          <w:tcPr>
            <w:tcW w:w="1616" w:type="dxa"/>
            <w:gridSpan w:val="2"/>
            <w:noWrap w:val="0"/>
            <w:vAlign w:val="center"/>
          </w:tcPr>
          <w:p w14:paraId="5ADF5AC4">
            <w:pPr>
              <w:keepNext w:val="0"/>
              <w:keepLines w:val="0"/>
              <w:pageBreakBefore w:val="0"/>
              <w:widowControl/>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default" w:ascii="宋体" w:hAnsi="宋体" w:eastAsia="宋体" w:cs="宋体"/>
                <w:bCs/>
                <w:color w:val="000000"/>
                <w:spacing w:val="0"/>
                <w:sz w:val="21"/>
                <w:szCs w:val="21"/>
                <w:highlight w:val="none"/>
                <w:lang w:val="en-US" w:eastAsia="zh-CN"/>
              </w:rPr>
            </w:pPr>
            <w:r>
              <w:rPr>
                <w:rFonts w:hint="eastAsia" w:ascii="宋体" w:hAnsi="宋体" w:eastAsia="宋体" w:cs="宋体"/>
                <w:bCs/>
                <w:color w:val="000000"/>
                <w:spacing w:val="0"/>
                <w:sz w:val="21"/>
                <w:szCs w:val="21"/>
                <w:highlight w:val="none"/>
                <w:lang w:val="en-US" w:eastAsia="zh-CN"/>
              </w:rPr>
              <w:t>3.6828</w:t>
            </w:r>
          </w:p>
        </w:tc>
      </w:tr>
      <w:tr w14:paraId="014E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74" w:hRule="exact"/>
        </w:trPr>
        <w:tc>
          <w:tcPr>
            <w:tcW w:w="689" w:type="dxa"/>
            <w:vMerge w:val="continue"/>
            <w:noWrap w:val="0"/>
            <w:vAlign w:val="center"/>
          </w:tcPr>
          <w:p w14:paraId="104A7D91">
            <w:pPr>
              <w:keepNext w:val="0"/>
              <w:keepLines w:val="0"/>
              <w:pageBreakBefore w:val="0"/>
              <w:widowControl/>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bCs/>
                <w:color w:val="000000"/>
                <w:spacing w:val="0"/>
                <w:sz w:val="21"/>
                <w:szCs w:val="21"/>
                <w:highlight w:val="none"/>
              </w:rPr>
            </w:pPr>
          </w:p>
        </w:tc>
        <w:tc>
          <w:tcPr>
            <w:tcW w:w="1857" w:type="dxa"/>
            <w:noWrap w:val="0"/>
            <w:vAlign w:val="center"/>
          </w:tcPr>
          <w:p w14:paraId="24D00E37">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pacing w:val="0"/>
                <w:sz w:val="21"/>
                <w:szCs w:val="21"/>
                <w:highlight w:val="none"/>
                <w:lang w:val="en-US" w:eastAsia="zh-CN"/>
              </w:rPr>
            </w:pPr>
            <w:r>
              <w:rPr>
                <w:rFonts w:hint="eastAsia" w:ascii="宋体" w:hAnsi="宋体" w:eastAsia="宋体" w:cs="宋体"/>
                <w:bCs/>
                <w:color w:val="000000"/>
                <w:spacing w:val="0"/>
                <w:sz w:val="21"/>
                <w:szCs w:val="21"/>
                <w:highlight w:val="none"/>
                <w:lang w:val="en-US" w:eastAsia="zh-CN"/>
              </w:rPr>
              <w:t>建设期限</w:t>
            </w:r>
          </w:p>
        </w:tc>
        <w:tc>
          <w:tcPr>
            <w:tcW w:w="1749" w:type="dxa"/>
            <w:noWrap w:val="0"/>
            <w:vAlign w:val="center"/>
          </w:tcPr>
          <w:p w14:paraId="08165B88">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default" w:ascii="宋体" w:hAnsi="宋体" w:eastAsia="宋体" w:cs="宋体"/>
                <w:bCs/>
                <w:color w:val="000000"/>
                <w:spacing w:val="0"/>
                <w:sz w:val="21"/>
                <w:szCs w:val="21"/>
                <w:highlight w:val="none"/>
                <w:lang w:val="en-US" w:eastAsia="zh-CN"/>
              </w:rPr>
            </w:pPr>
            <w:r>
              <w:rPr>
                <w:rFonts w:hint="eastAsia" w:ascii="宋体" w:hAnsi="宋体" w:eastAsia="宋体" w:cs="宋体"/>
                <w:bCs/>
                <w:color w:val="000000"/>
                <w:szCs w:val="21"/>
                <w:highlight w:val="none"/>
                <w:lang w:eastAsia="zh-CN"/>
              </w:rPr>
              <w:t>2025.1</w:t>
            </w:r>
            <w:r>
              <w:rPr>
                <w:rFonts w:hint="eastAsia" w:ascii="宋体" w:hAnsi="宋体" w:eastAsia="宋体" w:cs="宋体"/>
                <w:bCs/>
                <w:color w:val="000000"/>
                <w:szCs w:val="21"/>
                <w:highlight w:val="none"/>
              </w:rPr>
              <w:t>-202</w:t>
            </w:r>
            <w:r>
              <w:rPr>
                <w:rFonts w:hint="eastAsia" w:ascii="宋体" w:hAnsi="宋体" w:eastAsia="宋体" w:cs="宋体"/>
                <w:bCs/>
                <w:color w:val="000000"/>
                <w:szCs w:val="21"/>
                <w:highlight w:val="none"/>
                <w:lang w:val="en-US" w:eastAsia="zh-CN"/>
              </w:rPr>
              <w:t>6</w:t>
            </w:r>
            <w:r>
              <w:rPr>
                <w:rFonts w:hint="eastAsia" w:ascii="宋体" w:hAnsi="宋体" w:eastAsia="宋体" w:cs="宋体"/>
                <w:bCs/>
                <w:color w:val="000000"/>
                <w:szCs w:val="21"/>
                <w:highlight w:val="none"/>
              </w:rPr>
              <w:t>.</w:t>
            </w:r>
            <w:r>
              <w:rPr>
                <w:rFonts w:hint="eastAsia" w:ascii="宋体" w:hAnsi="宋体" w:eastAsia="宋体" w:cs="宋体"/>
                <w:bCs/>
                <w:color w:val="000000"/>
                <w:szCs w:val="21"/>
                <w:highlight w:val="none"/>
                <w:lang w:val="en-US" w:eastAsia="zh-CN"/>
              </w:rPr>
              <w:t>12</w:t>
            </w:r>
          </w:p>
        </w:tc>
        <w:tc>
          <w:tcPr>
            <w:tcW w:w="2457" w:type="dxa"/>
            <w:noWrap w:val="0"/>
            <w:vAlign w:val="center"/>
          </w:tcPr>
          <w:p w14:paraId="02090439">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pacing w:val="0"/>
                <w:sz w:val="21"/>
                <w:szCs w:val="21"/>
                <w:highlight w:val="none"/>
                <w:lang w:val="en-US" w:eastAsia="zh-CN"/>
              </w:rPr>
            </w:pPr>
            <w:r>
              <w:rPr>
                <w:rFonts w:hint="eastAsia" w:ascii="宋体" w:hAnsi="宋体" w:eastAsia="宋体" w:cs="宋体"/>
                <w:bCs/>
                <w:color w:val="000000"/>
                <w:spacing w:val="0"/>
                <w:sz w:val="21"/>
                <w:szCs w:val="21"/>
                <w:highlight w:val="none"/>
                <w:lang w:val="en-US" w:eastAsia="zh-CN"/>
              </w:rPr>
              <w:t>土地复垦方案服务年限</w:t>
            </w:r>
          </w:p>
        </w:tc>
        <w:tc>
          <w:tcPr>
            <w:tcW w:w="1616" w:type="dxa"/>
            <w:gridSpan w:val="2"/>
            <w:noWrap w:val="0"/>
            <w:vAlign w:val="center"/>
          </w:tcPr>
          <w:p w14:paraId="5C4F1423">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default" w:ascii="宋体" w:hAnsi="宋体" w:eastAsia="宋体" w:cs="宋体"/>
                <w:bCs/>
                <w:color w:val="000000"/>
                <w:spacing w:val="0"/>
                <w:sz w:val="21"/>
                <w:szCs w:val="21"/>
                <w:highlight w:val="none"/>
                <w:lang w:val="en-US" w:eastAsia="zh-CN"/>
              </w:rPr>
            </w:pPr>
            <w:r>
              <w:rPr>
                <w:rFonts w:hint="eastAsia" w:ascii="宋体" w:hAnsi="宋体" w:eastAsia="宋体" w:cs="宋体"/>
                <w:bCs/>
                <w:color w:val="000000"/>
                <w:szCs w:val="21"/>
                <w:highlight w:val="none"/>
                <w:lang w:eastAsia="zh-CN"/>
              </w:rPr>
              <w:t>2025.1</w:t>
            </w:r>
            <w:r>
              <w:rPr>
                <w:rFonts w:hint="eastAsia" w:ascii="宋体" w:hAnsi="宋体" w:eastAsia="宋体" w:cs="宋体"/>
                <w:bCs/>
                <w:color w:val="000000"/>
                <w:szCs w:val="21"/>
                <w:highlight w:val="none"/>
              </w:rPr>
              <w:t>-202</w:t>
            </w:r>
            <w:r>
              <w:rPr>
                <w:rFonts w:hint="eastAsia" w:ascii="宋体" w:hAnsi="宋体" w:eastAsia="宋体" w:cs="宋体"/>
                <w:bCs/>
                <w:color w:val="000000"/>
                <w:szCs w:val="21"/>
                <w:highlight w:val="none"/>
                <w:lang w:val="en-US" w:eastAsia="zh-CN"/>
              </w:rPr>
              <w:t>7</w:t>
            </w:r>
            <w:r>
              <w:rPr>
                <w:rFonts w:hint="eastAsia" w:ascii="宋体" w:hAnsi="宋体" w:eastAsia="宋体" w:cs="宋体"/>
                <w:bCs/>
                <w:color w:val="000000"/>
                <w:szCs w:val="21"/>
                <w:highlight w:val="none"/>
              </w:rPr>
              <w:t>.</w:t>
            </w:r>
            <w:r>
              <w:rPr>
                <w:rFonts w:hint="eastAsia" w:ascii="宋体" w:hAnsi="宋体" w:eastAsia="宋体" w:cs="宋体"/>
                <w:bCs/>
                <w:color w:val="000000"/>
                <w:szCs w:val="21"/>
                <w:highlight w:val="none"/>
                <w:lang w:val="en-US" w:eastAsia="zh-CN"/>
              </w:rPr>
              <w:t>1</w:t>
            </w:r>
          </w:p>
        </w:tc>
      </w:tr>
      <w:tr w14:paraId="4667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exact"/>
        </w:trPr>
        <w:tc>
          <w:tcPr>
            <w:tcW w:w="689" w:type="dxa"/>
            <w:vMerge w:val="restart"/>
            <w:noWrap w:val="0"/>
            <w:vAlign w:val="center"/>
          </w:tcPr>
          <w:p w14:paraId="42D5B5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Cs/>
                <w:color w:val="000000"/>
                <w:spacing w:val="-10"/>
                <w:szCs w:val="21"/>
                <w:highlight w:val="none"/>
              </w:rPr>
            </w:pPr>
          </w:p>
          <w:p w14:paraId="469E36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Cs/>
                <w:color w:val="000000"/>
                <w:spacing w:val="-10"/>
                <w:szCs w:val="21"/>
                <w:highlight w:val="none"/>
              </w:rPr>
            </w:pPr>
          </w:p>
          <w:p w14:paraId="1DA0F4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Cs/>
                <w:color w:val="000000"/>
                <w:spacing w:val="-10"/>
                <w:szCs w:val="21"/>
                <w:highlight w:val="none"/>
              </w:rPr>
            </w:pPr>
            <w:r>
              <w:rPr>
                <w:rFonts w:hint="eastAsia" w:ascii="宋体" w:hAnsi="宋体" w:eastAsia="宋体" w:cs="宋体"/>
                <w:bCs/>
                <w:color w:val="000000"/>
                <w:spacing w:val="-10"/>
                <w:szCs w:val="21"/>
                <w:highlight w:val="none"/>
              </w:rPr>
              <w:t>方</w:t>
            </w:r>
          </w:p>
          <w:p w14:paraId="213B1F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Cs/>
                <w:color w:val="000000"/>
                <w:spacing w:val="-10"/>
                <w:szCs w:val="21"/>
                <w:highlight w:val="none"/>
              </w:rPr>
            </w:pPr>
            <w:r>
              <w:rPr>
                <w:rFonts w:hint="eastAsia" w:ascii="宋体" w:hAnsi="宋体" w:eastAsia="宋体" w:cs="宋体"/>
                <w:bCs/>
                <w:color w:val="000000"/>
                <w:spacing w:val="-10"/>
                <w:szCs w:val="21"/>
                <w:highlight w:val="none"/>
              </w:rPr>
              <w:t>案</w:t>
            </w:r>
          </w:p>
          <w:p w14:paraId="6D8C76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Cs/>
                <w:color w:val="000000"/>
                <w:spacing w:val="-10"/>
                <w:szCs w:val="21"/>
                <w:highlight w:val="none"/>
              </w:rPr>
            </w:pPr>
            <w:r>
              <w:rPr>
                <w:rFonts w:hint="eastAsia" w:ascii="宋体" w:hAnsi="宋体" w:eastAsia="宋体" w:cs="宋体"/>
                <w:bCs/>
                <w:color w:val="000000"/>
                <w:spacing w:val="-10"/>
                <w:szCs w:val="21"/>
                <w:highlight w:val="none"/>
              </w:rPr>
              <w:t>编</w:t>
            </w:r>
          </w:p>
          <w:p w14:paraId="38EACF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Cs/>
                <w:color w:val="000000"/>
                <w:spacing w:val="-10"/>
                <w:szCs w:val="21"/>
                <w:highlight w:val="none"/>
              </w:rPr>
            </w:pPr>
            <w:r>
              <w:rPr>
                <w:rFonts w:hint="eastAsia" w:ascii="宋体" w:hAnsi="宋体" w:eastAsia="宋体" w:cs="宋体"/>
                <w:bCs/>
                <w:color w:val="000000"/>
                <w:spacing w:val="-10"/>
                <w:szCs w:val="21"/>
                <w:highlight w:val="none"/>
              </w:rPr>
              <w:t>制</w:t>
            </w:r>
          </w:p>
          <w:p w14:paraId="31EEC9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Cs/>
                <w:color w:val="000000"/>
                <w:spacing w:val="-10"/>
                <w:szCs w:val="21"/>
                <w:highlight w:val="none"/>
              </w:rPr>
            </w:pPr>
            <w:r>
              <w:rPr>
                <w:rFonts w:hint="eastAsia" w:ascii="宋体" w:hAnsi="宋体" w:eastAsia="宋体" w:cs="宋体"/>
                <w:bCs/>
                <w:color w:val="000000"/>
                <w:spacing w:val="-10"/>
                <w:szCs w:val="21"/>
                <w:highlight w:val="none"/>
              </w:rPr>
              <w:t>单</w:t>
            </w:r>
          </w:p>
          <w:p w14:paraId="2B5F8D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Cs/>
                <w:color w:val="000000"/>
                <w:spacing w:val="-10"/>
                <w:szCs w:val="21"/>
                <w:highlight w:val="none"/>
              </w:rPr>
            </w:pPr>
            <w:r>
              <w:rPr>
                <w:rFonts w:hint="eastAsia" w:ascii="宋体" w:hAnsi="宋体" w:eastAsia="宋体" w:cs="宋体"/>
                <w:bCs/>
                <w:color w:val="000000"/>
                <w:spacing w:val="-10"/>
                <w:szCs w:val="21"/>
                <w:highlight w:val="none"/>
              </w:rPr>
              <w:t>位</w:t>
            </w:r>
          </w:p>
          <w:p w14:paraId="143B9F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color w:val="000000"/>
                <w:spacing w:val="0"/>
                <w:sz w:val="21"/>
                <w:szCs w:val="21"/>
                <w:highlight w:val="none"/>
              </w:rPr>
            </w:pPr>
          </w:p>
        </w:tc>
        <w:tc>
          <w:tcPr>
            <w:tcW w:w="1857" w:type="dxa"/>
            <w:noWrap w:val="0"/>
            <w:vAlign w:val="center"/>
          </w:tcPr>
          <w:p w14:paraId="69020967">
            <w:pPr>
              <w:keepNext w:val="0"/>
              <w:keepLines w:val="0"/>
              <w:pageBreakBefore w:val="0"/>
              <w:suppressLineNumbers w:val="0"/>
              <w:kinsoku/>
              <w:wordWrap/>
              <w:overflowPunct/>
              <w:topLinePunct w:val="0"/>
              <w:autoSpaceDE/>
              <w:autoSpaceDN/>
              <w:bidi w:val="0"/>
              <w:adjustRightInd/>
              <w:snapToGrid/>
              <w:spacing w:before="100" w:beforeAutospacing="1" w:after="100" w:afterAutospacing="1" w:line="260" w:lineRule="exact"/>
              <w:ind w:left="0" w:right="0"/>
              <w:jc w:val="center"/>
              <w:textAlignment w:val="auto"/>
              <w:rPr>
                <w:rFonts w:hint="eastAsia" w:ascii="宋体" w:hAnsi="宋体" w:eastAsia="宋体" w:cs="宋体"/>
                <w:bCs/>
                <w:color w:val="000000"/>
                <w:spacing w:val="0"/>
                <w:sz w:val="21"/>
                <w:szCs w:val="21"/>
                <w:highlight w:val="none"/>
              </w:rPr>
            </w:pPr>
            <w:r>
              <w:rPr>
                <w:rFonts w:hint="eastAsia" w:ascii="宋体" w:hAnsi="宋体" w:eastAsia="宋体" w:cs="宋体"/>
                <w:bCs/>
                <w:color w:val="000000"/>
                <w:szCs w:val="21"/>
                <w:highlight w:val="none"/>
              </w:rPr>
              <w:t>编制单位名称</w:t>
            </w:r>
          </w:p>
        </w:tc>
        <w:tc>
          <w:tcPr>
            <w:tcW w:w="5822" w:type="dxa"/>
            <w:gridSpan w:val="4"/>
            <w:noWrap w:val="0"/>
            <w:vAlign w:val="center"/>
          </w:tcPr>
          <w:p w14:paraId="1BB1BB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Cs/>
                <w:color w:val="000000"/>
                <w:spacing w:val="0"/>
                <w:sz w:val="21"/>
                <w:szCs w:val="21"/>
                <w:highlight w:val="none"/>
                <w:lang w:val="en-US"/>
              </w:rPr>
            </w:pPr>
            <w:r>
              <w:rPr>
                <w:rFonts w:hint="eastAsia" w:ascii="Calibri" w:hAnsi="Calibri" w:eastAsia="宋体" w:cs="宋体"/>
                <w:color w:val="000000"/>
                <w:szCs w:val="21"/>
                <w:highlight w:val="none"/>
                <w:lang w:eastAsia="zh-CN"/>
              </w:rPr>
              <w:t>新疆臻图工程测绘有限公司</w:t>
            </w:r>
          </w:p>
        </w:tc>
      </w:tr>
      <w:tr w14:paraId="6FF3B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exact"/>
        </w:trPr>
        <w:tc>
          <w:tcPr>
            <w:tcW w:w="689" w:type="dxa"/>
            <w:vMerge w:val="continue"/>
            <w:noWrap w:val="0"/>
            <w:vAlign w:val="center"/>
          </w:tcPr>
          <w:p w14:paraId="06003B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Cs/>
                <w:color w:val="000000"/>
                <w:spacing w:val="-10"/>
                <w:sz w:val="21"/>
                <w:szCs w:val="21"/>
                <w:highlight w:val="none"/>
              </w:rPr>
            </w:pPr>
          </w:p>
        </w:tc>
        <w:tc>
          <w:tcPr>
            <w:tcW w:w="1857" w:type="dxa"/>
            <w:noWrap w:val="0"/>
            <w:vAlign w:val="center"/>
          </w:tcPr>
          <w:p w14:paraId="4A84F98F">
            <w:pPr>
              <w:keepNext w:val="0"/>
              <w:keepLines w:val="0"/>
              <w:pageBreakBefore w:val="0"/>
              <w:suppressLineNumbers w:val="0"/>
              <w:kinsoku/>
              <w:wordWrap/>
              <w:overflowPunct/>
              <w:topLinePunct w:val="0"/>
              <w:autoSpaceDE/>
              <w:autoSpaceDN/>
              <w:bidi w:val="0"/>
              <w:adjustRightInd/>
              <w:snapToGrid/>
              <w:spacing w:before="100" w:beforeAutospacing="1" w:after="100" w:afterAutospacing="1" w:line="260" w:lineRule="exact"/>
              <w:ind w:left="0" w:right="0"/>
              <w:jc w:val="center"/>
              <w:textAlignment w:val="auto"/>
              <w:rPr>
                <w:rFonts w:hint="eastAsia" w:ascii="宋体" w:hAnsi="宋体" w:eastAsia="宋体" w:cs="宋体"/>
                <w:bCs/>
                <w:color w:val="000000"/>
                <w:sz w:val="21"/>
                <w:szCs w:val="21"/>
                <w:highlight w:val="none"/>
              </w:rPr>
            </w:pPr>
            <w:r>
              <w:rPr>
                <w:rFonts w:hint="eastAsia" w:ascii="宋体" w:hAnsi="宋体" w:eastAsia="宋体" w:cs="宋体"/>
                <w:bCs/>
                <w:color w:val="000000"/>
                <w:szCs w:val="21"/>
                <w:highlight w:val="none"/>
                <w:lang w:val="en-US" w:eastAsia="zh-CN"/>
              </w:rPr>
              <w:t>企业类型</w:t>
            </w:r>
          </w:p>
        </w:tc>
        <w:tc>
          <w:tcPr>
            <w:tcW w:w="1749" w:type="dxa"/>
            <w:noWrap w:val="0"/>
            <w:vAlign w:val="center"/>
          </w:tcPr>
          <w:p w14:paraId="350B25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宋体" w:hAnsi="宋体" w:eastAsia="宋体" w:cs="宋体"/>
                <w:color w:val="000000"/>
                <w:kern w:val="0"/>
                <w:sz w:val="21"/>
                <w:szCs w:val="21"/>
                <w:highlight w:val="none"/>
                <w:lang w:val="en-US" w:eastAsia="zh-CN"/>
              </w:rPr>
            </w:pPr>
            <w:r>
              <w:rPr>
                <w:rFonts w:hint="eastAsia" w:ascii="宋体" w:hAnsi="宋体" w:eastAsia="宋体" w:cs="宋体"/>
                <w:bCs/>
                <w:color w:val="000000"/>
                <w:szCs w:val="21"/>
                <w:highlight w:val="none"/>
                <w:lang w:val="en-US" w:eastAsia="zh-CN"/>
              </w:rPr>
              <w:t>有限责任公司</w:t>
            </w:r>
          </w:p>
        </w:tc>
        <w:tc>
          <w:tcPr>
            <w:tcW w:w="2457" w:type="dxa"/>
            <w:noWrap w:val="0"/>
            <w:vAlign w:val="center"/>
          </w:tcPr>
          <w:p w14:paraId="5AAAE3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ascii="Calibri" w:hAnsi="Calibri" w:eastAsia="宋体" w:cs="Times New Roman"/>
                <w:color w:val="000000"/>
                <w:highlight w:val="none"/>
              </w:rPr>
            </w:pPr>
            <w:r>
              <w:rPr>
                <w:rFonts w:hint="eastAsia" w:ascii="宋体" w:hAnsi="宋体" w:eastAsia="宋体" w:cs="宋体"/>
                <w:bCs/>
                <w:color w:val="000000"/>
                <w:sz w:val="21"/>
                <w:szCs w:val="21"/>
                <w:highlight w:val="none"/>
                <w:lang w:val="en-US" w:eastAsia="zh-CN"/>
              </w:rPr>
              <w:t>法定代表人</w:t>
            </w:r>
          </w:p>
        </w:tc>
        <w:tc>
          <w:tcPr>
            <w:tcW w:w="1616" w:type="dxa"/>
            <w:gridSpan w:val="2"/>
            <w:noWrap w:val="0"/>
            <w:vAlign w:val="center"/>
          </w:tcPr>
          <w:p w14:paraId="2A1E1F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Calibri" w:hAnsi="Calibri" w:eastAsia="宋体" w:cs="Times New Roman"/>
                <w:color w:val="000000"/>
                <w:highlight w:val="none"/>
                <w:lang w:val="en-US"/>
              </w:rPr>
            </w:pPr>
            <w:r>
              <w:rPr>
                <w:rFonts w:hint="eastAsia" w:ascii="宋体" w:hAnsi="宋体" w:eastAsia="宋体" w:cs="宋体"/>
                <w:bCs/>
                <w:color w:val="000000"/>
                <w:szCs w:val="21"/>
                <w:highlight w:val="none"/>
                <w:lang w:val="en-US" w:eastAsia="zh-CN"/>
              </w:rPr>
              <w:t>毕士郴</w:t>
            </w:r>
          </w:p>
        </w:tc>
      </w:tr>
      <w:tr w14:paraId="20325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exact"/>
        </w:trPr>
        <w:tc>
          <w:tcPr>
            <w:tcW w:w="689" w:type="dxa"/>
            <w:vMerge w:val="continue"/>
            <w:noWrap w:val="0"/>
            <w:vAlign w:val="center"/>
          </w:tcPr>
          <w:p w14:paraId="74A459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Cs/>
                <w:color w:val="000000"/>
                <w:spacing w:val="-10"/>
                <w:sz w:val="21"/>
                <w:szCs w:val="21"/>
                <w:highlight w:val="none"/>
              </w:rPr>
            </w:pPr>
          </w:p>
        </w:tc>
        <w:tc>
          <w:tcPr>
            <w:tcW w:w="1857" w:type="dxa"/>
            <w:noWrap w:val="0"/>
            <w:vAlign w:val="center"/>
          </w:tcPr>
          <w:p w14:paraId="5E33E670">
            <w:pPr>
              <w:keepNext w:val="0"/>
              <w:keepLines w:val="0"/>
              <w:pageBreakBefore w:val="0"/>
              <w:suppressLineNumbers w:val="0"/>
              <w:kinsoku/>
              <w:wordWrap/>
              <w:overflowPunct/>
              <w:topLinePunct w:val="0"/>
              <w:autoSpaceDE/>
              <w:autoSpaceDN/>
              <w:bidi w:val="0"/>
              <w:adjustRightInd/>
              <w:snapToGrid/>
              <w:spacing w:before="100" w:beforeAutospacing="1" w:after="100" w:afterAutospacing="1" w:line="260" w:lineRule="exact"/>
              <w:ind w:left="0" w:right="0"/>
              <w:jc w:val="center"/>
              <w:textAlignment w:val="auto"/>
              <w:rPr>
                <w:rFonts w:hint="eastAsia" w:ascii="宋体" w:hAnsi="宋体" w:eastAsia="宋体" w:cs="宋体"/>
                <w:bCs/>
                <w:color w:val="000000"/>
                <w:sz w:val="21"/>
                <w:szCs w:val="21"/>
                <w:highlight w:val="none"/>
              </w:rPr>
            </w:pPr>
            <w:r>
              <w:rPr>
                <w:rFonts w:hint="eastAsia" w:ascii="宋体" w:hAnsi="宋体" w:eastAsia="宋体" w:cs="宋体"/>
                <w:bCs/>
                <w:color w:val="000000"/>
                <w:szCs w:val="21"/>
                <w:highlight w:val="none"/>
                <w:lang w:val="en-US" w:eastAsia="zh-CN"/>
              </w:rPr>
              <w:t>单位地址</w:t>
            </w:r>
          </w:p>
        </w:tc>
        <w:tc>
          <w:tcPr>
            <w:tcW w:w="5822" w:type="dxa"/>
            <w:gridSpan w:val="4"/>
            <w:noWrap w:val="0"/>
            <w:vAlign w:val="center"/>
          </w:tcPr>
          <w:p w14:paraId="038979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宋体" w:hAnsi="宋体" w:eastAsia="宋体" w:cs="宋体"/>
                <w:bCs/>
                <w:color w:val="000000"/>
                <w:sz w:val="21"/>
                <w:szCs w:val="21"/>
                <w:highlight w:val="none"/>
                <w:lang w:val="en-US" w:eastAsia="zh-CN"/>
              </w:rPr>
            </w:pPr>
            <w:r>
              <w:rPr>
                <w:rFonts w:hint="eastAsia" w:ascii="宋体" w:hAnsi="宋体" w:eastAsia="宋体" w:cs="宋体"/>
                <w:bCs/>
                <w:color w:val="000000"/>
                <w:sz w:val="21"/>
                <w:szCs w:val="21"/>
                <w:highlight w:val="none"/>
                <w:lang w:val="en-US" w:eastAsia="zh-CN"/>
              </w:rPr>
              <w:t>新疆哈密市伊州区天山北路京龙大厦第一幢6层4号房6011室</w:t>
            </w:r>
          </w:p>
        </w:tc>
      </w:tr>
      <w:tr w14:paraId="695A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02" w:hRule="exact"/>
        </w:trPr>
        <w:tc>
          <w:tcPr>
            <w:tcW w:w="689" w:type="dxa"/>
            <w:vMerge w:val="continue"/>
            <w:noWrap w:val="0"/>
            <w:vAlign w:val="center"/>
          </w:tcPr>
          <w:p w14:paraId="30D709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Cs/>
                <w:color w:val="000000"/>
                <w:spacing w:val="-10"/>
                <w:sz w:val="21"/>
                <w:szCs w:val="21"/>
                <w:highlight w:val="none"/>
              </w:rPr>
            </w:pPr>
          </w:p>
        </w:tc>
        <w:tc>
          <w:tcPr>
            <w:tcW w:w="1857" w:type="dxa"/>
            <w:noWrap w:val="0"/>
            <w:vAlign w:val="center"/>
          </w:tcPr>
          <w:p w14:paraId="4004B250">
            <w:pPr>
              <w:keepNext w:val="0"/>
              <w:keepLines w:val="0"/>
              <w:pageBreakBefore w:val="0"/>
              <w:suppressLineNumbers w:val="0"/>
              <w:kinsoku/>
              <w:wordWrap/>
              <w:overflowPunct/>
              <w:topLinePunct w:val="0"/>
              <w:autoSpaceDE/>
              <w:autoSpaceDN/>
              <w:bidi w:val="0"/>
              <w:adjustRightInd/>
              <w:snapToGrid/>
              <w:spacing w:before="100" w:beforeAutospacing="1" w:after="100" w:afterAutospacing="1" w:line="260" w:lineRule="exact"/>
              <w:ind w:left="0" w:right="0"/>
              <w:jc w:val="center"/>
              <w:textAlignment w:val="auto"/>
              <w:rPr>
                <w:rFonts w:hint="eastAsia" w:ascii="宋体" w:hAnsi="宋体" w:eastAsia="宋体" w:cs="宋体"/>
                <w:bCs/>
                <w:color w:val="000000"/>
                <w:sz w:val="21"/>
                <w:szCs w:val="21"/>
                <w:highlight w:val="none"/>
              </w:rPr>
            </w:pPr>
            <w:r>
              <w:rPr>
                <w:rFonts w:hint="eastAsia" w:ascii="宋体" w:hAnsi="宋体" w:eastAsia="宋体" w:cs="宋体"/>
                <w:bCs/>
                <w:color w:val="000000"/>
                <w:szCs w:val="21"/>
                <w:highlight w:val="none"/>
              </w:rPr>
              <w:t>联系人</w:t>
            </w:r>
          </w:p>
        </w:tc>
        <w:tc>
          <w:tcPr>
            <w:tcW w:w="1749" w:type="dxa"/>
            <w:noWrap w:val="0"/>
            <w:vAlign w:val="center"/>
          </w:tcPr>
          <w:p w14:paraId="350D8F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Cs/>
                <w:color w:val="000000"/>
                <w:sz w:val="21"/>
                <w:szCs w:val="21"/>
                <w:highlight w:val="none"/>
              </w:rPr>
            </w:pPr>
            <w:r>
              <w:rPr>
                <w:rFonts w:hint="eastAsia" w:ascii="宋体" w:hAnsi="宋体" w:eastAsia="宋体" w:cs="宋体"/>
                <w:color w:val="000000"/>
                <w:kern w:val="0"/>
                <w:sz w:val="21"/>
                <w:szCs w:val="21"/>
                <w:highlight w:val="none"/>
                <w:lang w:val="en-US" w:eastAsia="zh-CN"/>
              </w:rPr>
              <w:t>刘继虎</w:t>
            </w:r>
          </w:p>
        </w:tc>
        <w:tc>
          <w:tcPr>
            <w:tcW w:w="2457" w:type="dxa"/>
            <w:noWrap w:val="0"/>
            <w:vAlign w:val="center"/>
          </w:tcPr>
          <w:p w14:paraId="43D83E2D">
            <w:pPr>
              <w:keepNext w:val="0"/>
              <w:keepLines w:val="0"/>
              <w:pageBreakBefore w:val="0"/>
              <w:suppressLineNumbers w:val="0"/>
              <w:kinsoku/>
              <w:wordWrap/>
              <w:overflowPunct/>
              <w:topLinePunct w:val="0"/>
              <w:autoSpaceDE/>
              <w:autoSpaceDN/>
              <w:bidi w:val="0"/>
              <w:adjustRightInd/>
              <w:snapToGrid/>
              <w:spacing w:before="100" w:beforeAutospacing="1" w:after="100" w:afterAutospacing="1" w:line="260" w:lineRule="exact"/>
              <w:ind w:left="2" w:leftChars="0" w:right="0" w:hanging="2" w:hangingChars="1"/>
              <w:jc w:val="center"/>
              <w:textAlignment w:val="auto"/>
              <w:rPr>
                <w:rFonts w:hint="eastAsia" w:ascii="宋体" w:hAnsi="宋体" w:eastAsia="宋体" w:cs="宋体"/>
                <w:bCs/>
                <w:color w:val="000000"/>
                <w:sz w:val="21"/>
                <w:szCs w:val="21"/>
                <w:highlight w:val="none"/>
              </w:rPr>
            </w:pPr>
            <w:r>
              <w:rPr>
                <w:rFonts w:hint="eastAsia" w:ascii="宋体" w:hAnsi="宋体" w:eastAsia="宋体" w:cs="宋体"/>
                <w:bCs/>
                <w:color w:val="000000"/>
                <w:szCs w:val="21"/>
                <w:highlight w:val="none"/>
              </w:rPr>
              <w:t>联系电话</w:t>
            </w:r>
          </w:p>
        </w:tc>
        <w:tc>
          <w:tcPr>
            <w:tcW w:w="1616" w:type="dxa"/>
            <w:gridSpan w:val="2"/>
            <w:noWrap w:val="0"/>
            <w:vAlign w:val="center"/>
          </w:tcPr>
          <w:p w14:paraId="04A620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Cs/>
                <w:color w:val="000000"/>
                <w:sz w:val="21"/>
                <w:szCs w:val="21"/>
                <w:highlight w:val="none"/>
              </w:rPr>
            </w:pPr>
          </w:p>
        </w:tc>
      </w:tr>
      <w:tr w14:paraId="7229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exact"/>
        </w:trPr>
        <w:tc>
          <w:tcPr>
            <w:tcW w:w="689" w:type="dxa"/>
            <w:vMerge w:val="continue"/>
            <w:noWrap w:val="0"/>
            <w:vAlign w:val="center"/>
          </w:tcPr>
          <w:p w14:paraId="6E29F6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Cs/>
                <w:color w:val="000000"/>
                <w:spacing w:val="-10"/>
                <w:sz w:val="21"/>
                <w:szCs w:val="21"/>
                <w:highlight w:val="none"/>
              </w:rPr>
            </w:pPr>
          </w:p>
        </w:tc>
        <w:tc>
          <w:tcPr>
            <w:tcW w:w="7679" w:type="dxa"/>
            <w:gridSpan w:val="5"/>
            <w:noWrap w:val="0"/>
            <w:vAlign w:val="center"/>
          </w:tcPr>
          <w:p w14:paraId="430CFC96">
            <w:pPr>
              <w:keepNext w:val="0"/>
              <w:keepLines w:val="0"/>
              <w:pageBreakBefore w:val="0"/>
              <w:suppressLineNumbers w:val="0"/>
              <w:kinsoku/>
              <w:wordWrap/>
              <w:overflowPunct/>
              <w:topLinePunct w:val="0"/>
              <w:autoSpaceDE/>
              <w:autoSpaceDN/>
              <w:bidi w:val="0"/>
              <w:adjustRightInd/>
              <w:snapToGrid/>
              <w:spacing w:before="100" w:beforeAutospacing="1" w:after="100" w:afterAutospacing="1" w:line="260" w:lineRule="exact"/>
              <w:ind w:left="0" w:right="0"/>
              <w:jc w:val="center"/>
              <w:textAlignment w:val="auto"/>
              <w:rPr>
                <w:rFonts w:hint="eastAsia" w:ascii="宋体" w:hAnsi="宋体" w:eastAsia="宋体" w:cs="宋体"/>
                <w:bCs/>
                <w:color w:val="000000"/>
                <w:sz w:val="21"/>
                <w:szCs w:val="21"/>
                <w:highlight w:val="none"/>
              </w:rPr>
            </w:pPr>
            <w:r>
              <w:rPr>
                <w:rFonts w:hint="eastAsia" w:ascii="宋体" w:hAnsi="宋体" w:eastAsia="宋体" w:cs="宋体"/>
                <w:bCs/>
                <w:color w:val="000000"/>
                <w:szCs w:val="21"/>
                <w:highlight w:val="none"/>
              </w:rPr>
              <w:t>主要编制人员</w:t>
            </w:r>
          </w:p>
        </w:tc>
      </w:tr>
      <w:tr w14:paraId="005AA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exact"/>
        </w:trPr>
        <w:tc>
          <w:tcPr>
            <w:tcW w:w="689" w:type="dxa"/>
            <w:vMerge w:val="continue"/>
            <w:noWrap w:val="0"/>
            <w:vAlign w:val="center"/>
          </w:tcPr>
          <w:p w14:paraId="00B6D8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Cs/>
                <w:color w:val="000000"/>
                <w:spacing w:val="-10"/>
                <w:sz w:val="21"/>
                <w:szCs w:val="21"/>
                <w:highlight w:val="none"/>
              </w:rPr>
            </w:pPr>
          </w:p>
        </w:tc>
        <w:tc>
          <w:tcPr>
            <w:tcW w:w="1857" w:type="dxa"/>
            <w:noWrap w:val="0"/>
            <w:vAlign w:val="center"/>
          </w:tcPr>
          <w:p w14:paraId="06912B06">
            <w:pPr>
              <w:keepNext w:val="0"/>
              <w:keepLines w:val="0"/>
              <w:pageBreakBefore w:val="0"/>
              <w:suppressLineNumbers w:val="0"/>
              <w:kinsoku/>
              <w:wordWrap/>
              <w:overflowPunct/>
              <w:topLinePunct w:val="0"/>
              <w:autoSpaceDE/>
              <w:autoSpaceDN/>
              <w:bidi w:val="0"/>
              <w:adjustRightInd/>
              <w:snapToGrid/>
              <w:spacing w:before="100" w:beforeAutospacing="1" w:after="100" w:afterAutospacing="1" w:line="260" w:lineRule="exact"/>
              <w:ind w:left="0" w:right="0"/>
              <w:jc w:val="center"/>
              <w:textAlignment w:val="auto"/>
              <w:rPr>
                <w:rFonts w:hint="eastAsia" w:ascii="宋体" w:hAnsi="宋体" w:eastAsia="宋体" w:cs="宋体"/>
                <w:bCs/>
                <w:color w:val="000000"/>
                <w:sz w:val="21"/>
                <w:szCs w:val="21"/>
                <w:highlight w:val="none"/>
              </w:rPr>
            </w:pPr>
            <w:r>
              <w:rPr>
                <w:rFonts w:hint="eastAsia" w:ascii="宋体" w:hAnsi="宋体" w:eastAsia="宋体" w:cs="宋体"/>
                <w:bCs/>
                <w:color w:val="000000"/>
                <w:szCs w:val="21"/>
                <w:highlight w:val="none"/>
              </w:rPr>
              <w:t>姓名</w:t>
            </w:r>
          </w:p>
        </w:tc>
        <w:tc>
          <w:tcPr>
            <w:tcW w:w="1749" w:type="dxa"/>
            <w:noWrap w:val="0"/>
            <w:vAlign w:val="center"/>
          </w:tcPr>
          <w:p w14:paraId="6824015F">
            <w:pPr>
              <w:keepNext w:val="0"/>
              <w:keepLines w:val="0"/>
              <w:pageBreakBefore w:val="0"/>
              <w:suppressLineNumbers w:val="0"/>
              <w:kinsoku/>
              <w:wordWrap/>
              <w:overflowPunct/>
              <w:topLinePunct w:val="0"/>
              <w:autoSpaceDE/>
              <w:autoSpaceDN/>
              <w:bidi w:val="0"/>
              <w:adjustRightInd/>
              <w:snapToGrid/>
              <w:spacing w:before="100" w:beforeAutospacing="1" w:after="100" w:afterAutospacing="1" w:line="260" w:lineRule="exact"/>
              <w:ind w:left="0" w:right="0"/>
              <w:jc w:val="center"/>
              <w:textAlignment w:val="auto"/>
              <w:rPr>
                <w:rFonts w:hint="eastAsia" w:ascii="宋体" w:hAnsi="宋体" w:eastAsia="宋体" w:cs="宋体"/>
                <w:bCs/>
                <w:color w:val="000000"/>
                <w:sz w:val="21"/>
                <w:szCs w:val="21"/>
                <w:highlight w:val="none"/>
              </w:rPr>
            </w:pPr>
            <w:r>
              <w:rPr>
                <w:rFonts w:hint="eastAsia" w:ascii="宋体" w:hAnsi="宋体" w:eastAsia="宋体" w:cs="宋体"/>
                <w:bCs/>
                <w:color w:val="000000"/>
                <w:szCs w:val="21"/>
                <w:highlight w:val="none"/>
              </w:rPr>
              <w:t>职务/职称</w:t>
            </w:r>
          </w:p>
        </w:tc>
        <w:tc>
          <w:tcPr>
            <w:tcW w:w="2644" w:type="dxa"/>
            <w:gridSpan w:val="2"/>
            <w:noWrap w:val="0"/>
            <w:vAlign w:val="center"/>
          </w:tcPr>
          <w:p w14:paraId="5E3679BB">
            <w:pPr>
              <w:keepNext w:val="0"/>
              <w:keepLines w:val="0"/>
              <w:pageBreakBefore w:val="0"/>
              <w:suppressLineNumbers w:val="0"/>
              <w:kinsoku/>
              <w:wordWrap/>
              <w:overflowPunct/>
              <w:topLinePunct w:val="0"/>
              <w:autoSpaceDE/>
              <w:autoSpaceDN/>
              <w:bidi w:val="0"/>
              <w:adjustRightInd/>
              <w:snapToGrid/>
              <w:spacing w:before="100" w:beforeAutospacing="1" w:after="100" w:afterAutospacing="1" w:line="260" w:lineRule="exact"/>
              <w:ind w:left="0" w:right="0"/>
              <w:jc w:val="center"/>
              <w:textAlignment w:val="auto"/>
              <w:rPr>
                <w:rFonts w:hint="eastAsia" w:ascii="宋体" w:hAnsi="宋体" w:eastAsia="宋体" w:cs="宋体"/>
                <w:bCs/>
                <w:color w:val="000000"/>
                <w:sz w:val="21"/>
                <w:szCs w:val="21"/>
                <w:highlight w:val="none"/>
                <w:lang w:eastAsia="zh-CN"/>
              </w:rPr>
            </w:pPr>
            <w:r>
              <w:rPr>
                <w:rFonts w:hint="eastAsia" w:ascii="宋体" w:hAnsi="宋体" w:eastAsia="宋体" w:cs="宋体"/>
                <w:bCs/>
                <w:color w:val="000000"/>
                <w:szCs w:val="21"/>
                <w:highlight w:val="none"/>
              </w:rPr>
              <w:t>单位</w:t>
            </w:r>
          </w:p>
        </w:tc>
        <w:tc>
          <w:tcPr>
            <w:tcW w:w="1429" w:type="dxa"/>
            <w:noWrap w:val="0"/>
            <w:vAlign w:val="center"/>
          </w:tcPr>
          <w:p w14:paraId="3140B93C">
            <w:pPr>
              <w:keepNext w:val="0"/>
              <w:keepLines w:val="0"/>
              <w:pageBreakBefore w:val="0"/>
              <w:suppressLineNumbers w:val="0"/>
              <w:kinsoku/>
              <w:wordWrap/>
              <w:overflowPunct/>
              <w:topLinePunct w:val="0"/>
              <w:autoSpaceDE/>
              <w:autoSpaceDN/>
              <w:bidi w:val="0"/>
              <w:adjustRightInd/>
              <w:snapToGrid/>
              <w:spacing w:before="100" w:beforeAutospacing="1" w:after="100" w:afterAutospacing="1" w:line="260" w:lineRule="exact"/>
              <w:ind w:left="0" w:right="0"/>
              <w:jc w:val="center"/>
              <w:textAlignment w:val="auto"/>
              <w:rPr>
                <w:rFonts w:hint="eastAsia" w:ascii="宋体" w:hAnsi="宋体" w:eastAsia="宋体" w:cs="宋体"/>
                <w:bCs/>
                <w:color w:val="000000"/>
                <w:sz w:val="21"/>
                <w:szCs w:val="21"/>
                <w:highlight w:val="none"/>
              </w:rPr>
            </w:pPr>
            <w:r>
              <w:rPr>
                <w:rFonts w:hint="eastAsia" w:ascii="宋体" w:hAnsi="宋体" w:eastAsia="宋体" w:cs="宋体"/>
                <w:bCs/>
                <w:color w:val="000000"/>
                <w:szCs w:val="21"/>
                <w:highlight w:val="none"/>
              </w:rPr>
              <w:t>签名</w:t>
            </w:r>
          </w:p>
        </w:tc>
      </w:tr>
      <w:tr w14:paraId="24D61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exact"/>
        </w:trPr>
        <w:tc>
          <w:tcPr>
            <w:tcW w:w="689" w:type="dxa"/>
            <w:vMerge w:val="continue"/>
            <w:noWrap w:val="0"/>
            <w:vAlign w:val="center"/>
          </w:tcPr>
          <w:p w14:paraId="1FD63A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Cs/>
                <w:color w:val="000000"/>
                <w:spacing w:val="-10"/>
                <w:sz w:val="21"/>
                <w:szCs w:val="21"/>
                <w:highlight w:val="none"/>
              </w:rPr>
            </w:pPr>
          </w:p>
        </w:tc>
        <w:tc>
          <w:tcPr>
            <w:tcW w:w="1857" w:type="dxa"/>
            <w:noWrap w:val="0"/>
            <w:vAlign w:val="center"/>
          </w:tcPr>
          <w:p w14:paraId="5160534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Cs w:val="21"/>
                <w:highlight w:val="none"/>
                <w:lang w:val="en-US" w:eastAsia="zh-CN"/>
              </w:rPr>
              <w:t>刘继虎</w:t>
            </w:r>
          </w:p>
        </w:tc>
        <w:tc>
          <w:tcPr>
            <w:tcW w:w="1749" w:type="dxa"/>
            <w:noWrap w:val="0"/>
            <w:vAlign w:val="center"/>
          </w:tcPr>
          <w:p w14:paraId="2273ED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Cs w:val="21"/>
                <w:highlight w:val="none"/>
              </w:rPr>
              <w:t>工程师</w:t>
            </w:r>
          </w:p>
        </w:tc>
        <w:tc>
          <w:tcPr>
            <w:tcW w:w="2644" w:type="dxa"/>
            <w:gridSpan w:val="2"/>
            <w:noWrap w:val="0"/>
            <w:vAlign w:val="center"/>
          </w:tcPr>
          <w:p w14:paraId="01094A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color w:val="000000"/>
                <w:kern w:val="0"/>
                <w:sz w:val="21"/>
                <w:szCs w:val="21"/>
                <w:highlight w:val="none"/>
                <w:lang w:val="en-US" w:eastAsia="zh-CN" w:bidi="ar-SA"/>
              </w:rPr>
            </w:pPr>
            <w:r>
              <w:rPr>
                <w:rFonts w:hint="eastAsia" w:ascii="Calibri" w:hAnsi="Calibri" w:eastAsia="宋体" w:cs="宋体"/>
                <w:color w:val="000000"/>
                <w:szCs w:val="21"/>
                <w:highlight w:val="none"/>
                <w:lang w:eastAsia="zh-CN"/>
              </w:rPr>
              <w:t>新疆臻图工程测绘有限公司</w:t>
            </w:r>
          </w:p>
        </w:tc>
        <w:tc>
          <w:tcPr>
            <w:tcW w:w="1429" w:type="dxa"/>
            <w:noWrap w:val="0"/>
            <w:vAlign w:val="center"/>
          </w:tcPr>
          <w:p w14:paraId="51780B3D">
            <w:pPr>
              <w:keepNext w:val="0"/>
              <w:keepLines w:val="0"/>
              <w:pageBreakBefore w:val="0"/>
              <w:suppressLineNumbers w:val="0"/>
              <w:kinsoku/>
              <w:wordWrap/>
              <w:overflowPunct/>
              <w:topLinePunct w:val="0"/>
              <w:autoSpaceDE/>
              <w:autoSpaceDN/>
              <w:bidi w:val="0"/>
              <w:adjustRightInd/>
              <w:snapToGrid/>
              <w:spacing w:before="100" w:beforeAutospacing="1" w:after="100" w:afterAutospacing="1" w:line="260" w:lineRule="exact"/>
              <w:ind w:left="0" w:right="0"/>
              <w:jc w:val="center"/>
              <w:textAlignment w:val="auto"/>
              <w:rPr>
                <w:rFonts w:hint="eastAsia" w:ascii="宋体" w:hAnsi="宋体" w:eastAsia="宋体" w:cs="宋体"/>
                <w:bCs/>
                <w:color w:val="000000"/>
                <w:sz w:val="21"/>
                <w:szCs w:val="21"/>
                <w:highlight w:val="none"/>
              </w:rPr>
            </w:pPr>
          </w:p>
        </w:tc>
      </w:tr>
      <w:tr w14:paraId="3E42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exact"/>
        </w:trPr>
        <w:tc>
          <w:tcPr>
            <w:tcW w:w="689" w:type="dxa"/>
            <w:vMerge w:val="continue"/>
            <w:noWrap w:val="0"/>
            <w:vAlign w:val="center"/>
          </w:tcPr>
          <w:p w14:paraId="7510585B">
            <w:pPr>
              <w:keepNext w:val="0"/>
              <w:keepLines w:val="0"/>
              <w:pageBreakBefore w:val="0"/>
              <w:widowControl/>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bCs/>
                <w:color w:val="000000"/>
                <w:spacing w:val="-10"/>
                <w:sz w:val="24"/>
                <w:szCs w:val="24"/>
                <w:highlight w:val="none"/>
              </w:rPr>
            </w:pPr>
          </w:p>
        </w:tc>
        <w:tc>
          <w:tcPr>
            <w:tcW w:w="1857" w:type="dxa"/>
            <w:noWrap w:val="0"/>
            <w:vAlign w:val="center"/>
          </w:tcPr>
          <w:p w14:paraId="67267F2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祖里帕哈</w:t>
            </w:r>
          </w:p>
        </w:tc>
        <w:tc>
          <w:tcPr>
            <w:tcW w:w="1749" w:type="dxa"/>
            <w:noWrap w:val="0"/>
            <w:vAlign w:val="center"/>
          </w:tcPr>
          <w:p w14:paraId="589AB3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Cs w:val="21"/>
                <w:highlight w:val="none"/>
              </w:rPr>
              <w:t>工程师</w:t>
            </w:r>
          </w:p>
        </w:tc>
        <w:tc>
          <w:tcPr>
            <w:tcW w:w="2644" w:type="dxa"/>
            <w:gridSpan w:val="2"/>
            <w:noWrap w:val="0"/>
            <w:vAlign w:val="center"/>
          </w:tcPr>
          <w:p w14:paraId="61E588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color w:val="000000"/>
                <w:kern w:val="0"/>
                <w:sz w:val="21"/>
                <w:szCs w:val="21"/>
                <w:highlight w:val="none"/>
                <w:lang w:val="en-US" w:eastAsia="zh-CN" w:bidi="ar-SA"/>
              </w:rPr>
            </w:pPr>
            <w:r>
              <w:rPr>
                <w:rFonts w:hint="eastAsia" w:ascii="Calibri" w:hAnsi="Calibri" w:eastAsia="宋体" w:cs="宋体"/>
                <w:color w:val="000000"/>
                <w:szCs w:val="21"/>
                <w:highlight w:val="none"/>
                <w:lang w:eastAsia="zh-CN"/>
              </w:rPr>
              <w:t>新疆臻图工程测绘有限公司</w:t>
            </w:r>
          </w:p>
        </w:tc>
        <w:tc>
          <w:tcPr>
            <w:tcW w:w="1429" w:type="dxa"/>
            <w:noWrap w:val="0"/>
            <w:vAlign w:val="center"/>
          </w:tcPr>
          <w:p w14:paraId="5F19E563">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z w:val="24"/>
                <w:szCs w:val="24"/>
                <w:highlight w:val="none"/>
              </w:rPr>
            </w:pPr>
          </w:p>
        </w:tc>
      </w:tr>
      <w:tr w14:paraId="554DF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exact"/>
        </w:trPr>
        <w:tc>
          <w:tcPr>
            <w:tcW w:w="689" w:type="dxa"/>
            <w:vMerge w:val="continue"/>
            <w:noWrap w:val="0"/>
            <w:vAlign w:val="center"/>
          </w:tcPr>
          <w:p w14:paraId="42948EF1">
            <w:pPr>
              <w:keepNext w:val="0"/>
              <w:keepLines w:val="0"/>
              <w:pageBreakBefore w:val="0"/>
              <w:widowControl/>
              <w:suppressLineNumbers w:val="0"/>
              <w:kinsoku/>
              <w:wordWrap/>
              <w:overflowPunct/>
              <w:topLinePunct w:val="0"/>
              <w:autoSpaceDE/>
              <w:autoSpaceDN/>
              <w:bidi w:val="0"/>
              <w:spacing w:before="0" w:beforeAutospacing="0" w:after="0" w:afterAutospacing="0" w:line="260" w:lineRule="exact"/>
              <w:ind w:left="0" w:right="0"/>
              <w:jc w:val="center"/>
              <w:textAlignment w:val="auto"/>
              <w:rPr>
                <w:rFonts w:hint="eastAsia" w:ascii="宋体" w:hAnsi="宋体" w:eastAsia="宋体" w:cs="宋体"/>
                <w:bCs/>
                <w:color w:val="000000"/>
                <w:spacing w:val="-10"/>
                <w:sz w:val="24"/>
                <w:szCs w:val="24"/>
                <w:highlight w:val="none"/>
              </w:rPr>
            </w:pPr>
          </w:p>
        </w:tc>
        <w:tc>
          <w:tcPr>
            <w:tcW w:w="1857" w:type="dxa"/>
            <w:noWrap w:val="0"/>
            <w:vAlign w:val="center"/>
          </w:tcPr>
          <w:p w14:paraId="1C9D99D4">
            <w:pPr>
              <w:keepNext w:val="0"/>
              <w:keepLines w:val="0"/>
              <w:widowControl/>
              <w:suppressLineNumbers w:val="0"/>
              <w:spacing w:before="0" w:beforeAutospacing="0" w:after="0" w:afterAutospacing="0"/>
              <w:ind w:left="0" w:right="0"/>
              <w:jc w:val="center"/>
              <w:rPr>
                <w:rFonts w:hint="eastAsia" w:ascii="宋体" w:hAnsi="宋体" w:eastAsia="宋体" w:cs="宋体"/>
                <w:bCs/>
                <w:color w:val="000000"/>
                <w:sz w:val="24"/>
                <w:szCs w:val="24"/>
                <w:highlight w:val="none"/>
                <w:lang w:val="en-US" w:eastAsia="zh-CN"/>
              </w:rPr>
            </w:pPr>
            <w:r>
              <w:rPr>
                <w:rFonts w:hint="eastAsia" w:ascii="宋体" w:hAnsi="宋体" w:eastAsia="宋体" w:cs="宋体"/>
                <w:color w:val="000000"/>
                <w:kern w:val="0"/>
                <w:szCs w:val="21"/>
                <w:highlight w:val="none"/>
                <w:lang w:eastAsia="zh-CN"/>
              </w:rPr>
              <w:t>尤琇</w:t>
            </w:r>
          </w:p>
        </w:tc>
        <w:tc>
          <w:tcPr>
            <w:tcW w:w="1749" w:type="dxa"/>
            <w:noWrap w:val="0"/>
            <w:vAlign w:val="center"/>
          </w:tcPr>
          <w:p w14:paraId="33D413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Cs/>
                <w:color w:val="000000"/>
                <w:sz w:val="24"/>
                <w:szCs w:val="24"/>
                <w:highlight w:val="none"/>
              </w:rPr>
            </w:pPr>
            <w:r>
              <w:rPr>
                <w:rFonts w:hint="eastAsia" w:ascii="宋体" w:hAnsi="宋体" w:eastAsia="宋体" w:cs="宋体"/>
                <w:color w:val="000000"/>
                <w:kern w:val="0"/>
                <w:szCs w:val="21"/>
                <w:highlight w:val="none"/>
              </w:rPr>
              <w:t>工程师</w:t>
            </w:r>
          </w:p>
        </w:tc>
        <w:tc>
          <w:tcPr>
            <w:tcW w:w="2644" w:type="dxa"/>
            <w:gridSpan w:val="2"/>
            <w:noWrap w:val="0"/>
            <w:vAlign w:val="center"/>
          </w:tcPr>
          <w:p w14:paraId="53446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宋体" w:hAnsi="宋体" w:eastAsia="宋体" w:cs="宋体"/>
                <w:bCs/>
                <w:color w:val="000000"/>
                <w:sz w:val="24"/>
                <w:szCs w:val="24"/>
                <w:highlight w:val="none"/>
                <w:lang w:val="en-US" w:eastAsia="zh-CN"/>
              </w:rPr>
            </w:pPr>
            <w:r>
              <w:rPr>
                <w:rFonts w:hint="eastAsia" w:ascii="Calibri" w:hAnsi="Calibri" w:eastAsia="宋体" w:cs="宋体"/>
                <w:color w:val="000000"/>
                <w:szCs w:val="21"/>
                <w:highlight w:val="none"/>
                <w:lang w:eastAsia="zh-CN"/>
              </w:rPr>
              <w:t>新疆臻图工程测绘有限公司</w:t>
            </w:r>
          </w:p>
        </w:tc>
        <w:tc>
          <w:tcPr>
            <w:tcW w:w="1429" w:type="dxa"/>
            <w:noWrap w:val="0"/>
            <w:vAlign w:val="center"/>
          </w:tcPr>
          <w:p w14:paraId="3EA42C41">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z w:val="24"/>
                <w:szCs w:val="24"/>
                <w:highlight w:val="none"/>
              </w:rPr>
            </w:pPr>
          </w:p>
        </w:tc>
      </w:tr>
      <w:tr w14:paraId="7E1B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exact"/>
        </w:trPr>
        <w:tc>
          <w:tcPr>
            <w:tcW w:w="689" w:type="dxa"/>
            <w:vMerge w:val="continue"/>
            <w:noWrap w:val="0"/>
            <w:vAlign w:val="center"/>
          </w:tcPr>
          <w:p w14:paraId="64A4723F">
            <w:pPr>
              <w:pStyle w:val="18"/>
              <w:keepNext w:val="0"/>
              <w:keepLines w:val="0"/>
              <w:pageBreakBefore w:val="0"/>
              <w:suppressLineNumbers w:val="0"/>
              <w:kinsoku/>
              <w:wordWrap/>
              <w:overflowPunct/>
              <w:topLinePunct w:val="0"/>
              <w:autoSpaceDE/>
              <w:autoSpaceDN/>
              <w:bidi w:val="0"/>
              <w:spacing w:before="0" w:beforeAutospacing="0" w:afterAutospacing="0" w:line="260" w:lineRule="exact"/>
              <w:ind w:right="0"/>
              <w:jc w:val="center"/>
              <w:textAlignment w:val="auto"/>
              <w:rPr>
                <w:rFonts w:hint="eastAsia" w:ascii="宋体" w:hAnsi="宋体" w:eastAsia="宋体" w:cs="宋体"/>
                <w:color w:val="000000"/>
                <w:sz w:val="24"/>
                <w:szCs w:val="24"/>
                <w:highlight w:val="none"/>
              </w:rPr>
            </w:pPr>
          </w:p>
        </w:tc>
        <w:tc>
          <w:tcPr>
            <w:tcW w:w="1857" w:type="dxa"/>
            <w:noWrap w:val="0"/>
            <w:vAlign w:val="center"/>
          </w:tcPr>
          <w:p w14:paraId="527E9FEA">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z w:val="24"/>
                <w:szCs w:val="24"/>
                <w:highlight w:val="none"/>
                <w:lang w:val="en-US" w:eastAsia="zh-CN"/>
              </w:rPr>
            </w:pPr>
          </w:p>
        </w:tc>
        <w:tc>
          <w:tcPr>
            <w:tcW w:w="1749" w:type="dxa"/>
            <w:noWrap w:val="0"/>
            <w:vAlign w:val="center"/>
          </w:tcPr>
          <w:p w14:paraId="0DCA74E8">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z w:val="24"/>
                <w:szCs w:val="24"/>
                <w:highlight w:val="none"/>
              </w:rPr>
            </w:pPr>
          </w:p>
        </w:tc>
        <w:tc>
          <w:tcPr>
            <w:tcW w:w="2644" w:type="dxa"/>
            <w:gridSpan w:val="2"/>
            <w:noWrap w:val="0"/>
            <w:vAlign w:val="center"/>
          </w:tcPr>
          <w:p w14:paraId="2403E8B8">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z w:val="24"/>
                <w:szCs w:val="24"/>
                <w:highlight w:val="none"/>
                <w:lang w:val="en-US" w:eastAsia="zh-CN"/>
              </w:rPr>
            </w:pPr>
          </w:p>
        </w:tc>
        <w:tc>
          <w:tcPr>
            <w:tcW w:w="1429" w:type="dxa"/>
            <w:noWrap w:val="0"/>
            <w:vAlign w:val="center"/>
          </w:tcPr>
          <w:p w14:paraId="5890B42A">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z w:val="24"/>
                <w:szCs w:val="24"/>
                <w:highlight w:val="none"/>
              </w:rPr>
            </w:pPr>
          </w:p>
        </w:tc>
      </w:tr>
      <w:tr w14:paraId="589E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exact"/>
        </w:trPr>
        <w:tc>
          <w:tcPr>
            <w:tcW w:w="689" w:type="dxa"/>
            <w:vMerge w:val="continue"/>
            <w:noWrap w:val="0"/>
            <w:vAlign w:val="center"/>
          </w:tcPr>
          <w:p w14:paraId="7D88676D">
            <w:pPr>
              <w:pStyle w:val="18"/>
              <w:keepNext w:val="0"/>
              <w:keepLines w:val="0"/>
              <w:pageBreakBefore w:val="0"/>
              <w:suppressLineNumbers w:val="0"/>
              <w:kinsoku/>
              <w:wordWrap/>
              <w:overflowPunct/>
              <w:topLinePunct w:val="0"/>
              <w:autoSpaceDE/>
              <w:autoSpaceDN/>
              <w:bidi w:val="0"/>
              <w:spacing w:before="0" w:beforeAutospacing="0" w:afterAutospacing="0" w:line="260" w:lineRule="exact"/>
              <w:ind w:right="0"/>
              <w:jc w:val="center"/>
              <w:textAlignment w:val="auto"/>
              <w:rPr>
                <w:rFonts w:hint="eastAsia" w:ascii="宋体" w:hAnsi="宋体" w:eastAsia="宋体" w:cs="宋体"/>
                <w:color w:val="000000"/>
                <w:sz w:val="24"/>
                <w:szCs w:val="24"/>
                <w:highlight w:val="none"/>
              </w:rPr>
            </w:pPr>
          </w:p>
        </w:tc>
        <w:tc>
          <w:tcPr>
            <w:tcW w:w="1857" w:type="dxa"/>
            <w:noWrap w:val="0"/>
            <w:vAlign w:val="center"/>
          </w:tcPr>
          <w:p w14:paraId="057CBBA9">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z w:val="24"/>
                <w:szCs w:val="24"/>
                <w:highlight w:val="none"/>
                <w:lang w:val="en-US" w:eastAsia="zh-CN"/>
              </w:rPr>
            </w:pPr>
          </w:p>
        </w:tc>
        <w:tc>
          <w:tcPr>
            <w:tcW w:w="1749" w:type="dxa"/>
            <w:noWrap w:val="0"/>
            <w:vAlign w:val="center"/>
          </w:tcPr>
          <w:p w14:paraId="2E7187C2">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z w:val="24"/>
                <w:szCs w:val="24"/>
                <w:highlight w:val="none"/>
              </w:rPr>
            </w:pPr>
          </w:p>
        </w:tc>
        <w:tc>
          <w:tcPr>
            <w:tcW w:w="2644" w:type="dxa"/>
            <w:gridSpan w:val="2"/>
            <w:noWrap w:val="0"/>
            <w:vAlign w:val="center"/>
          </w:tcPr>
          <w:p w14:paraId="47E34787">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z w:val="24"/>
                <w:szCs w:val="24"/>
                <w:highlight w:val="none"/>
                <w:lang w:val="en-US" w:eastAsia="zh-CN"/>
              </w:rPr>
            </w:pPr>
          </w:p>
        </w:tc>
        <w:tc>
          <w:tcPr>
            <w:tcW w:w="1429" w:type="dxa"/>
            <w:noWrap w:val="0"/>
            <w:vAlign w:val="center"/>
          </w:tcPr>
          <w:p w14:paraId="368534E1">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z w:val="24"/>
                <w:szCs w:val="24"/>
                <w:highlight w:val="none"/>
              </w:rPr>
            </w:pPr>
          </w:p>
        </w:tc>
      </w:tr>
      <w:tr w14:paraId="70DC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exact"/>
        </w:trPr>
        <w:tc>
          <w:tcPr>
            <w:tcW w:w="689" w:type="dxa"/>
            <w:noWrap w:val="0"/>
            <w:vAlign w:val="center"/>
          </w:tcPr>
          <w:p w14:paraId="446CF2AA">
            <w:pPr>
              <w:pStyle w:val="18"/>
              <w:keepNext w:val="0"/>
              <w:keepLines w:val="0"/>
              <w:pageBreakBefore w:val="0"/>
              <w:suppressLineNumbers w:val="0"/>
              <w:kinsoku/>
              <w:wordWrap/>
              <w:overflowPunct/>
              <w:topLinePunct w:val="0"/>
              <w:autoSpaceDE/>
              <w:autoSpaceDN/>
              <w:bidi w:val="0"/>
              <w:spacing w:before="0" w:beforeAutospacing="0" w:afterAutospacing="0" w:line="260" w:lineRule="exact"/>
              <w:ind w:right="0"/>
              <w:jc w:val="center"/>
              <w:textAlignment w:val="auto"/>
              <w:rPr>
                <w:rFonts w:hint="eastAsia" w:ascii="宋体" w:hAnsi="宋体" w:eastAsia="宋体" w:cs="宋体"/>
                <w:color w:val="000000"/>
                <w:sz w:val="24"/>
                <w:szCs w:val="24"/>
                <w:highlight w:val="none"/>
              </w:rPr>
            </w:pPr>
          </w:p>
        </w:tc>
        <w:tc>
          <w:tcPr>
            <w:tcW w:w="1857" w:type="dxa"/>
            <w:noWrap w:val="0"/>
            <w:vAlign w:val="center"/>
          </w:tcPr>
          <w:p w14:paraId="3EA5DAA2">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z w:val="24"/>
                <w:szCs w:val="24"/>
                <w:highlight w:val="none"/>
                <w:lang w:val="en-US" w:eastAsia="zh-CN"/>
              </w:rPr>
            </w:pPr>
          </w:p>
        </w:tc>
        <w:tc>
          <w:tcPr>
            <w:tcW w:w="1749" w:type="dxa"/>
            <w:noWrap w:val="0"/>
            <w:vAlign w:val="center"/>
          </w:tcPr>
          <w:p w14:paraId="6A417874">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z w:val="24"/>
                <w:szCs w:val="24"/>
                <w:highlight w:val="none"/>
              </w:rPr>
            </w:pPr>
          </w:p>
        </w:tc>
        <w:tc>
          <w:tcPr>
            <w:tcW w:w="2644" w:type="dxa"/>
            <w:gridSpan w:val="2"/>
            <w:noWrap w:val="0"/>
            <w:vAlign w:val="center"/>
          </w:tcPr>
          <w:p w14:paraId="500ABCAF">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z w:val="24"/>
                <w:szCs w:val="24"/>
                <w:highlight w:val="none"/>
                <w:lang w:val="en-US" w:eastAsia="zh-CN"/>
              </w:rPr>
            </w:pPr>
          </w:p>
        </w:tc>
        <w:tc>
          <w:tcPr>
            <w:tcW w:w="1429" w:type="dxa"/>
            <w:noWrap w:val="0"/>
            <w:vAlign w:val="center"/>
          </w:tcPr>
          <w:p w14:paraId="15C679D0">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z w:val="24"/>
                <w:szCs w:val="24"/>
                <w:highlight w:val="none"/>
              </w:rPr>
            </w:pPr>
          </w:p>
        </w:tc>
      </w:tr>
      <w:tr w14:paraId="460C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exact"/>
        </w:trPr>
        <w:tc>
          <w:tcPr>
            <w:tcW w:w="689" w:type="dxa"/>
            <w:noWrap w:val="0"/>
            <w:vAlign w:val="center"/>
          </w:tcPr>
          <w:p w14:paraId="503BBEF3">
            <w:pPr>
              <w:pStyle w:val="18"/>
              <w:keepNext w:val="0"/>
              <w:keepLines w:val="0"/>
              <w:pageBreakBefore w:val="0"/>
              <w:suppressLineNumbers w:val="0"/>
              <w:kinsoku/>
              <w:wordWrap/>
              <w:overflowPunct/>
              <w:topLinePunct w:val="0"/>
              <w:autoSpaceDE/>
              <w:autoSpaceDN/>
              <w:bidi w:val="0"/>
              <w:spacing w:before="0" w:beforeAutospacing="0" w:afterAutospacing="0" w:line="260" w:lineRule="exact"/>
              <w:ind w:right="0"/>
              <w:jc w:val="center"/>
              <w:textAlignment w:val="auto"/>
              <w:rPr>
                <w:rFonts w:hint="eastAsia" w:ascii="宋体" w:hAnsi="宋体" w:eastAsia="宋体" w:cs="宋体"/>
                <w:color w:val="000000"/>
                <w:sz w:val="24"/>
                <w:szCs w:val="24"/>
                <w:highlight w:val="none"/>
              </w:rPr>
            </w:pPr>
          </w:p>
        </w:tc>
        <w:tc>
          <w:tcPr>
            <w:tcW w:w="1857" w:type="dxa"/>
            <w:noWrap w:val="0"/>
            <w:vAlign w:val="center"/>
          </w:tcPr>
          <w:p w14:paraId="341047B2">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z w:val="24"/>
                <w:szCs w:val="24"/>
                <w:highlight w:val="none"/>
                <w:lang w:val="en-US" w:eastAsia="zh-CN"/>
              </w:rPr>
            </w:pPr>
          </w:p>
        </w:tc>
        <w:tc>
          <w:tcPr>
            <w:tcW w:w="1749" w:type="dxa"/>
            <w:noWrap w:val="0"/>
            <w:vAlign w:val="center"/>
          </w:tcPr>
          <w:p w14:paraId="092DA77F">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z w:val="24"/>
                <w:szCs w:val="24"/>
                <w:highlight w:val="none"/>
              </w:rPr>
            </w:pPr>
          </w:p>
        </w:tc>
        <w:tc>
          <w:tcPr>
            <w:tcW w:w="2644" w:type="dxa"/>
            <w:gridSpan w:val="2"/>
            <w:noWrap w:val="0"/>
            <w:vAlign w:val="center"/>
          </w:tcPr>
          <w:p w14:paraId="79AE820E">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z w:val="24"/>
                <w:szCs w:val="24"/>
                <w:highlight w:val="none"/>
                <w:lang w:val="en-US" w:eastAsia="zh-CN"/>
              </w:rPr>
            </w:pPr>
          </w:p>
        </w:tc>
        <w:tc>
          <w:tcPr>
            <w:tcW w:w="1429" w:type="dxa"/>
            <w:noWrap w:val="0"/>
            <w:vAlign w:val="center"/>
          </w:tcPr>
          <w:p w14:paraId="63A1528C">
            <w:pPr>
              <w:keepNext w:val="0"/>
              <w:keepLines w:val="0"/>
              <w:pageBreakBefore w:val="0"/>
              <w:suppressLineNumbers w:val="0"/>
              <w:kinsoku/>
              <w:wordWrap/>
              <w:overflowPunct/>
              <w:topLinePunct w:val="0"/>
              <w:autoSpaceDE/>
              <w:autoSpaceDN/>
              <w:bidi w:val="0"/>
              <w:spacing w:before="100" w:beforeAutospacing="1" w:after="100" w:afterAutospacing="1" w:line="260" w:lineRule="exact"/>
              <w:ind w:left="0" w:right="0"/>
              <w:jc w:val="center"/>
              <w:textAlignment w:val="auto"/>
              <w:rPr>
                <w:rFonts w:hint="eastAsia" w:ascii="宋体" w:hAnsi="宋体" w:eastAsia="宋体" w:cs="宋体"/>
                <w:bCs/>
                <w:color w:val="000000"/>
                <w:sz w:val="24"/>
                <w:szCs w:val="24"/>
                <w:highlight w:val="none"/>
              </w:rPr>
            </w:pPr>
          </w:p>
        </w:tc>
      </w:tr>
    </w:tbl>
    <w:p w14:paraId="00A1CA71">
      <w:pPr>
        <w:bidi w:val="0"/>
        <w:jc w:val="center"/>
        <w:outlineLvl w:val="0"/>
        <w:rPr>
          <w:rFonts w:hint="eastAsia"/>
          <w:b/>
          <w:bCs/>
          <w:color w:val="000000"/>
          <w:sz w:val="22"/>
          <w:szCs w:val="28"/>
          <w:highlight w:val="none"/>
        </w:rPr>
      </w:pPr>
      <w:r>
        <w:rPr>
          <w:rFonts w:hint="eastAsia"/>
          <w:b/>
          <w:bCs/>
          <w:color w:val="000000"/>
          <w:sz w:val="22"/>
          <w:szCs w:val="28"/>
          <w:highlight w:val="none"/>
        </w:rPr>
        <w:t>土地复垦方案报告表</w:t>
      </w:r>
    </w:p>
    <w:p w14:paraId="3B38AEA6">
      <w:pPr>
        <w:jc w:val="center"/>
        <w:rPr>
          <w:rFonts w:hint="eastAsia" w:ascii="宋体" w:hAnsi="宋体" w:cs="宋体"/>
          <w:b/>
          <w:color w:val="000000"/>
          <w:sz w:val="28"/>
          <w:szCs w:val="28"/>
          <w:highlight w:val="none"/>
        </w:rPr>
      </w:pPr>
    </w:p>
    <w:p w14:paraId="2FA94EAD">
      <w:pPr>
        <w:jc w:val="center"/>
        <w:rPr>
          <w:rFonts w:hint="eastAsia" w:ascii="宋体" w:hAnsi="宋体" w:cs="宋体"/>
          <w:b/>
          <w:color w:val="000000"/>
          <w:sz w:val="28"/>
          <w:szCs w:val="28"/>
          <w:highlight w:val="none"/>
        </w:rPr>
      </w:pPr>
    </w:p>
    <w:p w14:paraId="4681D2CD">
      <w:pPr>
        <w:rPr>
          <w:rFonts w:hint="eastAsia" w:ascii="宋体" w:hAnsi="宋体" w:cs="宋体"/>
          <w:b/>
          <w:color w:val="000000"/>
          <w:sz w:val="28"/>
          <w:szCs w:val="28"/>
          <w:highlight w:val="none"/>
        </w:rPr>
      </w:pPr>
    </w:p>
    <w:tbl>
      <w:tblPr>
        <w:tblStyle w:val="19"/>
        <w:tblW w:w="9095" w:type="dxa"/>
        <w:tblInd w:w="97" w:type="dxa"/>
        <w:tblLayout w:type="fixed"/>
        <w:tblCellMar>
          <w:top w:w="0" w:type="dxa"/>
          <w:left w:w="108" w:type="dxa"/>
          <w:bottom w:w="0" w:type="dxa"/>
          <w:right w:w="108" w:type="dxa"/>
        </w:tblCellMar>
      </w:tblPr>
      <w:tblGrid>
        <w:gridCol w:w="730"/>
        <w:gridCol w:w="1178"/>
        <w:gridCol w:w="1490"/>
        <w:gridCol w:w="1417"/>
        <w:gridCol w:w="1450"/>
        <w:gridCol w:w="633"/>
        <w:gridCol w:w="752"/>
        <w:gridCol w:w="1445"/>
      </w:tblGrid>
      <w:tr w14:paraId="435AD6EA">
        <w:tblPrEx>
          <w:tblCellMar>
            <w:top w:w="0" w:type="dxa"/>
            <w:left w:w="108" w:type="dxa"/>
            <w:bottom w:w="0" w:type="dxa"/>
            <w:right w:w="108" w:type="dxa"/>
          </w:tblCellMar>
        </w:tblPrEx>
        <w:trPr>
          <w:trHeight w:val="397" w:hRule="atLeast"/>
        </w:trPr>
        <w:tc>
          <w:tcPr>
            <w:tcW w:w="730" w:type="dxa"/>
            <w:vMerge w:val="restart"/>
            <w:tcBorders>
              <w:top w:val="single" w:color="auto" w:sz="4" w:space="0"/>
              <w:left w:val="single" w:color="auto" w:sz="4" w:space="0"/>
              <w:bottom w:val="single" w:color="auto" w:sz="4" w:space="0"/>
              <w:right w:val="single" w:color="auto" w:sz="4" w:space="0"/>
            </w:tcBorders>
            <w:noWrap w:val="0"/>
            <w:vAlign w:val="center"/>
          </w:tcPr>
          <w:p w14:paraId="617C6D2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复垦</w:t>
            </w:r>
          </w:p>
          <w:p w14:paraId="2901813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区土</w:t>
            </w:r>
          </w:p>
          <w:p w14:paraId="77DEB3B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地利</w:t>
            </w:r>
          </w:p>
          <w:p w14:paraId="47C322B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用现</w:t>
            </w:r>
          </w:p>
          <w:p w14:paraId="3BD1E927">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状</w:t>
            </w:r>
          </w:p>
        </w:tc>
        <w:tc>
          <w:tcPr>
            <w:tcW w:w="2668" w:type="dxa"/>
            <w:gridSpan w:val="2"/>
            <w:tcBorders>
              <w:top w:val="single" w:color="auto" w:sz="4" w:space="0"/>
              <w:left w:val="nil"/>
              <w:bottom w:val="single" w:color="auto" w:sz="4" w:space="0"/>
              <w:right w:val="single" w:color="auto" w:sz="4" w:space="0"/>
            </w:tcBorders>
            <w:noWrap w:val="0"/>
            <w:vAlign w:val="center"/>
          </w:tcPr>
          <w:p w14:paraId="1445668E">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土地类型</w:t>
            </w:r>
          </w:p>
        </w:tc>
        <w:tc>
          <w:tcPr>
            <w:tcW w:w="5697" w:type="dxa"/>
            <w:gridSpan w:val="5"/>
            <w:tcBorders>
              <w:top w:val="single" w:color="auto" w:sz="4" w:space="0"/>
              <w:left w:val="nil"/>
              <w:bottom w:val="single" w:color="auto" w:sz="4" w:space="0"/>
              <w:right w:val="single" w:color="auto" w:sz="4" w:space="0"/>
            </w:tcBorders>
            <w:noWrap w:val="0"/>
            <w:vAlign w:val="center"/>
          </w:tcPr>
          <w:p w14:paraId="469A6E6D">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面积（hm</w:t>
            </w:r>
            <w:r>
              <w:rPr>
                <w:rFonts w:hint="eastAsia" w:ascii="宋体" w:hAnsi="宋体" w:eastAsia="宋体" w:cs="宋体"/>
                <w:color w:val="000000"/>
                <w:kern w:val="0"/>
                <w:szCs w:val="21"/>
                <w:highlight w:val="none"/>
                <w:vertAlign w:val="superscript"/>
              </w:rPr>
              <w:t>2</w:t>
            </w:r>
            <w:r>
              <w:rPr>
                <w:rFonts w:hint="eastAsia" w:ascii="宋体" w:hAnsi="宋体" w:eastAsia="宋体" w:cs="宋体"/>
                <w:color w:val="000000"/>
                <w:kern w:val="0"/>
                <w:szCs w:val="21"/>
                <w:highlight w:val="none"/>
              </w:rPr>
              <w:t>）</w:t>
            </w:r>
          </w:p>
        </w:tc>
      </w:tr>
      <w:tr w14:paraId="6FE89BFB">
        <w:tblPrEx>
          <w:tblCellMar>
            <w:top w:w="0" w:type="dxa"/>
            <w:left w:w="108" w:type="dxa"/>
            <w:bottom w:w="0" w:type="dxa"/>
            <w:right w:w="108" w:type="dxa"/>
          </w:tblCellMar>
        </w:tblPrEx>
        <w:trPr>
          <w:trHeight w:val="397" w:hRule="atLeast"/>
        </w:trPr>
        <w:tc>
          <w:tcPr>
            <w:tcW w:w="730" w:type="dxa"/>
            <w:vMerge w:val="continue"/>
            <w:tcBorders>
              <w:top w:val="single" w:color="auto" w:sz="4" w:space="0"/>
              <w:left w:val="single" w:color="auto" w:sz="4" w:space="0"/>
              <w:bottom w:val="single" w:color="auto" w:sz="4" w:space="0"/>
              <w:right w:val="single" w:color="auto" w:sz="4" w:space="0"/>
            </w:tcBorders>
            <w:noWrap w:val="0"/>
            <w:vAlign w:val="center"/>
          </w:tcPr>
          <w:p w14:paraId="43786906">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178" w:type="dxa"/>
            <w:tcBorders>
              <w:top w:val="nil"/>
              <w:left w:val="nil"/>
              <w:bottom w:val="single" w:color="auto" w:sz="4" w:space="0"/>
              <w:right w:val="single" w:color="auto" w:sz="4" w:space="0"/>
            </w:tcBorders>
            <w:noWrap w:val="0"/>
            <w:vAlign w:val="center"/>
          </w:tcPr>
          <w:p w14:paraId="55A3B6C3">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一级地类</w:t>
            </w:r>
          </w:p>
        </w:tc>
        <w:tc>
          <w:tcPr>
            <w:tcW w:w="1490" w:type="dxa"/>
            <w:tcBorders>
              <w:top w:val="nil"/>
              <w:left w:val="nil"/>
              <w:bottom w:val="single" w:color="auto" w:sz="4" w:space="0"/>
              <w:right w:val="single" w:color="auto" w:sz="4" w:space="0"/>
            </w:tcBorders>
            <w:noWrap w:val="0"/>
            <w:vAlign w:val="center"/>
          </w:tcPr>
          <w:p w14:paraId="2D71340F">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二级地类</w:t>
            </w:r>
          </w:p>
        </w:tc>
        <w:tc>
          <w:tcPr>
            <w:tcW w:w="1417" w:type="dxa"/>
            <w:tcBorders>
              <w:top w:val="nil"/>
              <w:left w:val="nil"/>
              <w:bottom w:val="single" w:color="auto" w:sz="4" w:space="0"/>
              <w:right w:val="single" w:color="auto" w:sz="4" w:space="0"/>
            </w:tcBorders>
            <w:noWrap w:val="0"/>
            <w:vAlign w:val="center"/>
          </w:tcPr>
          <w:p w14:paraId="20FB88C9">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小计</w:t>
            </w:r>
          </w:p>
        </w:tc>
        <w:tc>
          <w:tcPr>
            <w:tcW w:w="1450" w:type="dxa"/>
            <w:tcBorders>
              <w:top w:val="nil"/>
              <w:left w:val="nil"/>
              <w:bottom w:val="single" w:color="auto" w:sz="4" w:space="0"/>
              <w:right w:val="single" w:color="auto" w:sz="4" w:space="0"/>
            </w:tcBorders>
            <w:noWrap w:val="0"/>
            <w:vAlign w:val="center"/>
          </w:tcPr>
          <w:p w14:paraId="6916A67C">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已损毁</w:t>
            </w:r>
          </w:p>
        </w:tc>
        <w:tc>
          <w:tcPr>
            <w:tcW w:w="1385" w:type="dxa"/>
            <w:gridSpan w:val="2"/>
            <w:tcBorders>
              <w:top w:val="nil"/>
              <w:left w:val="nil"/>
              <w:bottom w:val="single" w:color="auto" w:sz="4" w:space="0"/>
              <w:right w:val="single" w:color="auto" w:sz="4" w:space="0"/>
            </w:tcBorders>
            <w:noWrap w:val="0"/>
            <w:vAlign w:val="center"/>
          </w:tcPr>
          <w:p w14:paraId="480AA3F1">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拟损毁</w:t>
            </w:r>
          </w:p>
        </w:tc>
        <w:tc>
          <w:tcPr>
            <w:tcW w:w="1445" w:type="dxa"/>
            <w:tcBorders>
              <w:top w:val="nil"/>
              <w:left w:val="nil"/>
              <w:bottom w:val="single" w:color="auto" w:sz="4" w:space="0"/>
              <w:right w:val="single" w:color="auto" w:sz="4" w:space="0"/>
            </w:tcBorders>
            <w:noWrap w:val="0"/>
            <w:vAlign w:val="center"/>
          </w:tcPr>
          <w:p w14:paraId="307949F5">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占用</w:t>
            </w:r>
          </w:p>
        </w:tc>
      </w:tr>
      <w:tr w14:paraId="7DBCB9C3">
        <w:tblPrEx>
          <w:tblCellMar>
            <w:top w:w="0" w:type="dxa"/>
            <w:left w:w="108" w:type="dxa"/>
            <w:bottom w:w="0" w:type="dxa"/>
            <w:right w:w="108" w:type="dxa"/>
          </w:tblCellMar>
        </w:tblPrEx>
        <w:trPr>
          <w:trHeight w:val="397" w:hRule="atLeast"/>
        </w:trPr>
        <w:tc>
          <w:tcPr>
            <w:tcW w:w="730" w:type="dxa"/>
            <w:vMerge w:val="continue"/>
            <w:tcBorders>
              <w:top w:val="single" w:color="auto" w:sz="4" w:space="0"/>
              <w:left w:val="single" w:color="auto" w:sz="4" w:space="0"/>
              <w:bottom w:val="single" w:color="auto" w:sz="4" w:space="0"/>
              <w:right w:val="single" w:color="auto" w:sz="4" w:space="0"/>
            </w:tcBorders>
            <w:noWrap w:val="0"/>
            <w:vAlign w:val="center"/>
          </w:tcPr>
          <w:p w14:paraId="7E1906E0">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178" w:type="dxa"/>
            <w:vMerge w:val="restart"/>
            <w:tcBorders>
              <w:top w:val="nil"/>
              <w:left w:val="single" w:color="auto" w:sz="4" w:space="0"/>
              <w:right w:val="single" w:color="auto" w:sz="4" w:space="0"/>
            </w:tcBorders>
            <w:noWrap w:val="0"/>
            <w:vAlign w:val="center"/>
          </w:tcPr>
          <w:p w14:paraId="76B4170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工矿用地</w:t>
            </w:r>
          </w:p>
        </w:tc>
        <w:tc>
          <w:tcPr>
            <w:tcW w:w="1490" w:type="dxa"/>
            <w:tcBorders>
              <w:top w:val="nil"/>
              <w:left w:val="nil"/>
              <w:bottom w:val="single" w:color="auto" w:sz="4" w:space="0"/>
              <w:right w:val="single" w:color="auto" w:sz="4" w:space="0"/>
            </w:tcBorders>
            <w:noWrap w:val="0"/>
            <w:vAlign w:val="center"/>
          </w:tcPr>
          <w:p w14:paraId="14AC49E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盐田及采矿用地</w:t>
            </w:r>
          </w:p>
        </w:tc>
        <w:tc>
          <w:tcPr>
            <w:tcW w:w="1417" w:type="dxa"/>
            <w:tcBorders>
              <w:top w:val="nil"/>
              <w:left w:val="nil"/>
              <w:bottom w:val="single" w:color="auto" w:sz="4" w:space="0"/>
              <w:right w:val="single" w:color="auto" w:sz="4" w:space="0"/>
            </w:tcBorders>
            <w:noWrap w:val="0"/>
            <w:vAlign w:val="center"/>
          </w:tcPr>
          <w:p w14:paraId="6617460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 xml:space="preserve">1.2208 </w:t>
            </w:r>
          </w:p>
        </w:tc>
        <w:tc>
          <w:tcPr>
            <w:tcW w:w="1450" w:type="dxa"/>
            <w:tcBorders>
              <w:top w:val="nil"/>
              <w:left w:val="nil"/>
              <w:bottom w:val="single" w:color="auto" w:sz="4" w:space="0"/>
              <w:right w:val="single" w:color="auto" w:sz="4" w:space="0"/>
            </w:tcBorders>
            <w:noWrap w:val="0"/>
            <w:vAlign w:val="center"/>
          </w:tcPr>
          <w:p w14:paraId="6B950F32">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p>
        </w:tc>
        <w:tc>
          <w:tcPr>
            <w:tcW w:w="1385" w:type="dxa"/>
            <w:gridSpan w:val="2"/>
            <w:tcBorders>
              <w:top w:val="nil"/>
              <w:left w:val="nil"/>
              <w:bottom w:val="single" w:color="auto" w:sz="4" w:space="0"/>
              <w:right w:val="single" w:color="auto" w:sz="4" w:space="0"/>
            </w:tcBorders>
            <w:noWrap w:val="0"/>
            <w:vAlign w:val="center"/>
          </w:tcPr>
          <w:p w14:paraId="487BC2C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 xml:space="preserve">1.2208 </w:t>
            </w:r>
          </w:p>
        </w:tc>
        <w:tc>
          <w:tcPr>
            <w:tcW w:w="1445" w:type="dxa"/>
            <w:tcBorders>
              <w:top w:val="nil"/>
              <w:left w:val="nil"/>
              <w:bottom w:val="single" w:color="auto" w:sz="4" w:space="0"/>
              <w:right w:val="single" w:color="auto" w:sz="4" w:space="0"/>
            </w:tcBorders>
            <w:noWrap w:val="0"/>
            <w:vAlign w:val="center"/>
          </w:tcPr>
          <w:p w14:paraId="5CF63AA9">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r>
      <w:tr w14:paraId="604C376E">
        <w:tblPrEx>
          <w:tblCellMar>
            <w:top w:w="0" w:type="dxa"/>
            <w:left w:w="108" w:type="dxa"/>
            <w:bottom w:w="0" w:type="dxa"/>
            <w:right w:w="108" w:type="dxa"/>
          </w:tblCellMar>
        </w:tblPrEx>
        <w:trPr>
          <w:trHeight w:val="397" w:hRule="atLeast"/>
        </w:trPr>
        <w:tc>
          <w:tcPr>
            <w:tcW w:w="730" w:type="dxa"/>
            <w:vMerge w:val="continue"/>
            <w:tcBorders>
              <w:top w:val="single" w:color="auto" w:sz="4" w:space="0"/>
              <w:left w:val="single" w:color="auto" w:sz="4" w:space="0"/>
              <w:bottom w:val="single" w:color="auto" w:sz="4" w:space="0"/>
              <w:right w:val="single" w:color="auto" w:sz="4" w:space="0"/>
            </w:tcBorders>
            <w:noWrap w:val="0"/>
            <w:vAlign w:val="center"/>
          </w:tcPr>
          <w:p w14:paraId="6F38C1A7">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178" w:type="dxa"/>
            <w:vMerge w:val="continue"/>
            <w:tcBorders>
              <w:left w:val="single" w:color="auto" w:sz="4" w:space="0"/>
              <w:right w:val="single" w:color="auto" w:sz="4" w:space="0"/>
            </w:tcBorders>
            <w:noWrap w:val="0"/>
            <w:vAlign w:val="center"/>
          </w:tcPr>
          <w:p w14:paraId="6FA006AD">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490" w:type="dxa"/>
            <w:tcBorders>
              <w:top w:val="nil"/>
              <w:left w:val="nil"/>
              <w:bottom w:val="single" w:color="auto" w:sz="4" w:space="0"/>
              <w:right w:val="single" w:color="auto" w:sz="4" w:space="0"/>
            </w:tcBorders>
            <w:noWrap w:val="0"/>
            <w:vAlign w:val="center"/>
          </w:tcPr>
          <w:p w14:paraId="66123F41">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417" w:type="dxa"/>
            <w:tcBorders>
              <w:top w:val="nil"/>
              <w:left w:val="nil"/>
              <w:bottom w:val="single" w:color="auto" w:sz="4" w:space="0"/>
              <w:right w:val="single" w:color="auto" w:sz="4" w:space="0"/>
            </w:tcBorders>
            <w:noWrap w:val="0"/>
            <w:vAlign w:val="center"/>
          </w:tcPr>
          <w:p w14:paraId="206E6A50">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450" w:type="dxa"/>
            <w:tcBorders>
              <w:top w:val="nil"/>
              <w:left w:val="nil"/>
              <w:bottom w:val="single" w:color="auto" w:sz="4" w:space="0"/>
              <w:right w:val="single" w:color="auto" w:sz="4" w:space="0"/>
            </w:tcBorders>
            <w:noWrap w:val="0"/>
            <w:vAlign w:val="center"/>
          </w:tcPr>
          <w:p w14:paraId="6F95BB0D">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385" w:type="dxa"/>
            <w:gridSpan w:val="2"/>
            <w:tcBorders>
              <w:top w:val="nil"/>
              <w:left w:val="nil"/>
              <w:bottom w:val="single" w:color="auto" w:sz="4" w:space="0"/>
              <w:right w:val="single" w:color="auto" w:sz="4" w:space="0"/>
            </w:tcBorders>
            <w:noWrap w:val="0"/>
            <w:vAlign w:val="center"/>
          </w:tcPr>
          <w:p w14:paraId="58DA0F69">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445" w:type="dxa"/>
            <w:tcBorders>
              <w:top w:val="nil"/>
              <w:left w:val="nil"/>
              <w:bottom w:val="single" w:color="auto" w:sz="4" w:space="0"/>
              <w:right w:val="single" w:color="auto" w:sz="4" w:space="0"/>
            </w:tcBorders>
            <w:noWrap w:val="0"/>
            <w:vAlign w:val="center"/>
          </w:tcPr>
          <w:p w14:paraId="509C188B">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r>
      <w:tr w14:paraId="2E6CBED5">
        <w:tblPrEx>
          <w:tblCellMar>
            <w:top w:w="0" w:type="dxa"/>
            <w:left w:w="108" w:type="dxa"/>
            <w:bottom w:w="0" w:type="dxa"/>
            <w:right w:w="108" w:type="dxa"/>
          </w:tblCellMar>
        </w:tblPrEx>
        <w:trPr>
          <w:trHeight w:val="397" w:hRule="atLeast"/>
        </w:trPr>
        <w:tc>
          <w:tcPr>
            <w:tcW w:w="730" w:type="dxa"/>
            <w:vMerge w:val="continue"/>
            <w:tcBorders>
              <w:top w:val="single" w:color="auto" w:sz="4" w:space="0"/>
              <w:left w:val="single" w:color="auto" w:sz="4" w:space="0"/>
              <w:bottom w:val="single" w:color="auto" w:sz="4" w:space="0"/>
              <w:right w:val="single" w:color="auto" w:sz="4" w:space="0"/>
            </w:tcBorders>
            <w:noWrap w:val="0"/>
            <w:vAlign w:val="center"/>
          </w:tcPr>
          <w:p w14:paraId="15D7E771">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178" w:type="dxa"/>
            <w:vMerge w:val="continue"/>
            <w:tcBorders>
              <w:left w:val="single" w:color="auto" w:sz="4" w:space="0"/>
              <w:right w:val="single" w:color="auto" w:sz="4" w:space="0"/>
            </w:tcBorders>
            <w:noWrap w:val="0"/>
            <w:vAlign w:val="center"/>
          </w:tcPr>
          <w:p w14:paraId="1B29418A">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p>
        </w:tc>
        <w:tc>
          <w:tcPr>
            <w:tcW w:w="1490" w:type="dxa"/>
            <w:tcBorders>
              <w:top w:val="nil"/>
              <w:left w:val="nil"/>
              <w:bottom w:val="single" w:color="auto" w:sz="4" w:space="0"/>
              <w:right w:val="single" w:color="auto" w:sz="4" w:space="0"/>
            </w:tcBorders>
            <w:noWrap w:val="0"/>
            <w:vAlign w:val="center"/>
          </w:tcPr>
          <w:p w14:paraId="1D90ACE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p>
        </w:tc>
        <w:tc>
          <w:tcPr>
            <w:tcW w:w="1417" w:type="dxa"/>
            <w:tcBorders>
              <w:top w:val="nil"/>
              <w:left w:val="nil"/>
              <w:bottom w:val="single" w:color="auto" w:sz="4" w:space="0"/>
              <w:right w:val="single" w:color="auto" w:sz="4" w:space="0"/>
            </w:tcBorders>
            <w:noWrap w:val="0"/>
            <w:vAlign w:val="center"/>
          </w:tcPr>
          <w:p w14:paraId="4B92021D">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450" w:type="dxa"/>
            <w:tcBorders>
              <w:top w:val="nil"/>
              <w:left w:val="nil"/>
              <w:bottom w:val="single" w:color="auto" w:sz="4" w:space="0"/>
              <w:right w:val="single" w:color="auto" w:sz="4" w:space="0"/>
            </w:tcBorders>
            <w:noWrap w:val="0"/>
            <w:vAlign w:val="center"/>
          </w:tcPr>
          <w:p w14:paraId="38BE341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p>
        </w:tc>
        <w:tc>
          <w:tcPr>
            <w:tcW w:w="1385" w:type="dxa"/>
            <w:gridSpan w:val="2"/>
            <w:tcBorders>
              <w:top w:val="nil"/>
              <w:left w:val="nil"/>
              <w:bottom w:val="single" w:color="auto" w:sz="4" w:space="0"/>
              <w:right w:val="single" w:color="auto" w:sz="4" w:space="0"/>
            </w:tcBorders>
            <w:noWrap w:val="0"/>
            <w:vAlign w:val="center"/>
          </w:tcPr>
          <w:p w14:paraId="6A3408B6">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445" w:type="dxa"/>
            <w:tcBorders>
              <w:top w:val="nil"/>
              <w:left w:val="nil"/>
              <w:bottom w:val="single" w:color="auto" w:sz="4" w:space="0"/>
              <w:right w:val="single" w:color="auto" w:sz="4" w:space="0"/>
            </w:tcBorders>
            <w:noWrap w:val="0"/>
            <w:vAlign w:val="center"/>
          </w:tcPr>
          <w:p w14:paraId="28F81440">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r>
      <w:tr w14:paraId="1246E5D7">
        <w:tblPrEx>
          <w:tblCellMar>
            <w:top w:w="0" w:type="dxa"/>
            <w:left w:w="108" w:type="dxa"/>
            <w:bottom w:w="0" w:type="dxa"/>
            <w:right w:w="108" w:type="dxa"/>
          </w:tblCellMar>
        </w:tblPrEx>
        <w:trPr>
          <w:trHeight w:val="397" w:hRule="atLeast"/>
        </w:trPr>
        <w:tc>
          <w:tcPr>
            <w:tcW w:w="730" w:type="dxa"/>
            <w:vMerge w:val="continue"/>
            <w:tcBorders>
              <w:top w:val="single" w:color="auto" w:sz="4" w:space="0"/>
              <w:left w:val="single" w:color="auto" w:sz="4" w:space="0"/>
              <w:bottom w:val="single" w:color="auto" w:sz="4" w:space="0"/>
              <w:right w:val="single" w:color="auto" w:sz="4" w:space="0"/>
            </w:tcBorders>
            <w:noWrap w:val="0"/>
            <w:vAlign w:val="center"/>
          </w:tcPr>
          <w:p w14:paraId="0BC48B4C">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178" w:type="dxa"/>
            <w:vMerge w:val="continue"/>
            <w:tcBorders>
              <w:left w:val="single" w:color="auto" w:sz="4" w:space="0"/>
              <w:bottom w:val="single" w:color="auto" w:sz="4" w:space="0"/>
              <w:right w:val="single" w:color="auto" w:sz="4" w:space="0"/>
            </w:tcBorders>
            <w:noWrap w:val="0"/>
            <w:vAlign w:val="center"/>
          </w:tcPr>
          <w:p w14:paraId="15AC1656">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490" w:type="dxa"/>
            <w:tcBorders>
              <w:top w:val="nil"/>
              <w:left w:val="nil"/>
              <w:bottom w:val="single" w:color="auto" w:sz="4" w:space="0"/>
              <w:right w:val="single" w:color="auto" w:sz="4" w:space="0"/>
            </w:tcBorders>
            <w:noWrap w:val="0"/>
            <w:vAlign w:val="center"/>
          </w:tcPr>
          <w:p w14:paraId="6D5D703E">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417" w:type="dxa"/>
            <w:tcBorders>
              <w:top w:val="nil"/>
              <w:left w:val="nil"/>
              <w:bottom w:val="single" w:color="auto" w:sz="4" w:space="0"/>
              <w:right w:val="single" w:color="auto" w:sz="4" w:space="0"/>
            </w:tcBorders>
            <w:noWrap w:val="0"/>
            <w:vAlign w:val="center"/>
          </w:tcPr>
          <w:p w14:paraId="2C263377">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450" w:type="dxa"/>
            <w:tcBorders>
              <w:top w:val="nil"/>
              <w:left w:val="nil"/>
              <w:bottom w:val="single" w:color="auto" w:sz="4" w:space="0"/>
              <w:right w:val="single" w:color="auto" w:sz="4" w:space="0"/>
            </w:tcBorders>
            <w:noWrap w:val="0"/>
            <w:vAlign w:val="center"/>
          </w:tcPr>
          <w:p w14:paraId="792CF399">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385" w:type="dxa"/>
            <w:gridSpan w:val="2"/>
            <w:tcBorders>
              <w:top w:val="nil"/>
              <w:left w:val="nil"/>
              <w:bottom w:val="single" w:color="auto" w:sz="4" w:space="0"/>
              <w:right w:val="single" w:color="auto" w:sz="4" w:space="0"/>
            </w:tcBorders>
            <w:noWrap w:val="0"/>
            <w:vAlign w:val="center"/>
          </w:tcPr>
          <w:p w14:paraId="473E5A9E">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445" w:type="dxa"/>
            <w:tcBorders>
              <w:top w:val="nil"/>
              <w:left w:val="nil"/>
              <w:bottom w:val="single" w:color="auto" w:sz="4" w:space="0"/>
              <w:right w:val="single" w:color="auto" w:sz="4" w:space="0"/>
            </w:tcBorders>
            <w:noWrap w:val="0"/>
            <w:vAlign w:val="center"/>
          </w:tcPr>
          <w:p w14:paraId="4752D2FE">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r>
      <w:tr w14:paraId="01D8AD68">
        <w:tblPrEx>
          <w:tblCellMar>
            <w:top w:w="0" w:type="dxa"/>
            <w:left w:w="108" w:type="dxa"/>
            <w:bottom w:w="0" w:type="dxa"/>
            <w:right w:w="108" w:type="dxa"/>
          </w:tblCellMar>
        </w:tblPrEx>
        <w:trPr>
          <w:trHeight w:val="397" w:hRule="atLeast"/>
        </w:trPr>
        <w:tc>
          <w:tcPr>
            <w:tcW w:w="730" w:type="dxa"/>
            <w:vMerge w:val="continue"/>
            <w:tcBorders>
              <w:top w:val="single" w:color="auto" w:sz="4" w:space="0"/>
              <w:left w:val="single" w:color="auto" w:sz="4" w:space="0"/>
              <w:bottom w:val="single" w:color="auto" w:sz="4" w:space="0"/>
              <w:right w:val="single" w:color="auto" w:sz="4" w:space="0"/>
            </w:tcBorders>
            <w:noWrap w:val="0"/>
            <w:vAlign w:val="center"/>
          </w:tcPr>
          <w:p w14:paraId="36CCB555">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178" w:type="dxa"/>
            <w:vMerge w:val="restart"/>
            <w:tcBorders>
              <w:top w:val="nil"/>
              <w:left w:val="single" w:color="auto" w:sz="4" w:space="0"/>
              <w:bottom w:val="single" w:color="auto" w:sz="4" w:space="0"/>
              <w:right w:val="single" w:color="auto" w:sz="4" w:space="0"/>
            </w:tcBorders>
            <w:noWrap w:val="0"/>
            <w:vAlign w:val="center"/>
          </w:tcPr>
          <w:p w14:paraId="1FA9F9D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r>
              <w:rPr>
                <w:rFonts w:hint="eastAsia" w:ascii="宋体" w:hAnsi="宋体" w:eastAsia="宋体" w:cs="宋体"/>
                <w:color w:val="000000"/>
                <w:szCs w:val="21"/>
                <w:highlight w:val="none"/>
                <w:lang w:val="en-US" w:eastAsia="zh-CN"/>
              </w:rPr>
              <w:t>其他土地</w:t>
            </w:r>
          </w:p>
        </w:tc>
        <w:tc>
          <w:tcPr>
            <w:tcW w:w="1490" w:type="dxa"/>
            <w:tcBorders>
              <w:top w:val="nil"/>
              <w:left w:val="nil"/>
              <w:bottom w:val="single" w:color="auto" w:sz="4" w:space="0"/>
              <w:right w:val="single" w:color="auto" w:sz="4" w:space="0"/>
            </w:tcBorders>
            <w:noWrap w:val="0"/>
            <w:vAlign w:val="center"/>
          </w:tcPr>
          <w:p w14:paraId="4B2BE732">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p>
        </w:tc>
        <w:tc>
          <w:tcPr>
            <w:tcW w:w="1417" w:type="dxa"/>
            <w:tcBorders>
              <w:top w:val="nil"/>
              <w:left w:val="nil"/>
              <w:bottom w:val="single" w:color="auto" w:sz="4" w:space="0"/>
              <w:right w:val="single" w:color="auto" w:sz="4" w:space="0"/>
            </w:tcBorders>
            <w:noWrap w:val="0"/>
            <w:vAlign w:val="center"/>
          </w:tcPr>
          <w:p w14:paraId="5E130C9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1"/>
                <w:szCs w:val="21"/>
                <w:highlight w:val="none"/>
                <w:lang w:val="en-US" w:eastAsia="zh-CN" w:bidi="ar-SA"/>
              </w:rPr>
            </w:pPr>
          </w:p>
        </w:tc>
        <w:tc>
          <w:tcPr>
            <w:tcW w:w="1450" w:type="dxa"/>
            <w:tcBorders>
              <w:top w:val="nil"/>
              <w:left w:val="nil"/>
              <w:bottom w:val="single" w:color="auto" w:sz="4" w:space="0"/>
              <w:right w:val="single" w:color="auto" w:sz="4" w:space="0"/>
            </w:tcBorders>
            <w:noWrap w:val="0"/>
            <w:vAlign w:val="center"/>
          </w:tcPr>
          <w:p w14:paraId="5667886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p>
        </w:tc>
        <w:tc>
          <w:tcPr>
            <w:tcW w:w="1385" w:type="dxa"/>
            <w:gridSpan w:val="2"/>
            <w:tcBorders>
              <w:top w:val="nil"/>
              <w:left w:val="nil"/>
              <w:bottom w:val="single" w:color="auto" w:sz="4" w:space="0"/>
              <w:right w:val="single" w:color="auto" w:sz="4" w:space="0"/>
            </w:tcBorders>
            <w:noWrap w:val="0"/>
            <w:vAlign w:val="center"/>
          </w:tcPr>
          <w:p w14:paraId="3DAF415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p>
        </w:tc>
        <w:tc>
          <w:tcPr>
            <w:tcW w:w="1445" w:type="dxa"/>
            <w:tcBorders>
              <w:top w:val="nil"/>
              <w:left w:val="nil"/>
              <w:bottom w:val="single" w:color="auto" w:sz="4" w:space="0"/>
              <w:right w:val="single" w:color="auto" w:sz="4" w:space="0"/>
            </w:tcBorders>
            <w:noWrap w:val="0"/>
            <w:vAlign w:val="center"/>
          </w:tcPr>
          <w:p w14:paraId="321F17C2">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r>
      <w:tr w14:paraId="35167AFC">
        <w:tblPrEx>
          <w:tblCellMar>
            <w:top w:w="0" w:type="dxa"/>
            <w:left w:w="108" w:type="dxa"/>
            <w:bottom w:w="0" w:type="dxa"/>
            <w:right w:w="108" w:type="dxa"/>
          </w:tblCellMar>
        </w:tblPrEx>
        <w:trPr>
          <w:trHeight w:val="397" w:hRule="atLeast"/>
        </w:trPr>
        <w:tc>
          <w:tcPr>
            <w:tcW w:w="730" w:type="dxa"/>
            <w:vMerge w:val="continue"/>
            <w:tcBorders>
              <w:top w:val="single" w:color="auto" w:sz="4" w:space="0"/>
              <w:left w:val="single" w:color="auto" w:sz="4" w:space="0"/>
              <w:bottom w:val="single" w:color="auto" w:sz="4" w:space="0"/>
              <w:right w:val="single" w:color="auto" w:sz="4" w:space="0"/>
            </w:tcBorders>
            <w:noWrap w:val="0"/>
            <w:vAlign w:val="center"/>
          </w:tcPr>
          <w:p w14:paraId="6397F9F9">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178" w:type="dxa"/>
            <w:vMerge w:val="continue"/>
            <w:tcBorders>
              <w:top w:val="nil"/>
              <w:left w:val="single" w:color="auto" w:sz="4" w:space="0"/>
              <w:bottom w:val="single" w:color="auto" w:sz="4" w:space="0"/>
              <w:right w:val="single" w:color="auto" w:sz="4" w:space="0"/>
            </w:tcBorders>
            <w:noWrap w:val="0"/>
            <w:vAlign w:val="center"/>
          </w:tcPr>
          <w:p w14:paraId="111EA8F0">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490" w:type="dxa"/>
            <w:tcBorders>
              <w:top w:val="nil"/>
              <w:left w:val="nil"/>
              <w:bottom w:val="single" w:color="auto" w:sz="4" w:space="0"/>
              <w:right w:val="single" w:color="auto" w:sz="4" w:space="0"/>
            </w:tcBorders>
            <w:noWrap w:val="0"/>
            <w:vAlign w:val="center"/>
          </w:tcPr>
          <w:p w14:paraId="2A8FBCB9">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lang w:val="en-US" w:eastAsia="zh-CN"/>
              </w:rPr>
              <w:t>裸岩石砾地</w:t>
            </w:r>
          </w:p>
        </w:tc>
        <w:tc>
          <w:tcPr>
            <w:tcW w:w="1417" w:type="dxa"/>
            <w:tcBorders>
              <w:top w:val="nil"/>
              <w:left w:val="nil"/>
              <w:bottom w:val="single" w:color="auto" w:sz="4" w:space="0"/>
              <w:right w:val="single" w:color="auto" w:sz="4" w:space="0"/>
            </w:tcBorders>
            <w:noWrap w:val="0"/>
            <w:vAlign w:val="center"/>
          </w:tcPr>
          <w:p w14:paraId="770DB43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1"/>
                <w:szCs w:val="21"/>
                <w:highlight w:val="none"/>
                <w:lang w:val="en-US" w:eastAsia="zh-CN" w:bidi="ar-SA"/>
              </w:rPr>
            </w:pPr>
            <w:r>
              <w:rPr>
                <w:rFonts w:hint="eastAsia" w:ascii="宋体" w:hAnsi="宋体" w:eastAsia="宋体" w:cs="宋体"/>
                <w:bCs/>
                <w:color w:val="000000"/>
                <w:szCs w:val="21"/>
                <w:highlight w:val="none"/>
                <w:lang w:val="en-US" w:eastAsia="zh-CN"/>
              </w:rPr>
              <w:t>2.4620</w:t>
            </w:r>
          </w:p>
        </w:tc>
        <w:tc>
          <w:tcPr>
            <w:tcW w:w="1450" w:type="dxa"/>
            <w:tcBorders>
              <w:top w:val="nil"/>
              <w:left w:val="nil"/>
              <w:bottom w:val="single" w:color="auto" w:sz="4" w:space="0"/>
              <w:right w:val="single" w:color="auto" w:sz="4" w:space="0"/>
            </w:tcBorders>
            <w:noWrap w:val="0"/>
            <w:vAlign w:val="center"/>
          </w:tcPr>
          <w:p w14:paraId="0427FC0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rPr>
            </w:pPr>
          </w:p>
        </w:tc>
        <w:tc>
          <w:tcPr>
            <w:tcW w:w="1385" w:type="dxa"/>
            <w:gridSpan w:val="2"/>
            <w:tcBorders>
              <w:top w:val="nil"/>
              <w:left w:val="nil"/>
              <w:bottom w:val="single" w:color="auto" w:sz="4" w:space="0"/>
              <w:right w:val="single" w:color="auto" w:sz="4" w:space="0"/>
            </w:tcBorders>
            <w:noWrap w:val="0"/>
            <w:vAlign w:val="center"/>
          </w:tcPr>
          <w:p w14:paraId="4876831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2.4620</w:t>
            </w:r>
          </w:p>
        </w:tc>
        <w:tc>
          <w:tcPr>
            <w:tcW w:w="1445" w:type="dxa"/>
            <w:tcBorders>
              <w:top w:val="nil"/>
              <w:left w:val="nil"/>
              <w:bottom w:val="single" w:color="auto" w:sz="4" w:space="0"/>
              <w:right w:val="single" w:color="auto" w:sz="4" w:space="0"/>
            </w:tcBorders>
            <w:noWrap w:val="0"/>
            <w:vAlign w:val="center"/>
          </w:tcPr>
          <w:p w14:paraId="0AD1A3D5">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r>
      <w:tr w14:paraId="53DCBE5D">
        <w:tblPrEx>
          <w:tblCellMar>
            <w:top w:w="0" w:type="dxa"/>
            <w:left w:w="108" w:type="dxa"/>
            <w:bottom w:w="0" w:type="dxa"/>
            <w:right w:w="108" w:type="dxa"/>
          </w:tblCellMar>
        </w:tblPrEx>
        <w:trPr>
          <w:trHeight w:val="397" w:hRule="atLeast"/>
        </w:trPr>
        <w:tc>
          <w:tcPr>
            <w:tcW w:w="730" w:type="dxa"/>
            <w:vMerge w:val="continue"/>
            <w:tcBorders>
              <w:top w:val="single" w:color="auto" w:sz="4" w:space="0"/>
              <w:left w:val="single" w:color="auto" w:sz="4" w:space="0"/>
              <w:bottom w:val="single" w:color="auto" w:sz="4" w:space="0"/>
              <w:right w:val="single" w:color="auto" w:sz="4" w:space="0"/>
            </w:tcBorders>
            <w:noWrap w:val="0"/>
            <w:vAlign w:val="center"/>
          </w:tcPr>
          <w:p w14:paraId="42834E9B">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178" w:type="dxa"/>
            <w:vMerge w:val="restart"/>
            <w:tcBorders>
              <w:top w:val="nil"/>
              <w:left w:val="single" w:color="auto" w:sz="4" w:space="0"/>
              <w:right w:val="single" w:color="auto" w:sz="4" w:space="0"/>
            </w:tcBorders>
            <w:noWrap w:val="0"/>
            <w:vAlign w:val="center"/>
          </w:tcPr>
          <w:p w14:paraId="26B70C5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r>
              <w:rPr>
                <w:rFonts w:hint="eastAsia" w:ascii="宋体" w:hAnsi="宋体" w:eastAsia="宋体" w:cs="宋体"/>
                <w:color w:val="000000"/>
                <w:szCs w:val="21"/>
                <w:highlight w:val="none"/>
                <w:lang w:val="en-US" w:eastAsia="zh-CN"/>
              </w:rPr>
              <w:t>陆地水域</w:t>
            </w:r>
          </w:p>
        </w:tc>
        <w:tc>
          <w:tcPr>
            <w:tcW w:w="1490" w:type="dxa"/>
            <w:tcBorders>
              <w:top w:val="nil"/>
              <w:left w:val="nil"/>
              <w:bottom w:val="single" w:color="auto" w:sz="4" w:space="0"/>
              <w:right w:val="single" w:color="auto" w:sz="4" w:space="0"/>
            </w:tcBorders>
            <w:noWrap w:val="0"/>
            <w:vAlign w:val="center"/>
          </w:tcPr>
          <w:p w14:paraId="3E79537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p>
        </w:tc>
        <w:tc>
          <w:tcPr>
            <w:tcW w:w="1417" w:type="dxa"/>
            <w:tcBorders>
              <w:top w:val="nil"/>
              <w:left w:val="nil"/>
              <w:bottom w:val="single" w:color="auto" w:sz="4" w:space="0"/>
              <w:right w:val="single" w:color="auto" w:sz="4" w:space="0"/>
            </w:tcBorders>
            <w:noWrap w:val="0"/>
            <w:vAlign w:val="center"/>
          </w:tcPr>
          <w:p w14:paraId="6F5BE4E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1"/>
                <w:szCs w:val="21"/>
                <w:highlight w:val="none"/>
                <w:lang w:val="en-US" w:eastAsia="zh-CN" w:bidi="ar-SA"/>
              </w:rPr>
            </w:pPr>
          </w:p>
        </w:tc>
        <w:tc>
          <w:tcPr>
            <w:tcW w:w="1450" w:type="dxa"/>
            <w:tcBorders>
              <w:top w:val="nil"/>
              <w:left w:val="nil"/>
              <w:bottom w:val="single" w:color="auto" w:sz="4" w:space="0"/>
              <w:right w:val="single" w:color="auto" w:sz="4" w:space="0"/>
            </w:tcBorders>
            <w:noWrap w:val="0"/>
            <w:vAlign w:val="center"/>
          </w:tcPr>
          <w:p w14:paraId="5BAE264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p>
        </w:tc>
        <w:tc>
          <w:tcPr>
            <w:tcW w:w="1385" w:type="dxa"/>
            <w:gridSpan w:val="2"/>
            <w:tcBorders>
              <w:top w:val="nil"/>
              <w:left w:val="nil"/>
              <w:bottom w:val="single" w:color="auto" w:sz="4" w:space="0"/>
              <w:right w:val="single" w:color="auto" w:sz="4" w:space="0"/>
            </w:tcBorders>
            <w:noWrap w:val="0"/>
            <w:vAlign w:val="center"/>
          </w:tcPr>
          <w:p w14:paraId="5650B59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p>
        </w:tc>
        <w:tc>
          <w:tcPr>
            <w:tcW w:w="1445" w:type="dxa"/>
            <w:tcBorders>
              <w:top w:val="nil"/>
              <w:left w:val="nil"/>
              <w:bottom w:val="single" w:color="auto" w:sz="4" w:space="0"/>
              <w:right w:val="single" w:color="auto" w:sz="4" w:space="0"/>
            </w:tcBorders>
            <w:noWrap w:val="0"/>
            <w:vAlign w:val="center"/>
          </w:tcPr>
          <w:p w14:paraId="3C243BD0">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r>
      <w:tr w14:paraId="14B1DA58">
        <w:tblPrEx>
          <w:tblCellMar>
            <w:top w:w="0" w:type="dxa"/>
            <w:left w:w="108" w:type="dxa"/>
            <w:bottom w:w="0" w:type="dxa"/>
            <w:right w:w="108" w:type="dxa"/>
          </w:tblCellMar>
        </w:tblPrEx>
        <w:trPr>
          <w:trHeight w:val="367" w:hRule="atLeast"/>
        </w:trPr>
        <w:tc>
          <w:tcPr>
            <w:tcW w:w="730" w:type="dxa"/>
            <w:vMerge w:val="continue"/>
            <w:tcBorders>
              <w:top w:val="single" w:color="auto" w:sz="4" w:space="0"/>
              <w:left w:val="single" w:color="auto" w:sz="4" w:space="0"/>
              <w:bottom w:val="single" w:color="auto" w:sz="4" w:space="0"/>
              <w:right w:val="single" w:color="auto" w:sz="4" w:space="0"/>
            </w:tcBorders>
            <w:noWrap w:val="0"/>
            <w:vAlign w:val="center"/>
          </w:tcPr>
          <w:p w14:paraId="1ABE2317">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178" w:type="dxa"/>
            <w:vMerge w:val="continue"/>
            <w:tcBorders>
              <w:left w:val="single" w:color="auto" w:sz="4" w:space="0"/>
              <w:right w:val="single" w:color="auto" w:sz="4" w:space="0"/>
            </w:tcBorders>
            <w:noWrap w:val="0"/>
            <w:vAlign w:val="center"/>
          </w:tcPr>
          <w:p w14:paraId="616EB414">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490" w:type="dxa"/>
            <w:tcBorders>
              <w:top w:val="single" w:color="auto" w:sz="4" w:space="0"/>
              <w:left w:val="single" w:color="auto" w:sz="4" w:space="0"/>
              <w:bottom w:val="single" w:color="auto" w:sz="4" w:space="0"/>
              <w:right w:val="single" w:color="auto" w:sz="4" w:space="0"/>
            </w:tcBorders>
            <w:noWrap w:val="0"/>
            <w:vAlign w:val="center"/>
          </w:tcPr>
          <w:p w14:paraId="70B31E9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6D3A4C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highlight w:val="none"/>
                <w:lang w:val="en-US" w:eastAsia="zh-CN" w:bidi="ar-SA"/>
              </w:rPr>
            </w:pPr>
          </w:p>
        </w:tc>
        <w:tc>
          <w:tcPr>
            <w:tcW w:w="1450" w:type="dxa"/>
            <w:tcBorders>
              <w:top w:val="single" w:color="auto" w:sz="4" w:space="0"/>
              <w:left w:val="single" w:color="auto" w:sz="4" w:space="0"/>
              <w:bottom w:val="single" w:color="auto" w:sz="4" w:space="0"/>
              <w:right w:val="single" w:color="auto" w:sz="4" w:space="0"/>
            </w:tcBorders>
            <w:noWrap w:val="0"/>
            <w:vAlign w:val="center"/>
          </w:tcPr>
          <w:p w14:paraId="01441957">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385" w:type="dxa"/>
            <w:gridSpan w:val="2"/>
            <w:tcBorders>
              <w:top w:val="single" w:color="auto" w:sz="4" w:space="0"/>
              <w:left w:val="single" w:color="auto" w:sz="4" w:space="0"/>
              <w:bottom w:val="single" w:color="auto" w:sz="4" w:space="0"/>
              <w:right w:val="single" w:color="auto" w:sz="4" w:space="0"/>
            </w:tcBorders>
            <w:noWrap w:val="0"/>
            <w:vAlign w:val="center"/>
          </w:tcPr>
          <w:p w14:paraId="5A80C731">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445" w:type="dxa"/>
            <w:tcBorders>
              <w:top w:val="single" w:color="auto" w:sz="4" w:space="0"/>
              <w:left w:val="single" w:color="auto" w:sz="4" w:space="0"/>
              <w:bottom w:val="single" w:color="auto" w:sz="4" w:space="0"/>
              <w:right w:val="single" w:color="auto" w:sz="4" w:space="0"/>
            </w:tcBorders>
            <w:noWrap w:val="0"/>
            <w:vAlign w:val="center"/>
          </w:tcPr>
          <w:p w14:paraId="44E89FA9">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r>
      <w:tr w14:paraId="6D4C9549">
        <w:tblPrEx>
          <w:tblCellMar>
            <w:top w:w="0" w:type="dxa"/>
            <w:left w:w="108" w:type="dxa"/>
            <w:bottom w:w="0" w:type="dxa"/>
            <w:right w:w="108" w:type="dxa"/>
          </w:tblCellMar>
        </w:tblPrEx>
        <w:trPr>
          <w:trHeight w:val="397" w:hRule="atLeast"/>
        </w:trPr>
        <w:tc>
          <w:tcPr>
            <w:tcW w:w="730" w:type="dxa"/>
            <w:vMerge w:val="continue"/>
            <w:tcBorders>
              <w:top w:val="single" w:color="auto" w:sz="4" w:space="0"/>
              <w:left w:val="single" w:color="auto" w:sz="4" w:space="0"/>
              <w:bottom w:val="single" w:color="auto" w:sz="4" w:space="0"/>
              <w:right w:val="single" w:color="auto" w:sz="4" w:space="0"/>
            </w:tcBorders>
            <w:noWrap w:val="0"/>
            <w:vAlign w:val="center"/>
          </w:tcPr>
          <w:p w14:paraId="3C0249FB">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2668" w:type="dxa"/>
            <w:gridSpan w:val="2"/>
            <w:tcBorders>
              <w:top w:val="single" w:color="auto" w:sz="4" w:space="0"/>
              <w:left w:val="single" w:color="auto" w:sz="4" w:space="0"/>
              <w:bottom w:val="single" w:color="auto" w:sz="4" w:space="0"/>
              <w:right w:val="single" w:color="auto" w:sz="4" w:space="0"/>
            </w:tcBorders>
            <w:noWrap w:val="0"/>
            <w:vAlign w:val="center"/>
          </w:tcPr>
          <w:p w14:paraId="1FCEFB85">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合计</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434F56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r>
              <w:rPr>
                <w:rFonts w:hint="eastAsia" w:ascii="宋体" w:hAnsi="宋体" w:eastAsia="宋体" w:cs="宋体"/>
                <w:bCs/>
                <w:color w:val="000000"/>
                <w:szCs w:val="21"/>
                <w:highlight w:val="none"/>
                <w:lang w:val="en-US" w:eastAsia="zh-CN"/>
              </w:rPr>
              <w:t>3.6828</w:t>
            </w:r>
          </w:p>
        </w:tc>
        <w:tc>
          <w:tcPr>
            <w:tcW w:w="1450" w:type="dxa"/>
            <w:tcBorders>
              <w:top w:val="single" w:color="auto" w:sz="4" w:space="0"/>
              <w:left w:val="single" w:color="auto" w:sz="4" w:space="0"/>
              <w:bottom w:val="single" w:color="auto" w:sz="4" w:space="0"/>
              <w:right w:val="single" w:color="auto" w:sz="4" w:space="0"/>
            </w:tcBorders>
            <w:noWrap w:val="0"/>
            <w:vAlign w:val="center"/>
          </w:tcPr>
          <w:p w14:paraId="19BFBAB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1"/>
                <w:szCs w:val="21"/>
                <w:highlight w:val="none"/>
                <w:lang w:val="en-US" w:eastAsia="zh-CN" w:bidi="ar-SA"/>
              </w:rPr>
            </w:pPr>
          </w:p>
        </w:tc>
        <w:tc>
          <w:tcPr>
            <w:tcW w:w="1385" w:type="dxa"/>
            <w:gridSpan w:val="2"/>
            <w:tcBorders>
              <w:top w:val="single" w:color="auto" w:sz="4" w:space="0"/>
              <w:left w:val="single" w:color="auto" w:sz="4" w:space="0"/>
              <w:bottom w:val="single" w:color="auto" w:sz="4" w:space="0"/>
              <w:right w:val="single" w:color="auto" w:sz="4" w:space="0"/>
            </w:tcBorders>
            <w:noWrap w:val="0"/>
            <w:vAlign w:val="center"/>
          </w:tcPr>
          <w:p w14:paraId="5FD1AEB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3.6828</w:t>
            </w:r>
          </w:p>
        </w:tc>
        <w:tc>
          <w:tcPr>
            <w:tcW w:w="1445" w:type="dxa"/>
            <w:tcBorders>
              <w:top w:val="single" w:color="auto" w:sz="4" w:space="0"/>
              <w:left w:val="single" w:color="auto" w:sz="4" w:space="0"/>
              <w:bottom w:val="single" w:color="auto" w:sz="4" w:space="0"/>
              <w:right w:val="single" w:color="auto" w:sz="4" w:space="0"/>
            </w:tcBorders>
            <w:noWrap w:val="0"/>
            <w:vAlign w:val="center"/>
          </w:tcPr>
          <w:p w14:paraId="5971B45C">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r>
      <w:tr w14:paraId="6C0F8747">
        <w:tblPrEx>
          <w:tblCellMar>
            <w:top w:w="0" w:type="dxa"/>
            <w:left w:w="108" w:type="dxa"/>
            <w:bottom w:w="0" w:type="dxa"/>
            <w:right w:w="108" w:type="dxa"/>
          </w:tblCellMar>
        </w:tblPrEx>
        <w:trPr>
          <w:trHeight w:val="397" w:hRule="atLeast"/>
        </w:trPr>
        <w:tc>
          <w:tcPr>
            <w:tcW w:w="730" w:type="dxa"/>
            <w:vMerge w:val="restart"/>
            <w:tcBorders>
              <w:top w:val="single" w:color="auto" w:sz="4" w:space="0"/>
              <w:left w:val="single" w:color="auto" w:sz="4" w:space="0"/>
              <w:bottom w:val="single" w:color="auto" w:sz="4" w:space="0"/>
              <w:right w:val="single" w:color="auto" w:sz="4" w:space="0"/>
            </w:tcBorders>
            <w:noWrap w:val="0"/>
            <w:vAlign w:val="center"/>
          </w:tcPr>
          <w:p w14:paraId="62F74359">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复垦</w:t>
            </w:r>
          </w:p>
          <w:p w14:paraId="5B9412E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责任</w:t>
            </w:r>
          </w:p>
          <w:p w14:paraId="195AADC3">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范围</w:t>
            </w:r>
          </w:p>
          <w:p w14:paraId="4A52794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内土</w:t>
            </w:r>
          </w:p>
          <w:p w14:paraId="10BDFDE5">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地损</w:t>
            </w:r>
          </w:p>
          <w:p w14:paraId="079CF579">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毁及</w:t>
            </w:r>
          </w:p>
          <w:p w14:paraId="59BF7AE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占用</w:t>
            </w:r>
          </w:p>
          <w:p w14:paraId="2E5F9AF0">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面积</w:t>
            </w:r>
          </w:p>
        </w:tc>
        <w:tc>
          <w:tcPr>
            <w:tcW w:w="2668" w:type="dxa"/>
            <w:gridSpan w:val="2"/>
            <w:vMerge w:val="restart"/>
            <w:tcBorders>
              <w:top w:val="single" w:color="auto" w:sz="4" w:space="0"/>
              <w:left w:val="nil"/>
              <w:right w:val="single" w:color="auto" w:sz="4" w:space="0"/>
            </w:tcBorders>
            <w:noWrap w:val="0"/>
            <w:vAlign w:val="center"/>
          </w:tcPr>
          <w:p w14:paraId="215C386F">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土地类型</w:t>
            </w:r>
          </w:p>
        </w:tc>
        <w:tc>
          <w:tcPr>
            <w:tcW w:w="5697" w:type="dxa"/>
            <w:gridSpan w:val="5"/>
            <w:tcBorders>
              <w:top w:val="single" w:color="auto" w:sz="4" w:space="0"/>
              <w:left w:val="nil"/>
              <w:bottom w:val="single" w:color="auto" w:sz="4" w:space="0"/>
              <w:right w:val="single" w:color="auto" w:sz="4" w:space="0"/>
            </w:tcBorders>
            <w:noWrap w:val="0"/>
            <w:vAlign w:val="center"/>
          </w:tcPr>
          <w:p w14:paraId="62E7C89D">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面积（hm</w:t>
            </w:r>
            <w:r>
              <w:rPr>
                <w:rFonts w:hint="eastAsia" w:ascii="宋体" w:hAnsi="宋体" w:eastAsia="宋体" w:cs="宋体"/>
                <w:color w:val="000000"/>
                <w:kern w:val="0"/>
                <w:szCs w:val="21"/>
                <w:highlight w:val="none"/>
                <w:vertAlign w:val="superscript"/>
              </w:rPr>
              <w:t>2</w:t>
            </w:r>
            <w:r>
              <w:rPr>
                <w:rFonts w:hint="eastAsia" w:ascii="宋体" w:hAnsi="宋体" w:eastAsia="宋体" w:cs="宋体"/>
                <w:color w:val="000000"/>
                <w:kern w:val="0"/>
                <w:szCs w:val="21"/>
                <w:highlight w:val="none"/>
              </w:rPr>
              <w:t>）</w:t>
            </w:r>
          </w:p>
        </w:tc>
      </w:tr>
      <w:tr w14:paraId="324F30D0">
        <w:tblPrEx>
          <w:tblCellMar>
            <w:top w:w="0" w:type="dxa"/>
            <w:left w:w="108" w:type="dxa"/>
            <w:bottom w:w="0" w:type="dxa"/>
            <w:right w:w="108" w:type="dxa"/>
          </w:tblCellMar>
        </w:tblPrEx>
        <w:trPr>
          <w:trHeight w:val="397" w:hRule="atLeast"/>
        </w:trPr>
        <w:tc>
          <w:tcPr>
            <w:tcW w:w="730" w:type="dxa"/>
            <w:vMerge w:val="continue"/>
            <w:tcBorders>
              <w:top w:val="single" w:color="auto" w:sz="4" w:space="0"/>
              <w:left w:val="single" w:color="auto" w:sz="4" w:space="0"/>
              <w:bottom w:val="single" w:color="auto" w:sz="4" w:space="0"/>
              <w:right w:val="single" w:color="auto" w:sz="4" w:space="0"/>
            </w:tcBorders>
            <w:noWrap w:val="0"/>
            <w:vAlign w:val="center"/>
          </w:tcPr>
          <w:p w14:paraId="2998F07F">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2668" w:type="dxa"/>
            <w:gridSpan w:val="2"/>
            <w:vMerge w:val="continue"/>
            <w:tcBorders>
              <w:left w:val="nil"/>
              <w:bottom w:val="single" w:color="auto" w:sz="4" w:space="0"/>
              <w:right w:val="single" w:color="auto" w:sz="4" w:space="0"/>
            </w:tcBorders>
            <w:noWrap w:val="0"/>
            <w:vAlign w:val="center"/>
          </w:tcPr>
          <w:p w14:paraId="60559F0E">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417" w:type="dxa"/>
            <w:tcBorders>
              <w:top w:val="nil"/>
              <w:left w:val="nil"/>
              <w:bottom w:val="single" w:color="auto" w:sz="4" w:space="0"/>
              <w:right w:val="single" w:color="auto" w:sz="4" w:space="0"/>
            </w:tcBorders>
            <w:noWrap w:val="0"/>
            <w:vAlign w:val="center"/>
          </w:tcPr>
          <w:p w14:paraId="4382AB18">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小计</w:t>
            </w:r>
          </w:p>
        </w:tc>
        <w:tc>
          <w:tcPr>
            <w:tcW w:w="2083" w:type="dxa"/>
            <w:gridSpan w:val="2"/>
            <w:tcBorders>
              <w:top w:val="nil"/>
              <w:left w:val="nil"/>
              <w:bottom w:val="single" w:color="auto" w:sz="4" w:space="0"/>
              <w:right w:val="single" w:color="auto" w:sz="4" w:space="0"/>
            </w:tcBorders>
            <w:noWrap w:val="0"/>
            <w:vAlign w:val="center"/>
          </w:tcPr>
          <w:p w14:paraId="406B6E7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已损毁</w:t>
            </w:r>
          </w:p>
        </w:tc>
        <w:tc>
          <w:tcPr>
            <w:tcW w:w="2197" w:type="dxa"/>
            <w:gridSpan w:val="2"/>
            <w:tcBorders>
              <w:top w:val="nil"/>
              <w:left w:val="nil"/>
              <w:bottom w:val="single" w:color="auto" w:sz="4" w:space="0"/>
              <w:right w:val="single" w:color="auto" w:sz="4" w:space="0"/>
            </w:tcBorders>
            <w:noWrap w:val="0"/>
            <w:vAlign w:val="center"/>
          </w:tcPr>
          <w:p w14:paraId="26ACC876">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拟损毁</w:t>
            </w:r>
          </w:p>
        </w:tc>
      </w:tr>
      <w:tr w14:paraId="1E93AC6D">
        <w:tblPrEx>
          <w:tblCellMar>
            <w:top w:w="0" w:type="dxa"/>
            <w:left w:w="108" w:type="dxa"/>
            <w:bottom w:w="0" w:type="dxa"/>
            <w:right w:w="108" w:type="dxa"/>
          </w:tblCellMar>
        </w:tblPrEx>
        <w:trPr>
          <w:trHeight w:val="417" w:hRule="atLeast"/>
        </w:trPr>
        <w:tc>
          <w:tcPr>
            <w:tcW w:w="730" w:type="dxa"/>
            <w:vMerge w:val="continue"/>
            <w:tcBorders>
              <w:top w:val="single" w:color="auto" w:sz="4" w:space="0"/>
              <w:left w:val="single" w:color="auto" w:sz="4" w:space="0"/>
              <w:bottom w:val="single" w:color="auto" w:sz="4" w:space="0"/>
              <w:right w:val="single" w:color="auto" w:sz="4" w:space="0"/>
            </w:tcBorders>
            <w:noWrap w:val="0"/>
            <w:vAlign w:val="center"/>
          </w:tcPr>
          <w:p w14:paraId="27DB896D">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178" w:type="dxa"/>
            <w:vMerge w:val="restart"/>
            <w:tcBorders>
              <w:top w:val="nil"/>
              <w:left w:val="single" w:color="auto" w:sz="4" w:space="0"/>
              <w:right w:val="single" w:color="auto" w:sz="4" w:space="0"/>
            </w:tcBorders>
            <w:noWrap w:val="0"/>
            <w:vAlign w:val="center"/>
          </w:tcPr>
          <w:p w14:paraId="4629471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损毁</w:t>
            </w:r>
          </w:p>
        </w:tc>
        <w:tc>
          <w:tcPr>
            <w:tcW w:w="1490" w:type="dxa"/>
            <w:tcBorders>
              <w:top w:val="nil"/>
              <w:left w:val="nil"/>
              <w:bottom w:val="single" w:color="auto" w:sz="4" w:space="0"/>
              <w:right w:val="single" w:color="auto" w:sz="4" w:space="0"/>
            </w:tcBorders>
            <w:noWrap w:val="0"/>
            <w:vAlign w:val="center"/>
          </w:tcPr>
          <w:p w14:paraId="16F708ED">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挖损</w:t>
            </w:r>
          </w:p>
        </w:tc>
        <w:tc>
          <w:tcPr>
            <w:tcW w:w="1417" w:type="dxa"/>
            <w:tcBorders>
              <w:top w:val="nil"/>
              <w:left w:val="nil"/>
              <w:bottom w:val="single" w:color="auto" w:sz="4" w:space="0"/>
              <w:right w:val="single" w:color="auto" w:sz="4" w:space="0"/>
            </w:tcBorders>
            <w:noWrap w:val="0"/>
            <w:vAlign w:val="center"/>
          </w:tcPr>
          <w:p w14:paraId="59534E3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p>
        </w:tc>
        <w:tc>
          <w:tcPr>
            <w:tcW w:w="2083" w:type="dxa"/>
            <w:gridSpan w:val="2"/>
            <w:tcBorders>
              <w:top w:val="nil"/>
              <w:left w:val="nil"/>
              <w:bottom w:val="single" w:color="auto" w:sz="4" w:space="0"/>
              <w:right w:val="single" w:color="auto" w:sz="4" w:space="0"/>
            </w:tcBorders>
            <w:noWrap w:val="0"/>
            <w:vAlign w:val="center"/>
          </w:tcPr>
          <w:p w14:paraId="055D68A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p>
        </w:tc>
        <w:tc>
          <w:tcPr>
            <w:tcW w:w="2197" w:type="dxa"/>
            <w:gridSpan w:val="2"/>
            <w:tcBorders>
              <w:top w:val="nil"/>
              <w:left w:val="nil"/>
              <w:bottom w:val="single" w:color="auto" w:sz="4" w:space="0"/>
              <w:right w:val="single" w:color="auto" w:sz="4" w:space="0"/>
            </w:tcBorders>
            <w:noWrap w:val="0"/>
            <w:vAlign w:val="center"/>
          </w:tcPr>
          <w:p w14:paraId="0D41806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p>
        </w:tc>
      </w:tr>
      <w:tr w14:paraId="5885046D">
        <w:tblPrEx>
          <w:tblCellMar>
            <w:top w:w="0" w:type="dxa"/>
            <w:left w:w="108" w:type="dxa"/>
            <w:bottom w:w="0" w:type="dxa"/>
            <w:right w:w="108" w:type="dxa"/>
          </w:tblCellMar>
        </w:tblPrEx>
        <w:trPr>
          <w:trHeight w:val="397" w:hRule="atLeast"/>
        </w:trPr>
        <w:tc>
          <w:tcPr>
            <w:tcW w:w="730" w:type="dxa"/>
            <w:vMerge w:val="continue"/>
            <w:tcBorders>
              <w:top w:val="single" w:color="auto" w:sz="4" w:space="0"/>
              <w:left w:val="single" w:color="auto" w:sz="4" w:space="0"/>
              <w:bottom w:val="single" w:color="auto" w:sz="4" w:space="0"/>
              <w:right w:val="single" w:color="auto" w:sz="4" w:space="0"/>
            </w:tcBorders>
            <w:noWrap w:val="0"/>
            <w:vAlign w:val="center"/>
          </w:tcPr>
          <w:p w14:paraId="53369449">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178" w:type="dxa"/>
            <w:vMerge w:val="continue"/>
            <w:tcBorders>
              <w:left w:val="single" w:color="auto" w:sz="4" w:space="0"/>
              <w:right w:val="single" w:color="auto" w:sz="4" w:space="0"/>
            </w:tcBorders>
            <w:noWrap w:val="0"/>
            <w:vAlign w:val="center"/>
          </w:tcPr>
          <w:p w14:paraId="17B62DD3">
            <w:pPr>
              <w:keepNext w:val="0"/>
              <w:keepLines w:val="0"/>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490" w:type="dxa"/>
            <w:tcBorders>
              <w:top w:val="nil"/>
              <w:left w:val="nil"/>
              <w:bottom w:val="single" w:color="auto" w:sz="4" w:space="0"/>
              <w:right w:val="single" w:color="auto" w:sz="4" w:space="0"/>
            </w:tcBorders>
            <w:noWrap w:val="0"/>
            <w:vAlign w:val="center"/>
          </w:tcPr>
          <w:p w14:paraId="195A02EB">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塌陷</w:t>
            </w:r>
          </w:p>
        </w:tc>
        <w:tc>
          <w:tcPr>
            <w:tcW w:w="1417" w:type="dxa"/>
            <w:tcBorders>
              <w:top w:val="nil"/>
              <w:left w:val="nil"/>
              <w:bottom w:val="single" w:color="auto" w:sz="4" w:space="0"/>
              <w:right w:val="single" w:color="auto" w:sz="4" w:space="0"/>
            </w:tcBorders>
            <w:noWrap w:val="0"/>
            <w:vAlign w:val="center"/>
          </w:tcPr>
          <w:p w14:paraId="18417498">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2083" w:type="dxa"/>
            <w:gridSpan w:val="2"/>
            <w:tcBorders>
              <w:top w:val="nil"/>
              <w:left w:val="nil"/>
              <w:bottom w:val="single" w:color="auto" w:sz="4" w:space="0"/>
              <w:right w:val="single" w:color="auto" w:sz="4" w:space="0"/>
            </w:tcBorders>
            <w:noWrap w:val="0"/>
            <w:vAlign w:val="center"/>
          </w:tcPr>
          <w:p w14:paraId="30EF51F3">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2197" w:type="dxa"/>
            <w:gridSpan w:val="2"/>
            <w:tcBorders>
              <w:top w:val="nil"/>
              <w:left w:val="nil"/>
              <w:bottom w:val="single" w:color="auto" w:sz="4" w:space="0"/>
              <w:right w:val="single" w:color="auto" w:sz="4" w:space="0"/>
            </w:tcBorders>
            <w:noWrap w:val="0"/>
            <w:vAlign w:val="center"/>
          </w:tcPr>
          <w:p w14:paraId="292DB52D">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r>
      <w:tr w14:paraId="3B9F91ED">
        <w:tblPrEx>
          <w:tblCellMar>
            <w:top w:w="0" w:type="dxa"/>
            <w:left w:w="108" w:type="dxa"/>
            <w:bottom w:w="0" w:type="dxa"/>
            <w:right w:w="108" w:type="dxa"/>
          </w:tblCellMar>
        </w:tblPrEx>
        <w:trPr>
          <w:trHeight w:val="397" w:hRule="atLeast"/>
        </w:trPr>
        <w:tc>
          <w:tcPr>
            <w:tcW w:w="730" w:type="dxa"/>
            <w:vMerge w:val="continue"/>
            <w:tcBorders>
              <w:top w:val="single" w:color="auto" w:sz="4" w:space="0"/>
              <w:left w:val="single" w:color="auto" w:sz="4" w:space="0"/>
              <w:bottom w:val="single" w:color="auto" w:sz="4" w:space="0"/>
              <w:right w:val="single" w:color="auto" w:sz="4" w:space="0"/>
            </w:tcBorders>
            <w:noWrap w:val="0"/>
            <w:vAlign w:val="center"/>
          </w:tcPr>
          <w:p w14:paraId="09CE8281">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178" w:type="dxa"/>
            <w:vMerge w:val="continue"/>
            <w:tcBorders>
              <w:left w:val="single" w:color="auto" w:sz="4" w:space="0"/>
              <w:right w:val="single" w:color="auto" w:sz="4" w:space="0"/>
            </w:tcBorders>
            <w:noWrap w:val="0"/>
            <w:vAlign w:val="center"/>
          </w:tcPr>
          <w:p w14:paraId="0FD2EA70">
            <w:pPr>
              <w:keepNext w:val="0"/>
              <w:keepLines w:val="0"/>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490" w:type="dxa"/>
            <w:tcBorders>
              <w:top w:val="nil"/>
              <w:left w:val="nil"/>
              <w:bottom w:val="single" w:color="auto" w:sz="4" w:space="0"/>
              <w:right w:val="single" w:color="auto" w:sz="4" w:space="0"/>
            </w:tcBorders>
            <w:noWrap w:val="0"/>
            <w:vAlign w:val="center"/>
          </w:tcPr>
          <w:p w14:paraId="49402D4C">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压占</w:t>
            </w:r>
          </w:p>
        </w:tc>
        <w:tc>
          <w:tcPr>
            <w:tcW w:w="1417" w:type="dxa"/>
            <w:tcBorders>
              <w:top w:val="nil"/>
              <w:left w:val="nil"/>
              <w:bottom w:val="single" w:color="auto" w:sz="4" w:space="0"/>
              <w:right w:val="single" w:color="auto" w:sz="4" w:space="0"/>
            </w:tcBorders>
            <w:noWrap w:val="0"/>
            <w:vAlign w:val="center"/>
          </w:tcPr>
          <w:p w14:paraId="0948EB5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r>
              <w:rPr>
                <w:rFonts w:hint="eastAsia" w:ascii="宋体" w:hAnsi="宋体" w:eastAsia="宋体" w:cs="宋体"/>
                <w:bCs/>
                <w:color w:val="000000"/>
                <w:szCs w:val="21"/>
                <w:highlight w:val="none"/>
                <w:lang w:val="en-US" w:eastAsia="zh-CN"/>
              </w:rPr>
              <w:t>3.6828</w:t>
            </w:r>
          </w:p>
        </w:tc>
        <w:tc>
          <w:tcPr>
            <w:tcW w:w="2083" w:type="dxa"/>
            <w:gridSpan w:val="2"/>
            <w:tcBorders>
              <w:top w:val="nil"/>
              <w:left w:val="nil"/>
              <w:bottom w:val="single" w:color="auto" w:sz="4" w:space="0"/>
              <w:right w:val="single" w:color="auto" w:sz="4" w:space="0"/>
            </w:tcBorders>
            <w:noWrap w:val="0"/>
            <w:vAlign w:val="center"/>
          </w:tcPr>
          <w:p w14:paraId="03525C8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p>
        </w:tc>
        <w:tc>
          <w:tcPr>
            <w:tcW w:w="2197" w:type="dxa"/>
            <w:gridSpan w:val="2"/>
            <w:tcBorders>
              <w:top w:val="nil"/>
              <w:left w:val="nil"/>
              <w:bottom w:val="single" w:color="auto" w:sz="4" w:space="0"/>
              <w:right w:val="single" w:color="auto" w:sz="4" w:space="0"/>
            </w:tcBorders>
            <w:noWrap w:val="0"/>
            <w:vAlign w:val="center"/>
          </w:tcPr>
          <w:p w14:paraId="553F781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3.6828</w:t>
            </w:r>
          </w:p>
        </w:tc>
      </w:tr>
      <w:tr w14:paraId="753760C0">
        <w:tblPrEx>
          <w:tblCellMar>
            <w:top w:w="0" w:type="dxa"/>
            <w:left w:w="108" w:type="dxa"/>
            <w:bottom w:w="0" w:type="dxa"/>
            <w:right w:w="108" w:type="dxa"/>
          </w:tblCellMar>
        </w:tblPrEx>
        <w:trPr>
          <w:trHeight w:val="397" w:hRule="atLeast"/>
        </w:trPr>
        <w:tc>
          <w:tcPr>
            <w:tcW w:w="730" w:type="dxa"/>
            <w:vMerge w:val="continue"/>
            <w:tcBorders>
              <w:top w:val="single" w:color="auto" w:sz="4" w:space="0"/>
              <w:left w:val="single" w:color="auto" w:sz="4" w:space="0"/>
              <w:bottom w:val="single" w:color="auto" w:sz="4" w:space="0"/>
              <w:right w:val="single" w:color="auto" w:sz="4" w:space="0"/>
            </w:tcBorders>
            <w:noWrap w:val="0"/>
            <w:vAlign w:val="center"/>
          </w:tcPr>
          <w:p w14:paraId="151FF2CB">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178" w:type="dxa"/>
            <w:vMerge w:val="continue"/>
            <w:tcBorders>
              <w:left w:val="single" w:color="auto" w:sz="4" w:space="0"/>
              <w:right w:val="single" w:color="auto" w:sz="4" w:space="0"/>
            </w:tcBorders>
            <w:noWrap w:val="0"/>
            <w:vAlign w:val="center"/>
          </w:tcPr>
          <w:p w14:paraId="4B3D213D">
            <w:pPr>
              <w:keepNext w:val="0"/>
              <w:keepLines w:val="0"/>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490" w:type="dxa"/>
            <w:tcBorders>
              <w:top w:val="nil"/>
              <w:left w:val="nil"/>
              <w:bottom w:val="single" w:color="auto" w:sz="4" w:space="0"/>
              <w:right w:val="single" w:color="auto" w:sz="4" w:space="0"/>
            </w:tcBorders>
            <w:noWrap w:val="0"/>
            <w:vAlign w:val="center"/>
          </w:tcPr>
          <w:p w14:paraId="1B1EC2F9">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其他</w:t>
            </w:r>
          </w:p>
        </w:tc>
        <w:tc>
          <w:tcPr>
            <w:tcW w:w="1417" w:type="dxa"/>
            <w:tcBorders>
              <w:top w:val="nil"/>
              <w:left w:val="nil"/>
              <w:bottom w:val="single" w:color="auto" w:sz="4" w:space="0"/>
              <w:right w:val="single" w:color="auto" w:sz="4" w:space="0"/>
            </w:tcBorders>
            <w:noWrap w:val="0"/>
            <w:vAlign w:val="center"/>
          </w:tcPr>
          <w:p w14:paraId="57290483">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2083" w:type="dxa"/>
            <w:gridSpan w:val="2"/>
            <w:tcBorders>
              <w:top w:val="nil"/>
              <w:left w:val="nil"/>
              <w:bottom w:val="single" w:color="auto" w:sz="4" w:space="0"/>
              <w:right w:val="single" w:color="auto" w:sz="4" w:space="0"/>
            </w:tcBorders>
            <w:noWrap w:val="0"/>
            <w:vAlign w:val="center"/>
          </w:tcPr>
          <w:p w14:paraId="2D163DA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p>
        </w:tc>
        <w:tc>
          <w:tcPr>
            <w:tcW w:w="2197" w:type="dxa"/>
            <w:gridSpan w:val="2"/>
            <w:tcBorders>
              <w:top w:val="nil"/>
              <w:left w:val="nil"/>
              <w:bottom w:val="single" w:color="auto" w:sz="4" w:space="0"/>
              <w:right w:val="single" w:color="auto" w:sz="4" w:space="0"/>
            </w:tcBorders>
            <w:noWrap w:val="0"/>
            <w:vAlign w:val="center"/>
          </w:tcPr>
          <w:p w14:paraId="4312BA2D">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r>
      <w:tr w14:paraId="6C8C3D12">
        <w:tblPrEx>
          <w:tblCellMar>
            <w:top w:w="0" w:type="dxa"/>
            <w:left w:w="108" w:type="dxa"/>
            <w:bottom w:w="0" w:type="dxa"/>
            <w:right w:w="108" w:type="dxa"/>
          </w:tblCellMar>
        </w:tblPrEx>
        <w:trPr>
          <w:trHeight w:val="397" w:hRule="atLeast"/>
        </w:trPr>
        <w:tc>
          <w:tcPr>
            <w:tcW w:w="730" w:type="dxa"/>
            <w:vMerge w:val="continue"/>
            <w:tcBorders>
              <w:top w:val="single" w:color="auto" w:sz="4" w:space="0"/>
              <w:left w:val="single" w:color="auto" w:sz="4" w:space="0"/>
              <w:bottom w:val="single" w:color="auto" w:sz="4" w:space="0"/>
              <w:right w:val="single" w:color="auto" w:sz="4" w:space="0"/>
            </w:tcBorders>
            <w:noWrap w:val="0"/>
            <w:vAlign w:val="center"/>
          </w:tcPr>
          <w:p w14:paraId="21B37506">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178" w:type="dxa"/>
            <w:vMerge w:val="continue"/>
            <w:tcBorders>
              <w:left w:val="single" w:color="auto" w:sz="4" w:space="0"/>
              <w:bottom w:val="single" w:color="auto" w:sz="4" w:space="0"/>
              <w:right w:val="single" w:color="auto" w:sz="4" w:space="0"/>
            </w:tcBorders>
            <w:noWrap w:val="0"/>
            <w:vAlign w:val="center"/>
          </w:tcPr>
          <w:p w14:paraId="2260BEA8">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490" w:type="dxa"/>
            <w:tcBorders>
              <w:top w:val="single" w:color="auto" w:sz="4" w:space="0"/>
              <w:left w:val="nil"/>
              <w:bottom w:val="single" w:color="auto" w:sz="4" w:space="0"/>
              <w:right w:val="single" w:color="auto" w:sz="4" w:space="0"/>
            </w:tcBorders>
            <w:noWrap w:val="0"/>
            <w:vAlign w:val="center"/>
          </w:tcPr>
          <w:p w14:paraId="6A668EE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小计</w:t>
            </w:r>
          </w:p>
        </w:tc>
        <w:tc>
          <w:tcPr>
            <w:tcW w:w="1417" w:type="dxa"/>
            <w:tcBorders>
              <w:top w:val="single" w:color="auto" w:sz="4" w:space="0"/>
              <w:left w:val="nil"/>
              <w:bottom w:val="single" w:color="auto" w:sz="4" w:space="0"/>
              <w:right w:val="single" w:color="auto" w:sz="4" w:space="0"/>
            </w:tcBorders>
            <w:noWrap w:val="0"/>
            <w:vAlign w:val="center"/>
          </w:tcPr>
          <w:p w14:paraId="3559E06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rPr>
            </w:pPr>
            <w:r>
              <w:rPr>
                <w:rFonts w:hint="eastAsia" w:ascii="宋体" w:hAnsi="宋体" w:eastAsia="宋体" w:cs="宋体"/>
                <w:bCs/>
                <w:color w:val="000000"/>
                <w:szCs w:val="21"/>
                <w:highlight w:val="none"/>
                <w:lang w:val="en-US" w:eastAsia="zh-CN"/>
              </w:rPr>
              <w:t>3.6828</w:t>
            </w:r>
          </w:p>
        </w:tc>
        <w:tc>
          <w:tcPr>
            <w:tcW w:w="2083" w:type="dxa"/>
            <w:gridSpan w:val="2"/>
            <w:tcBorders>
              <w:top w:val="single" w:color="auto" w:sz="4" w:space="0"/>
              <w:left w:val="nil"/>
              <w:bottom w:val="single" w:color="auto" w:sz="4" w:space="0"/>
              <w:right w:val="single" w:color="auto" w:sz="4" w:space="0"/>
            </w:tcBorders>
            <w:noWrap w:val="0"/>
            <w:vAlign w:val="center"/>
          </w:tcPr>
          <w:p w14:paraId="7BE1483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p>
        </w:tc>
        <w:tc>
          <w:tcPr>
            <w:tcW w:w="2197" w:type="dxa"/>
            <w:gridSpan w:val="2"/>
            <w:tcBorders>
              <w:top w:val="single" w:color="auto" w:sz="4" w:space="0"/>
              <w:left w:val="nil"/>
              <w:bottom w:val="single" w:color="auto" w:sz="4" w:space="0"/>
              <w:right w:val="single" w:color="auto" w:sz="4" w:space="0"/>
            </w:tcBorders>
            <w:noWrap w:val="0"/>
            <w:vAlign w:val="center"/>
          </w:tcPr>
          <w:p w14:paraId="1ECD1AC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3.6828</w:t>
            </w:r>
          </w:p>
        </w:tc>
      </w:tr>
      <w:tr w14:paraId="40E08864">
        <w:tblPrEx>
          <w:tblCellMar>
            <w:top w:w="0" w:type="dxa"/>
            <w:left w:w="108" w:type="dxa"/>
            <w:bottom w:w="0" w:type="dxa"/>
            <w:right w:w="108" w:type="dxa"/>
          </w:tblCellMar>
        </w:tblPrEx>
        <w:trPr>
          <w:trHeight w:val="90" w:hRule="atLeast"/>
        </w:trPr>
        <w:tc>
          <w:tcPr>
            <w:tcW w:w="730" w:type="dxa"/>
            <w:vMerge w:val="continue"/>
            <w:tcBorders>
              <w:top w:val="single" w:color="auto" w:sz="4" w:space="0"/>
              <w:left w:val="single" w:color="auto" w:sz="4" w:space="0"/>
              <w:bottom w:val="single" w:color="auto" w:sz="4" w:space="0"/>
              <w:right w:val="single" w:color="auto" w:sz="4" w:space="0"/>
            </w:tcBorders>
            <w:noWrap w:val="0"/>
            <w:vAlign w:val="center"/>
          </w:tcPr>
          <w:p w14:paraId="2A5DAFB4">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2668" w:type="dxa"/>
            <w:gridSpan w:val="2"/>
            <w:tcBorders>
              <w:top w:val="nil"/>
              <w:left w:val="single" w:color="auto" w:sz="4" w:space="0"/>
              <w:bottom w:val="single" w:color="auto" w:sz="4" w:space="0"/>
              <w:right w:val="single" w:color="auto" w:sz="4" w:space="0"/>
            </w:tcBorders>
            <w:noWrap w:val="0"/>
            <w:vAlign w:val="center"/>
          </w:tcPr>
          <w:p w14:paraId="78CC733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占用</w:t>
            </w:r>
          </w:p>
        </w:tc>
        <w:tc>
          <w:tcPr>
            <w:tcW w:w="1417" w:type="dxa"/>
            <w:tcBorders>
              <w:top w:val="single" w:color="auto" w:sz="4" w:space="0"/>
              <w:left w:val="nil"/>
              <w:bottom w:val="single" w:color="auto" w:sz="4" w:space="0"/>
              <w:right w:val="single" w:color="auto" w:sz="4" w:space="0"/>
            </w:tcBorders>
            <w:noWrap w:val="0"/>
            <w:vAlign w:val="center"/>
          </w:tcPr>
          <w:p w14:paraId="164A7844">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2083" w:type="dxa"/>
            <w:gridSpan w:val="2"/>
            <w:tcBorders>
              <w:top w:val="single" w:color="auto" w:sz="4" w:space="0"/>
              <w:left w:val="nil"/>
              <w:bottom w:val="single" w:color="auto" w:sz="4" w:space="0"/>
              <w:right w:val="single" w:color="auto" w:sz="4" w:space="0"/>
            </w:tcBorders>
            <w:noWrap w:val="0"/>
            <w:vAlign w:val="center"/>
          </w:tcPr>
          <w:p w14:paraId="69122A9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p>
        </w:tc>
        <w:tc>
          <w:tcPr>
            <w:tcW w:w="2197" w:type="dxa"/>
            <w:gridSpan w:val="2"/>
            <w:tcBorders>
              <w:top w:val="single" w:color="auto" w:sz="4" w:space="0"/>
              <w:left w:val="nil"/>
              <w:bottom w:val="single" w:color="auto" w:sz="4" w:space="0"/>
              <w:right w:val="single" w:color="auto" w:sz="4" w:space="0"/>
            </w:tcBorders>
            <w:noWrap w:val="0"/>
            <w:vAlign w:val="center"/>
          </w:tcPr>
          <w:p w14:paraId="1B338CF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p>
        </w:tc>
      </w:tr>
      <w:tr w14:paraId="0774412F">
        <w:tblPrEx>
          <w:tblCellMar>
            <w:top w:w="0" w:type="dxa"/>
            <w:left w:w="108" w:type="dxa"/>
            <w:bottom w:w="0" w:type="dxa"/>
            <w:right w:w="108" w:type="dxa"/>
          </w:tblCellMar>
        </w:tblPrEx>
        <w:trPr>
          <w:trHeight w:val="397" w:hRule="atLeast"/>
        </w:trPr>
        <w:tc>
          <w:tcPr>
            <w:tcW w:w="730" w:type="dxa"/>
            <w:vMerge w:val="continue"/>
            <w:tcBorders>
              <w:top w:val="single" w:color="auto" w:sz="4" w:space="0"/>
              <w:left w:val="single" w:color="auto" w:sz="4" w:space="0"/>
              <w:bottom w:val="single" w:color="auto" w:sz="4" w:space="0"/>
              <w:right w:val="single" w:color="auto" w:sz="4" w:space="0"/>
            </w:tcBorders>
            <w:noWrap w:val="0"/>
            <w:vAlign w:val="center"/>
          </w:tcPr>
          <w:p w14:paraId="2707D596">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2668" w:type="dxa"/>
            <w:gridSpan w:val="2"/>
            <w:tcBorders>
              <w:top w:val="single" w:color="auto" w:sz="4" w:space="0"/>
              <w:left w:val="nil"/>
              <w:bottom w:val="single" w:color="auto" w:sz="4" w:space="0"/>
              <w:right w:val="single" w:color="auto" w:sz="4" w:space="0"/>
            </w:tcBorders>
            <w:noWrap w:val="0"/>
            <w:vAlign w:val="center"/>
          </w:tcPr>
          <w:p w14:paraId="5C3F0961">
            <w:pPr>
              <w:keepNext w:val="0"/>
              <w:keepLines w:val="0"/>
              <w:widowControl/>
              <w:suppressLineNumbers w:val="0"/>
              <w:spacing w:before="0" w:beforeAutospacing="0" w:after="0" w:afterAutospacing="0"/>
              <w:ind w:left="0" w:right="0" w:firstLine="735" w:firstLineChars="350"/>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合计</w:t>
            </w:r>
          </w:p>
        </w:tc>
        <w:tc>
          <w:tcPr>
            <w:tcW w:w="1417" w:type="dxa"/>
            <w:tcBorders>
              <w:top w:val="nil"/>
              <w:left w:val="nil"/>
              <w:bottom w:val="single" w:color="auto" w:sz="4" w:space="0"/>
              <w:right w:val="single" w:color="auto" w:sz="4" w:space="0"/>
            </w:tcBorders>
            <w:noWrap w:val="0"/>
            <w:vAlign w:val="center"/>
          </w:tcPr>
          <w:p w14:paraId="3C44361D">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lang w:val="en-US" w:eastAsia="zh-CN"/>
              </w:rPr>
              <w:t>3.6828</w:t>
            </w:r>
          </w:p>
        </w:tc>
        <w:tc>
          <w:tcPr>
            <w:tcW w:w="2083" w:type="dxa"/>
            <w:gridSpan w:val="2"/>
            <w:tcBorders>
              <w:top w:val="nil"/>
              <w:left w:val="nil"/>
              <w:bottom w:val="single" w:color="auto" w:sz="4" w:space="0"/>
              <w:right w:val="single" w:color="auto" w:sz="4" w:space="0"/>
            </w:tcBorders>
            <w:noWrap w:val="0"/>
            <w:vAlign w:val="center"/>
          </w:tcPr>
          <w:p w14:paraId="62A5C18A">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p>
        </w:tc>
        <w:tc>
          <w:tcPr>
            <w:tcW w:w="2197" w:type="dxa"/>
            <w:gridSpan w:val="2"/>
            <w:tcBorders>
              <w:top w:val="nil"/>
              <w:left w:val="nil"/>
              <w:bottom w:val="single" w:color="auto" w:sz="4" w:space="0"/>
              <w:right w:val="single" w:color="auto" w:sz="4" w:space="0"/>
            </w:tcBorders>
            <w:noWrap w:val="0"/>
            <w:vAlign w:val="center"/>
          </w:tcPr>
          <w:p w14:paraId="65C5E5BA">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3.6828</w:t>
            </w:r>
          </w:p>
        </w:tc>
      </w:tr>
      <w:tr w14:paraId="4C1F4E44">
        <w:tblPrEx>
          <w:tblCellMar>
            <w:top w:w="0" w:type="dxa"/>
            <w:left w:w="108" w:type="dxa"/>
            <w:bottom w:w="0" w:type="dxa"/>
            <w:right w:w="108" w:type="dxa"/>
          </w:tblCellMar>
        </w:tblPrEx>
        <w:trPr>
          <w:trHeight w:val="397" w:hRule="atLeast"/>
        </w:trPr>
        <w:tc>
          <w:tcPr>
            <w:tcW w:w="730" w:type="dxa"/>
            <w:vMerge w:val="restart"/>
            <w:tcBorders>
              <w:top w:val="single" w:color="auto" w:sz="4" w:space="0"/>
              <w:left w:val="single" w:color="auto" w:sz="4" w:space="0"/>
              <w:right w:val="single" w:color="auto" w:sz="4" w:space="0"/>
            </w:tcBorders>
            <w:noWrap w:val="0"/>
            <w:vAlign w:val="center"/>
          </w:tcPr>
          <w:p w14:paraId="677C526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复垦</w:t>
            </w:r>
          </w:p>
          <w:p w14:paraId="187ED63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土地</w:t>
            </w:r>
          </w:p>
          <w:p w14:paraId="5B6DD141">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面积</w:t>
            </w:r>
          </w:p>
        </w:tc>
        <w:tc>
          <w:tcPr>
            <w:tcW w:w="1178" w:type="dxa"/>
            <w:vMerge w:val="restart"/>
            <w:tcBorders>
              <w:top w:val="single" w:color="auto" w:sz="4" w:space="0"/>
              <w:left w:val="nil"/>
              <w:right w:val="single" w:color="auto" w:sz="4" w:space="0"/>
            </w:tcBorders>
            <w:noWrap w:val="0"/>
            <w:vAlign w:val="center"/>
          </w:tcPr>
          <w:p w14:paraId="78766D9C">
            <w:pPr>
              <w:keepNext w:val="0"/>
              <w:keepLines w:val="0"/>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一级地类</w:t>
            </w:r>
          </w:p>
        </w:tc>
        <w:tc>
          <w:tcPr>
            <w:tcW w:w="1490" w:type="dxa"/>
            <w:vMerge w:val="restart"/>
            <w:tcBorders>
              <w:top w:val="single" w:color="auto" w:sz="4" w:space="0"/>
              <w:left w:val="nil"/>
              <w:right w:val="single" w:color="auto" w:sz="4" w:space="0"/>
            </w:tcBorders>
            <w:noWrap w:val="0"/>
            <w:vAlign w:val="center"/>
          </w:tcPr>
          <w:p w14:paraId="50DCFA64">
            <w:pPr>
              <w:keepNext w:val="0"/>
              <w:keepLines w:val="0"/>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二级地类</w:t>
            </w:r>
          </w:p>
        </w:tc>
        <w:tc>
          <w:tcPr>
            <w:tcW w:w="5697" w:type="dxa"/>
            <w:gridSpan w:val="5"/>
            <w:tcBorders>
              <w:top w:val="single" w:color="auto" w:sz="4" w:space="0"/>
              <w:left w:val="nil"/>
              <w:bottom w:val="single" w:color="auto" w:sz="4" w:space="0"/>
              <w:right w:val="single" w:color="auto" w:sz="4" w:space="0"/>
            </w:tcBorders>
            <w:noWrap w:val="0"/>
            <w:vAlign w:val="center"/>
          </w:tcPr>
          <w:p w14:paraId="4A5F3CE5">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面积（hm</w:t>
            </w:r>
            <w:r>
              <w:rPr>
                <w:rFonts w:hint="eastAsia" w:ascii="宋体" w:hAnsi="宋体" w:eastAsia="宋体" w:cs="宋体"/>
                <w:color w:val="000000"/>
                <w:kern w:val="0"/>
                <w:szCs w:val="21"/>
                <w:highlight w:val="none"/>
                <w:vertAlign w:val="superscript"/>
              </w:rPr>
              <w:t>2</w:t>
            </w:r>
            <w:r>
              <w:rPr>
                <w:rFonts w:hint="eastAsia" w:ascii="宋体" w:hAnsi="宋体" w:eastAsia="宋体" w:cs="宋体"/>
                <w:color w:val="000000"/>
                <w:kern w:val="0"/>
                <w:szCs w:val="21"/>
                <w:highlight w:val="none"/>
              </w:rPr>
              <w:t>）</w:t>
            </w:r>
          </w:p>
        </w:tc>
      </w:tr>
      <w:tr w14:paraId="3D836838">
        <w:tblPrEx>
          <w:tblCellMar>
            <w:top w:w="0" w:type="dxa"/>
            <w:left w:w="108" w:type="dxa"/>
            <w:bottom w:w="0" w:type="dxa"/>
            <w:right w:w="108" w:type="dxa"/>
          </w:tblCellMar>
        </w:tblPrEx>
        <w:trPr>
          <w:trHeight w:val="397" w:hRule="atLeast"/>
        </w:trPr>
        <w:tc>
          <w:tcPr>
            <w:tcW w:w="730" w:type="dxa"/>
            <w:vMerge w:val="continue"/>
            <w:tcBorders>
              <w:left w:val="single" w:color="auto" w:sz="4" w:space="0"/>
              <w:right w:val="single" w:color="auto" w:sz="4" w:space="0"/>
            </w:tcBorders>
            <w:noWrap w:val="0"/>
            <w:vAlign w:val="center"/>
          </w:tcPr>
          <w:p w14:paraId="53400C30">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178" w:type="dxa"/>
            <w:vMerge w:val="continue"/>
            <w:tcBorders>
              <w:left w:val="nil"/>
              <w:bottom w:val="single" w:color="auto" w:sz="4" w:space="0"/>
              <w:right w:val="single" w:color="auto" w:sz="4" w:space="0"/>
            </w:tcBorders>
            <w:noWrap w:val="0"/>
            <w:vAlign w:val="center"/>
          </w:tcPr>
          <w:p w14:paraId="5D8AA430">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490" w:type="dxa"/>
            <w:vMerge w:val="continue"/>
            <w:tcBorders>
              <w:left w:val="nil"/>
              <w:bottom w:val="single" w:color="auto" w:sz="4" w:space="0"/>
              <w:right w:val="single" w:color="auto" w:sz="4" w:space="0"/>
            </w:tcBorders>
            <w:noWrap w:val="0"/>
            <w:vAlign w:val="center"/>
          </w:tcPr>
          <w:p w14:paraId="6554ACB4">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2867" w:type="dxa"/>
            <w:gridSpan w:val="2"/>
            <w:tcBorders>
              <w:top w:val="nil"/>
              <w:left w:val="nil"/>
              <w:bottom w:val="single" w:color="auto" w:sz="4" w:space="0"/>
              <w:right w:val="single" w:color="auto" w:sz="4" w:space="0"/>
            </w:tcBorders>
            <w:noWrap w:val="0"/>
            <w:vAlign w:val="center"/>
          </w:tcPr>
          <w:p w14:paraId="25805D27">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已复垦</w:t>
            </w:r>
          </w:p>
        </w:tc>
        <w:tc>
          <w:tcPr>
            <w:tcW w:w="2830" w:type="dxa"/>
            <w:gridSpan w:val="3"/>
            <w:tcBorders>
              <w:top w:val="nil"/>
              <w:left w:val="nil"/>
              <w:bottom w:val="single" w:color="auto" w:sz="4" w:space="0"/>
              <w:right w:val="single" w:color="auto" w:sz="4" w:space="0"/>
            </w:tcBorders>
            <w:noWrap w:val="0"/>
            <w:vAlign w:val="center"/>
          </w:tcPr>
          <w:p w14:paraId="3BB162A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拟复垦</w:t>
            </w:r>
          </w:p>
        </w:tc>
      </w:tr>
      <w:tr w14:paraId="5E296E0A">
        <w:tblPrEx>
          <w:tblCellMar>
            <w:top w:w="0" w:type="dxa"/>
            <w:left w:w="108" w:type="dxa"/>
            <w:bottom w:w="0" w:type="dxa"/>
            <w:right w:w="108" w:type="dxa"/>
          </w:tblCellMar>
        </w:tblPrEx>
        <w:trPr>
          <w:trHeight w:val="397" w:hRule="atLeast"/>
        </w:trPr>
        <w:tc>
          <w:tcPr>
            <w:tcW w:w="730" w:type="dxa"/>
            <w:vMerge w:val="continue"/>
            <w:tcBorders>
              <w:left w:val="single" w:color="auto" w:sz="4" w:space="0"/>
              <w:right w:val="single" w:color="auto" w:sz="4" w:space="0"/>
            </w:tcBorders>
            <w:noWrap w:val="0"/>
            <w:vAlign w:val="center"/>
          </w:tcPr>
          <w:p w14:paraId="0B2A326A">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178" w:type="dxa"/>
            <w:vMerge w:val="restart"/>
            <w:tcBorders>
              <w:top w:val="nil"/>
              <w:left w:val="single" w:color="auto" w:sz="4" w:space="0"/>
              <w:right w:val="single" w:color="auto" w:sz="4" w:space="0"/>
            </w:tcBorders>
            <w:noWrap w:val="0"/>
            <w:vAlign w:val="center"/>
          </w:tcPr>
          <w:p w14:paraId="4940593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lang w:eastAsia="zh-CN"/>
              </w:rPr>
            </w:pPr>
            <w:r>
              <w:rPr>
                <w:rFonts w:hint="eastAsia" w:ascii="宋体" w:hAnsi="宋体" w:eastAsia="宋体" w:cs="宋体"/>
                <w:color w:val="000000"/>
                <w:kern w:val="0"/>
                <w:szCs w:val="21"/>
                <w:highlight w:val="none"/>
                <w:lang w:val="en-US" w:eastAsia="zh-CN"/>
              </w:rPr>
              <w:t>工矿用地</w:t>
            </w:r>
          </w:p>
        </w:tc>
        <w:tc>
          <w:tcPr>
            <w:tcW w:w="1490" w:type="dxa"/>
            <w:tcBorders>
              <w:top w:val="nil"/>
              <w:left w:val="nil"/>
              <w:bottom w:val="single" w:color="auto" w:sz="4" w:space="0"/>
              <w:right w:val="single" w:color="auto" w:sz="4" w:space="0"/>
            </w:tcBorders>
            <w:noWrap w:val="0"/>
            <w:vAlign w:val="center"/>
          </w:tcPr>
          <w:p w14:paraId="27FAEDD1">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lang w:val="en-US" w:eastAsia="zh-CN"/>
              </w:rPr>
              <w:t>盐田及采矿用地</w:t>
            </w:r>
          </w:p>
        </w:tc>
        <w:tc>
          <w:tcPr>
            <w:tcW w:w="2867" w:type="dxa"/>
            <w:gridSpan w:val="2"/>
            <w:tcBorders>
              <w:top w:val="nil"/>
              <w:left w:val="nil"/>
              <w:bottom w:val="single" w:color="auto" w:sz="4" w:space="0"/>
              <w:right w:val="single" w:color="auto" w:sz="4" w:space="0"/>
            </w:tcBorders>
            <w:noWrap w:val="0"/>
            <w:vAlign w:val="center"/>
          </w:tcPr>
          <w:p w14:paraId="20DDC98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p>
        </w:tc>
        <w:tc>
          <w:tcPr>
            <w:tcW w:w="2830" w:type="dxa"/>
            <w:gridSpan w:val="3"/>
            <w:tcBorders>
              <w:top w:val="nil"/>
              <w:left w:val="nil"/>
              <w:bottom w:val="single" w:color="auto" w:sz="4" w:space="0"/>
              <w:right w:val="single" w:color="auto" w:sz="4" w:space="0"/>
            </w:tcBorders>
            <w:noWrap w:val="0"/>
            <w:vAlign w:val="center"/>
          </w:tcPr>
          <w:p w14:paraId="0EC59A4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 xml:space="preserve">1.2208 </w:t>
            </w:r>
          </w:p>
        </w:tc>
      </w:tr>
      <w:tr w14:paraId="45F662C5">
        <w:tblPrEx>
          <w:tblCellMar>
            <w:top w:w="0" w:type="dxa"/>
            <w:left w:w="108" w:type="dxa"/>
            <w:bottom w:w="0" w:type="dxa"/>
            <w:right w:w="108" w:type="dxa"/>
          </w:tblCellMar>
        </w:tblPrEx>
        <w:trPr>
          <w:trHeight w:val="397" w:hRule="atLeast"/>
        </w:trPr>
        <w:tc>
          <w:tcPr>
            <w:tcW w:w="730" w:type="dxa"/>
            <w:vMerge w:val="continue"/>
            <w:tcBorders>
              <w:left w:val="single" w:color="auto" w:sz="4" w:space="0"/>
              <w:right w:val="single" w:color="auto" w:sz="4" w:space="0"/>
            </w:tcBorders>
            <w:noWrap w:val="0"/>
            <w:vAlign w:val="center"/>
          </w:tcPr>
          <w:p w14:paraId="7DD6815B">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178" w:type="dxa"/>
            <w:vMerge w:val="continue"/>
            <w:tcBorders>
              <w:left w:val="single" w:color="auto" w:sz="4" w:space="0"/>
              <w:right w:val="single" w:color="auto" w:sz="4" w:space="0"/>
            </w:tcBorders>
            <w:noWrap w:val="0"/>
            <w:vAlign w:val="center"/>
          </w:tcPr>
          <w:p w14:paraId="070D4B25">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490" w:type="dxa"/>
            <w:tcBorders>
              <w:top w:val="nil"/>
              <w:left w:val="nil"/>
              <w:bottom w:val="single" w:color="auto" w:sz="4" w:space="0"/>
              <w:right w:val="single" w:color="auto" w:sz="4" w:space="0"/>
            </w:tcBorders>
            <w:noWrap w:val="0"/>
            <w:vAlign w:val="center"/>
          </w:tcPr>
          <w:p w14:paraId="0B2E04CE">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2867" w:type="dxa"/>
            <w:gridSpan w:val="2"/>
            <w:tcBorders>
              <w:top w:val="nil"/>
              <w:left w:val="nil"/>
              <w:bottom w:val="single" w:color="auto" w:sz="4" w:space="0"/>
              <w:right w:val="single" w:color="auto" w:sz="4" w:space="0"/>
            </w:tcBorders>
            <w:noWrap w:val="0"/>
            <w:vAlign w:val="center"/>
          </w:tcPr>
          <w:p w14:paraId="360F7EAC">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p>
        </w:tc>
        <w:tc>
          <w:tcPr>
            <w:tcW w:w="2830" w:type="dxa"/>
            <w:gridSpan w:val="3"/>
            <w:tcBorders>
              <w:top w:val="nil"/>
              <w:left w:val="nil"/>
              <w:bottom w:val="single" w:color="auto" w:sz="4" w:space="0"/>
              <w:right w:val="single" w:color="auto" w:sz="4" w:space="0"/>
            </w:tcBorders>
            <w:noWrap w:val="0"/>
            <w:vAlign w:val="center"/>
          </w:tcPr>
          <w:p w14:paraId="6C145373">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p>
        </w:tc>
      </w:tr>
      <w:tr w14:paraId="6AFA5271">
        <w:tblPrEx>
          <w:tblCellMar>
            <w:top w:w="0" w:type="dxa"/>
            <w:left w:w="108" w:type="dxa"/>
            <w:bottom w:w="0" w:type="dxa"/>
            <w:right w:w="108" w:type="dxa"/>
          </w:tblCellMar>
        </w:tblPrEx>
        <w:trPr>
          <w:trHeight w:val="397" w:hRule="atLeast"/>
        </w:trPr>
        <w:tc>
          <w:tcPr>
            <w:tcW w:w="730" w:type="dxa"/>
            <w:vMerge w:val="continue"/>
            <w:tcBorders>
              <w:left w:val="single" w:color="auto" w:sz="4" w:space="0"/>
              <w:right w:val="single" w:color="auto" w:sz="4" w:space="0"/>
            </w:tcBorders>
            <w:noWrap w:val="0"/>
            <w:vAlign w:val="center"/>
          </w:tcPr>
          <w:p w14:paraId="4B06ADF3">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178" w:type="dxa"/>
            <w:vMerge w:val="continue"/>
            <w:tcBorders>
              <w:left w:val="single" w:color="auto" w:sz="4" w:space="0"/>
              <w:right w:val="single" w:color="auto" w:sz="4" w:space="0"/>
            </w:tcBorders>
            <w:noWrap w:val="0"/>
            <w:vAlign w:val="center"/>
          </w:tcPr>
          <w:p w14:paraId="7FD8644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lang w:eastAsia="zh-CN"/>
              </w:rPr>
            </w:pPr>
          </w:p>
        </w:tc>
        <w:tc>
          <w:tcPr>
            <w:tcW w:w="1490" w:type="dxa"/>
            <w:tcBorders>
              <w:top w:val="nil"/>
              <w:left w:val="nil"/>
              <w:bottom w:val="single" w:color="auto" w:sz="4" w:space="0"/>
              <w:right w:val="single" w:color="auto" w:sz="4" w:space="0"/>
            </w:tcBorders>
            <w:noWrap w:val="0"/>
            <w:vAlign w:val="center"/>
          </w:tcPr>
          <w:p w14:paraId="695A9C1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1"/>
                <w:szCs w:val="21"/>
                <w:highlight w:val="none"/>
                <w:lang w:val="en-US" w:eastAsia="zh-CN" w:bidi="ar-SA"/>
              </w:rPr>
            </w:pPr>
          </w:p>
        </w:tc>
        <w:tc>
          <w:tcPr>
            <w:tcW w:w="2867" w:type="dxa"/>
            <w:gridSpan w:val="2"/>
            <w:tcBorders>
              <w:top w:val="nil"/>
              <w:left w:val="nil"/>
              <w:bottom w:val="single" w:color="auto" w:sz="4" w:space="0"/>
              <w:right w:val="single" w:color="auto" w:sz="4" w:space="0"/>
            </w:tcBorders>
            <w:noWrap w:val="0"/>
            <w:vAlign w:val="center"/>
          </w:tcPr>
          <w:p w14:paraId="1F9FBB7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p>
        </w:tc>
        <w:tc>
          <w:tcPr>
            <w:tcW w:w="2830" w:type="dxa"/>
            <w:gridSpan w:val="3"/>
            <w:tcBorders>
              <w:top w:val="nil"/>
              <w:left w:val="nil"/>
              <w:bottom w:val="single" w:color="auto" w:sz="4" w:space="0"/>
              <w:right w:val="single" w:color="auto" w:sz="4" w:space="0"/>
            </w:tcBorders>
            <w:noWrap w:val="0"/>
            <w:vAlign w:val="center"/>
          </w:tcPr>
          <w:p w14:paraId="6254C25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p>
        </w:tc>
      </w:tr>
      <w:tr w14:paraId="2A7AD0EE">
        <w:tblPrEx>
          <w:tblCellMar>
            <w:top w:w="0" w:type="dxa"/>
            <w:left w:w="108" w:type="dxa"/>
            <w:bottom w:w="0" w:type="dxa"/>
            <w:right w:w="108" w:type="dxa"/>
          </w:tblCellMar>
        </w:tblPrEx>
        <w:trPr>
          <w:trHeight w:val="397" w:hRule="atLeast"/>
        </w:trPr>
        <w:tc>
          <w:tcPr>
            <w:tcW w:w="730" w:type="dxa"/>
            <w:vMerge w:val="continue"/>
            <w:tcBorders>
              <w:left w:val="single" w:color="auto" w:sz="4" w:space="0"/>
              <w:right w:val="single" w:color="auto" w:sz="4" w:space="0"/>
            </w:tcBorders>
            <w:noWrap w:val="0"/>
            <w:vAlign w:val="center"/>
          </w:tcPr>
          <w:p w14:paraId="2D4DDE15">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178" w:type="dxa"/>
            <w:vMerge w:val="continue"/>
            <w:tcBorders>
              <w:left w:val="single" w:color="auto" w:sz="4" w:space="0"/>
              <w:bottom w:val="single" w:color="auto" w:sz="4" w:space="0"/>
              <w:right w:val="single" w:color="auto" w:sz="4" w:space="0"/>
            </w:tcBorders>
            <w:noWrap w:val="0"/>
            <w:vAlign w:val="center"/>
          </w:tcPr>
          <w:p w14:paraId="0964961C">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490" w:type="dxa"/>
            <w:tcBorders>
              <w:top w:val="nil"/>
              <w:left w:val="nil"/>
              <w:bottom w:val="single" w:color="auto" w:sz="4" w:space="0"/>
              <w:right w:val="single" w:color="auto" w:sz="4" w:space="0"/>
            </w:tcBorders>
            <w:noWrap w:val="0"/>
            <w:vAlign w:val="center"/>
          </w:tcPr>
          <w:p w14:paraId="6D7C1C7E">
            <w:pPr>
              <w:keepNext w:val="0"/>
              <w:keepLines w:val="0"/>
              <w:widowControl/>
              <w:suppressLineNumbers w:val="0"/>
              <w:spacing w:before="0" w:beforeAutospacing="0" w:after="0" w:afterAutospacing="0"/>
              <w:ind w:left="0" w:right="0"/>
              <w:jc w:val="center"/>
              <w:rPr>
                <w:rFonts w:ascii="宋体" w:hAnsi="宋体" w:eastAsia="宋体" w:cs="宋体"/>
                <w:color w:val="000000"/>
                <w:kern w:val="0"/>
                <w:sz w:val="21"/>
                <w:szCs w:val="21"/>
                <w:highlight w:val="none"/>
                <w:lang w:val="en-US" w:eastAsia="zh-CN" w:bidi="ar-SA"/>
              </w:rPr>
            </w:pPr>
          </w:p>
        </w:tc>
        <w:tc>
          <w:tcPr>
            <w:tcW w:w="2867" w:type="dxa"/>
            <w:gridSpan w:val="2"/>
            <w:tcBorders>
              <w:top w:val="nil"/>
              <w:left w:val="nil"/>
              <w:bottom w:val="single" w:color="auto" w:sz="4" w:space="0"/>
              <w:right w:val="single" w:color="auto" w:sz="4" w:space="0"/>
            </w:tcBorders>
            <w:noWrap w:val="0"/>
            <w:vAlign w:val="center"/>
          </w:tcPr>
          <w:p w14:paraId="585632C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p>
        </w:tc>
        <w:tc>
          <w:tcPr>
            <w:tcW w:w="2830" w:type="dxa"/>
            <w:gridSpan w:val="3"/>
            <w:tcBorders>
              <w:top w:val="nil"/>
              <w:left w:val="nil"/>
              <w:bottom w:val="single" w:color="auto" w:sz="4" w:space="0"/>
              <w:right w:val="single" w:color="auto" w:sz="4" w:space="0"/>
            </w:tcBorders>
            <w:noWrap w:val="0"/>
            <w:vAlign w:val="center"/>
          </w:tcPr>
          <w:p w14:paraId="5383C813">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p>
        </w:tc>
      </w:tr>
      <w:tr w14:paraId="3931F376">
        <w:tblPrEx>
          <w:tblCellMar>
            <w:top w:w="0" w:type="dxa"/>
            <w:left w:w="108" w:type="dxa"/>
            <w:bottom w:w="0" w:type="dxa"/>
            <w:right w:w="108" w:type="dxa"/>
          </w:tblCellMar>
        </w:tblPrEx>
        <w:trPr>
          <w:trHeight w:val="397" w:hRule="atLeast"/>
        </w:trPr>
        <w:tc>
          <w:tcPr>
            <w:tcW w:w="730" w:type="dxa"/>
            <w:vMerge w:val="continue"/>
            <w:tcBorders>
              <w:left w:val="single" w:color="auto" w:sz="4" w:space="0"/>
              <w:right w:val="single" w:color="auto" w:sz="4" w:space="0"/>
            </w:tcBorders>
            <w:noWrap w:val="0"/>
            <w:vAlign w:val="center"/>
          </w:tcPr>
          <w:p w14:paraId="49D0330B">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178" w:type="dxa"/>
            <w:vMerge w:val="restart"/>
            <w:tcBorders>
              <w:top w:val="nil"/>
              <w:left w:val="single" w:color="auto" w:sz="4" w:space="0"/>
              <w:right w:val="single" w:color="auto" w:sz="4" w:space="0"/>
            </w:tcBorders>
            <w:noWrap w:val="0"/>
            <w:vAlign w:val="center"/>
          </w:tcPr>
          <w:p w14:paraId="1D8CFED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r>
              <w:rPr>
                <w:rFonts w:hint="eastAsia" w:ascii="宋体" w:hAnsi="宋体" w:eastAsia="宋体" w:cs="宋体"/>
                <w:color w:val="000000"/>
                <w:szCs w:val="21"/>
                <w:highlight w:val="none"/>
                <w:lang w:val="en-US" w:eastAsia="zh-CN"/>
              </w:rPr>
              <w:t>其他土地</w:t>
            </w:r>
          </w:p>
        </w:tc>
        <w:tc>
          <w:tcPr>
            <w:tcW w:w="1490" w:type="dxa"/>
            <w:tcBorders>
              <w:top w:val="nil"/>
              <w:left w:val="nil"/>
              <w:bottom w:val="single" w:color="auto" w:sz="4" w:space="0"/>
              <w:right w:val="single" w:color="auto" w:sz="4" w:space="0"/>
            </w:tcBorders>
            <w:noWrap w:val="0"/>
            <w:vAlign w:val="center"/>
          </w:tcPr>
          <w:p w14:paraId="378D1DC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lang w:val="en-US" w:eastAsia="zh-CN"/>
              </w:rPr>
            </w:pPr>
          </w:p>
        </w:tc>
        <w:tc>
          <w:tcPr>
            <w:tcW w:w="2867" w:type="dxa"/>
            <w:gridSpan w:val="2"/>
            <w:tcBorders>
              <w:top w:val="nil"/>
              <w:left w:val="nil"/>
              <w:bottom w:val="single" w:color="auto" w:sz="4" w:space="0"/>
              <w:right w:val="single" w:color="auto" w:sz="4" w:space="0"/>
            </w:tcBorders>
            <w:noWrap w:val="0"/>
            <w:vAlign w:val="center"/>
          </w:tcPr>
          <w:p w14:paraId="695F71B3">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p>
        </w:tc>
        <w:tc>
          <w:tcPr>
            <w:tcW w:w="2830" w:type="dxa"/>
            <w:gridSpan w:val="3"/>
            <w:tcBorders>
              <w:top w:val="nil"/>
              <w:left w:val="nil"/>
              <w:bottom w:val="single" w:color="auto" w:sz="4" w:space="0"/>
              <w:right w:val="single" w:color="auto" w:sz="4" w:space="0"/>
            </w:tcBorders>
            <w:noWrap w:val="0"/>
            <w:vAlign w:val="center"/>
          </w:tcPr>
          <w:p w14:paraId="39CEE2B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p>
        </w:tc>
      </w:tr>
      <w:tr w14:paraId="231CA0C5">
        <w:tblPrEx>
          <w:tblCellMar>
            <w:top w:w="0" w:type="dxa"/>
            <w:left w:w="108" w:type="dxa"/>
            <w:bottom w:w="0" w:type="dxa"/>
            <w:right w:w="108" w:type="dxa"/>
          </w:tblCellMar>
        </w:tblPrEx>
        <w:trPr>
          <w:trHeight w:val="367" w:hRule="atLeast"/>
        </w:trPr>
        <w:tc>
          <w:tcPr>
            <w:tcW w:w="730" w:type="dxa"/>
            <w:vMerge w:val="continue"/>
            <w:tcBorders>
              <w:left w:val="single" w:color="auto" w:sz="4" w:space="0"/>
              <w:right w:val="single" w:color="auto" w:sz="4" w:space="0"/>
            </w:tcBorders>
            <w:noWrap w:val="0"/>
            <w:vAlign w:val="center"/>
          </w:tcPr>
          <w:p w14:paraId="1AF3ACCB">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178" w:type="dxa"/>
            <w:vMerge w:val="continue"/>
            <w:tcBorders>
              <w:left w:val="single" w:color="auto" w:sz="4" w:space="0"/>
              <w:right w:val="single" w:color="auto" w:sz="4" w:space="0"/>
            </w:tcBorders>
            <w:noWrap w:val="0"/>
            <w:vAlign w:val="center"/>
          </w:tcPr>
          <w:p w14:paraId="7C969D03">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1490" w:type="dxa"/>
            <w:tcBorders>
              <w:top w:val="nil"/>
              <w:left w:val="nil"/>
              <w:right w:val="single" w:color="auto" w:sz="4" w:space="0"/>
            </w:tcBorders>
            <w:noWrap w:val="0"/>
            <w:vAlign w:val="center"/>
          </w:tcPr>
          <w:p w14:paraId="40AD7338">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lang w:val="en-US" w:eastAsia="zh-CN"/>
              </w:rPr>
              <w:t>裸岩石砾地</w:t>
            </w:r>
          </w:p>
        </w:tc>
        <w:tc>
          <w:tcPr>
            <w:tcW w:w="2867" w:type="dxa"/>
            <w:gridSpan w:val="2"/>
            <w:tcBorders>
              <w:top w:val="single" w:color="auto" w:sz="4" w:space="0"/>
              <w:left w:val="single" w:color="auto" w:sz="4" w:space="0"/>
              <w:bottom w:val="single" w:color="auto" w:sz="4" w:space="0"/>
              <w:right w:val="single" w:color="auto" w:sz="4" w:space="0"/>
            </w:tcBorders>
            <w:noWrap w:val="0"/>
            <w:vAlign w:val="center"/>
          </w:tcPr>
          <w:p w14:paraId="0436BCF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p>
        </w:tc>
        <w:tc>
          <w:tcPr>
            <w:tcW w:w="2830" w:type="dxa"/>
            <w:gridSpan w:val="3"/>
            <w:tcBorders>
              <w:top w:val="nil"/>
              <w:left w:val="nil"/>
              <w:bottom w:val="single" w:color="auto" w:sz="4" w:space="0"/>
              <w:right w:val="single" w:color="auto" w:sz="4" w:space="0"/>
            </w:tcBorders>
            <w:noWrap w:val="0"/>
            <w:vAlign w:val="center"/>
          </w:tcPr>
          <w:p w14:paraId="641C34F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rPr>
            </w:pPr>
            <w:r>
              <w:rPr>
                <w:rFonts w:hint="eastAsia" w:ascii="宋体" w:hAnsi="宋体" w:eastAsia="宋体" w:cs="宋体"/>
                <w:bCs/>
                <w:color w:val="000000"/>
                <w:szCs w:val="21"/>
                <w:highlight w:val="none"/>
                <w:lang w:val="en-US" w:eastAsia="zh-CN"/>
              </w:rPr>
              <w:t>2.4620</w:t>
            </w:r>
          </w:p>
        </w:tc>
      </w:tr>
      <w:tr w14:paraId="67E2B8ED">
        <w:tblPrEx>
          <w:tblCellMar>
            <w:top w:w="0" w:type="dxa"/>
            <w:left w:w="108" w:type="dxa"/>
            <w:bottom w:w="0" w:type="dxa"/>
            <w:right w:w="108" w:type="dxa"/>
          </w:tblCellMar>
        </w:tblPrEx>
        <w:trPr>
          <w:trHeight w:val="397" w:hRule="atLeast"/>
        </w:trPr>
        <w:tc>
          <w:tcPr>
            <w:tcW w:w="730" w:type="dxa"/>
            <w:vMerge w:val="continue"/>
            <w:tcBorders>
              <w:left w:val="single" w:color="auto" w:sz="4" w:space="0"/>
              <w:right w:val="single" w:color="auto" w:sz="4" w:space="0"/>
            </w:tcBorders>
            <w:noWrap w:val="0"/>
            <w:vAlign w:val="center"/>
          </w:tcPr>
          <w:p w14:paraId="321A3319">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p>
        </w:tc>
        <w:tc>
          <w:tcPr>
            <w:tcW w:w="2668" w:type="dxa"/>
            <w:gridSpan w:val="2"/>
            <w:tcBorders>
              <w:top w:val="single" w:color="auto" w:sz="4" w:space="0"/>
              <w:left w:val="nil"/>
              <w:bottom w:val="single" w:color="auto" w:sz="4" w:space="0"/>
              <w:right w:val="single" w:color="auto" w:sz="4" w:space="0"/>
            </w:tcBorders>
            <w:noWrap w:val="0"/>
            <w:vAlign w:val="center"/>
          </w:tcPr>
          <w:p w14:paraId="678AD521">
            <w:pPr>
              <w:keepNext w:val="0"/>
              <w:keepLines w:val="0"/>
              <w:widowControl/>
              <w:suppressLineNumbers w:val="0"/>
              <w:spacing w:before="0" w:beforeAutospacing="0" w:after="0" w:afterAutospacing="0"/>
              <w:ind w:left="0" w:right="0"/>
              <w:jc w:val="center"/>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合计</w:t>
            </w:r>
          </w:p>
        </w:tc>
        <w:tc>
          <w:tcPr>
            <w:tcW w:w="2867" w:type="dxa"/>
            <w:gridSpan w:val="2"/>
            <w:tcBorders>
              <w:top w:val="single" w:color="auto" w:sz="4" w:space="0"/>
              <w:left w:val="single" w:color="auto" w:sz="4" w:space="0"/>
              <w:bottom w:val="single" w:color="auto" w:sz="4" w:space="0"/>
              <w:right w:val="single" w:color="auto" w:sz="4" w:space="0"/>
            </w:tcBorders>
            <w:noWrap w:val="0"/>
            <w:vAlign w:val="center"/>
          </w:tcPr>
          <w:p w14:paraId="674E6D09">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lang w:val="en-US" w:eastAsia="zh-CN"/>
              </w:rPr>
              <w:t>0</w:t>
            </w:r>
          </w:p>
        </w:tc>
        <w:tc>
          <w:tcPr>
            <w:tcW w:w="2830" w:type="dxa"/>
            <w:gridSpan w:val="3"/>
            <w:tcBorders>
              <w:top w:val="nil"/>
              <w:left w:val="nil"/>
              <w:bottom w:val="single" w:color="auto" w:sz="4" w:space="0"/>
              <w:right w:val="single" w:color="auto" w:sz="4" w:space="0"/>
            </w:tcBorders>
            <w:noWrap w:val="0"/>
            <w:vAlign w:val="center"/>
          </w:tcPr>
          <w:p w14:paraId="3096377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Cs w:val="21"/>
                <w:highlight w:val="none"/>
                <w:lang w:val="en-US" w:eastAsia="zh-CN"/>
              </w:rPr>
            </w:pPr>
            <w:r>
              <w:rPr>
                <w:rFonts w:hint="eastAsia" w:ascii="宋体" w:hAnsi="宋体" w:eastAsia="宋体" w:cs="Times New Roman"/>
                <w:bCs/>
                <w:color w:val="000000"/>
                <w:szCs w:val="21"/>
                <w:highlight w:val="none"/>
                <w:lang w:val="en-US" w:eastAsia="zh-CN"/>
              </w:rPr>
              <w:t>3.6828</w:t>
            </w:r>
          </w:p>
        </w:tc>
      </w:tr>
      <w:tr w14:paraId="63B9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0" w:type="dxa"/>
            <w:vMerge w:val="continue"/>
            <w:tcBorders>
              <w:left w:val="single" w:color="auto" w:sz="4" w:space="0"/>
              <w:right w:val="single" w:color="auto" w:sz="4" w:space="0"/>
            </w:tcBorders>
            <w:noWrap w:val="0"/>
            <w:vAlign w:val="top"/>
          </w:tcPr>
          <w:p w14:paraId="693B7E0E">
            <w:pPr>
              <w:keepNext w:val="0"/>
              <w:keepLines w:val="0"/>
              <w:suppressLineNumbers w:val="0"/>
              <w:spacing w:before="0" w:beforeAutospacing="0" w:after="0" w:afterAutospacing="0"/>
              <w:ind w:left="0" w:right="0"/>
              <w:jc w:val="center"/>
              <w:rPr>
                <w:rFonts w:hint="eastAsia" w:ascii="宋体" w:hAnsi="宋体" w:eastAsia="宋体" w:cs="Times New Roman"/>
                <w:color w:val="000000"/>
                <w:szCs w:val="21"/>
                <w:highlight w:val="none"/>
              </w:rPr>
            </w:pPr>
          </w:p>
        </w:tc>
        <w:tc>
          <w:tcPr>
            <w:tcW w:w="5535" w:type="dxa"/>
            <w:gridSpan w:val="4"/>
            <w:tcBorders>
              <w:left w:val="single" w:color="auto" w:sz="4" w:space="0"/>
            </w:tcBorders>
            <w:noWrap w:val="0"/>
            <w:vAlign w:val="center"/>
          </w:tcPr>
          <w:p w14:paraId="5BA881FF">
            <w:pPr>
              <w:keepNext w:val="0"/>
              <w:keepLines w:val="0"/>
              <w:suppressLineNumbers w:val="0"/>
              <w:spacing w:before="0" w:beforeAutospacing="0" w:after="0" w:afterAutospacing="0"/>
              <w:ind w:left="0" w:right="0"/>
              <w:jc w:val="center"/>
              <w:rPr>
                <w:rFonts w:hint="eastAsia" w:ascii="宋体" w:hAnsi="宋体" w:eastAsia="宋体" w:cs="Times New Roman"/>
                <w:color w:val="000000"/>
                <w:szCs w:val="21"/>
                <w:highlight w:val="none"/>
              </w:rPr>
            </w:pPr>
            <w:r>
              <w:rPr>
                <w:rFonts w:hint="eastAsia" w:ascii="宋体" w:hAnsi="宋体" w:eastAsia="宋体" w:cs="Times New Roman"/>
                <w:color w:val="000000"/>
                <w:szCs w:val="21"/>
                <w:highlight w:val="none"/>
              </w:rPr>
              <w:t>土地复垦率%</w:t>
            </w:r>
          </w:p>
        </w:tc>
        <w:tc>
          <w:tcPr>
            <w:tcW w:w="2830" w:type="dxa"/>
            <w:gridSpan w:val="3"/>
            <w:noWrap w:val="0"/>
            <w:vAlign w:val="center"/>
          </w:tcPr>
          <w:p w14:paraId="0D2DF7B1">
            <w:pPr>
              <w:keepNext w:val="0"/>
              <w:keepLines w:val="0"/>
              <w:suppressLineNumbers w:val="0"/>
              <w:spacing w:before="0" w:beforeAutospacing="0" w:after="0" w:afterAutospacing="0"/>
              <w:ind w:left="0" w:right="0"/>
              <w:jc w:val="center"/>
              <w:rPr>
                <w:rFonts w:ascii="宋体" w:hAnsi="宋体" w:eastAsia="宋体" w:cs="Times New Roman"/>
                <w:color w:val="000000"/>
                <w:szCs w:val="21"/>
                <w:highlight w:val="none"/>
              </w:rPr>
            </w:pPr>
            <w:r>
              <w:rPr>
                <w:rFonts w:hint="eastAsia" w:ascii="宋体" w:hAnsi="宋体" w:eastAsia="宋体" w:cs="Times New Roman"/>
                <w:color w:val="000000"/>
                <w:szCs w:val="21"/>
                <w:highlight w:val="none"/>
              </w:rPr>
              <w:t>100</w:t>
            </w:r>
          </w:p>
        </w:tc>
      </w:tr>
      <w:tr w14:paraId="7215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65" w:type="dxa"/>
            <w:gridSpan w:val="5"/>
            <w:tcBorders>
              <w:left w:val="single" w:color="auto" w:sz="4" w:space="0"/>
            </w:tcBorders>
            <w:noWrap w:val="0"/>
            <w:vAlign w:val="center"/>
          </w:tcPr>
          <w:p w14:paraId="6714D157">
            <w:pPr>
              <w:keepNext w:val="0"/>
              <w:keepLines w:val="0"/>
              <w:suppressLineNumbers w:val="0"/>
              <w:spacing w:before="0" w:beforeAutospacing="0" w:after="0" w:afterAutospacing="0"/>
              <w:ind w:left="0" w:right="0"/>
              <w:jc w:val="center"/>
              <w:rPr>
                <w:rFonts w:hint="eastAsia" w:ascii="宋体" w:hAnsi="宋体" w:eastAsia="宋体" w:cs="Times New Roman"/>
                <w:color w:val="000000"/>
                <w:szCs w:val="21"/>
                <w:highlight w:val="none"/>
              </w:rPr>
            </w:pPr>
            <w:r>
              <w:rPr>
                <w:rFonts w:hint="eastAsia" w:ascii="宋体" w:hAnsi="宋体" w:eastAsia="宋体" w:cs="Times New Roman"/>
                <w:color w:val="000000"/>
                <w:szCs w:val="21"/>
                <w:highlight w:val="none"/>
              </w:rPr>
              <w:t>复垦方式</w:t>
            </w:r>
          </w:p>
        </w:tc>
        <w:tc>
          <w:tcPr>
            <w:tcW w:w="2830" w:type="dxa"/>
            <w:gridSpan w:val="3"/>
            <w:noWrap w:val="0"/>
            <w:vAlign w:val="center"/>
          </w:tcPr>
          <w:p w14:paraId="48016740">
            <w:pPr>
              <w:keepNext w:val="0"/>
              <w:keepLines w:val="0"/>
              <w:suppressLineNumbers w:val="0"/>
              <w:spacing w:before="0" w:beforeAutospacing="0" w:after="0" w:afterAutospacing="0"/>
              <w:ind w:left="0" w:right="0"/>
              <w:jc w:val="center"/>
              <w:rPr>
                <w:rFonts w:hint="eastAsia" w:ascii="宋体" w:hAnsi="宋体" w:eastAsia="宋体" w:cs="Times New Roman"/>
                <w:color w:val="000000"/>
                <w:szCs w:val="21"/>
                <w:highlight w:val="none"/>
              </w:rPr>
            </w:pPr>
            <w:r>
              <w:rPr>
                <w:rFonts w:hint="eastAsia" w:ascii="宋体" w:hAnsi="宋体" w:eastAsia="宋体" w:cs="Times New Roman"/>
                <w:color w:val="000000"/>
                <w:szCs w:val="21"/>
                <w:highlight w:val="none"/>
              </w:rPr>
              <w:t>自行复垦</w:t>
            </w:r>
          </w:p>
        </w:tc>
      </w:tr>
    </w:tbl>
    <w:p w14:paraId="0B666F2B">
      <w:pPr>
        <w:rPr>
          <w:color w:val="000000"/>
          <w:szCs w:val="21"/>
          <w:highlight w:val="none"/>
        </w:rPr>
      </w:pPr>
    </w:p>
    <w:p w14:paraId="1CA039BE">
      <w:pPr>
        <w:pStyle w:val="2"/>
        <w:rPr>
          <w:color w:val="000000"/>
          <w:highlight w:val="none"/>
        </w:rPr>
      </w:pPr>
    </w:p>
    <w:p w14:paraId="27A6EBFD">
      <w:pPr>
        <w:pStyle w:val="2"/>
        <w:rPr>
          <w:rFonts w:hint="eastAsia" w:ascii="宋体" w:hAnsi="宋体"/>
          <w:color w:val="000000"/>
          <w:sz w:val="24"/>
          <w:highlight w:val="none"/>
        </w:rPr>
      </w:pPr>
    </w:p>
    <w:tbl>
      <w:tblPr>
        <w:tblStyle w:val="19"/>
        <w:tblW w:w="9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8836"/>
      </w:tblGrid>
      <w:tr w14:paraId="7685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2" w:hRule="atLeast"/>
          <w:jc w:val="center"/>
        </w:trPr>
        <w:tc>
          <w:tcPr>
            <w:tcW w:w="405" w:type="dxa"/>
            <w:noWrap w:val="0"/>
            <w:vAlign w:val="center"/>
          </w:tcPr>
          <w:p w14:paraId="72024D08">
            <w:pPr>
              <w:keepNext w:val="0"/>
              <w:keepLines w:val="0"/>
              <w:suppressLineNumbers w:val="0"/>
              <w:spacing w:before="0" w:beforeAutospacing="0" w:after="0" w:afterAutospacing="0" w:line="460" w:lineRule="exact"/>
              <w:ind w:left="0" w:right="0"/>
              <w:jc w:val="center"/>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工</w:t>
            </w:r>
          </w:p>
          <w:p w14:paraId="79180745">
            <w:pPr>
              <w:keepNext w:val="0"/>
              <w:keepLines w:val="0"/>
              <w:suppressLineNumbers w:val="0"/>
              <w:spacing w:before="0" w:beforeAutospacing="0" w:after="0" w:afterAutospacing="0" w:line="460" w:lineRule="exact"/>
              <w:ind w:left="0" w:right="0"/>
              <w:jc w:val="center"/>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作</w:t>
            </w:r>
          </w:p>
          <w:p w14:paraId="480B3DD8">
            <w:pPr>
              <w:keepNext w:val="0"/>
              <w:keepLines w:val="0"/>
              <w:suppressLineNumbers w:val="0"/>
              <w:spacing w:before="0" w:beforeAutospacing="0" w:after="0" w:afterAutospacing="0" w:line="460" w:lineRule="exact"/>
              <w:ind w:left="0" w:right="0"/>
              <w:jc w:val="center"/>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计</w:t>
            </w:r>
          </w:p>
          <w:p w14:paraId="0E7CA82C">
            <w:pPr>
              <w:keepNext w:val="0"/>
              <w:keepLines w:val="0"/>
              <w:suppressLineNumbers w:val="0"/>
              <w:spacing w:before="0" w:beforeAutospacing="0" w:after="0" w:afterAutospacing="0" w:line="460" w:lineRule="exact"/>
              <w:ind w:left="0" w:right="0"/>
              <w:jc w:val="center"/>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划</w:t>
            </w:r>
          </w:p>
          <w:p w14:paraId="47A6C238">
            <w:pPr>
              <w:keepNext w:val="0"/>
              <w:keepLines w:val="0"/>
              <w:suppressLineNumbers w:val="0"/>
              <w:spacing w:before="0" w:beforeAutospacing="0" w:after="0" w:afterAutospacing="0" w:line="460" w:lineRule="exact"/>
              <w:ind w:left="0" w:right="0"/>
              <w:jc w:val="center"/>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及</w:t>
            </w:r>
          </w:p>
          <w:p w14:paraId="1E5BA8E8">
            <w:pPr>
              <w:keepNext w:val="0"/>
              <w:keepLines w:val="0"/>
              <w:suppressLineNumbers w:val="0"/>
              <w:spacing w:before="0" w:beforeAutospacing="0" w:after="0" w:afterAutospacing="0" w:line="460" w:lineRule="exact"/>
              <w:ind w:left="0" w:right="0"/>
              <w:jc w:val="center"/>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主</w:t>
            </w:r>
          </w:p>
          <w:p w14:paraId="4F6B38EF">
            <w:pPr>
              <w:keepNext w:val="0"/>
              <w:keepLines w:val="0"/>
              <w:suppressLineNumbers w:val="0"/>
              <w:spacing w:before="0" w:beforeAutospacing="0" w:after="0" w:afterAutospacing="0" w:line="460" w:lineRule="exact"/>
              <w:ind w:left="0" w:right="0"/>
              <w:jc w:val="center"/>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要</w:t>
            </w:r>
          </w:p>
          <w:p w14:paraId="34CFDD86">
            <w:pPr>
              <w:keepNext w:val="0"/>
              <w:keepLines w:val="0"/>
              <w:suppressLineNumbers w:val="0"/>
              <w:spacing w:before="0" w:beforeAutospacing="0" w:after="0" w:afterAutospacing="0" w:line="460" w:lineRule="exact"/>
              <w:ind w:left="0" w:right="0"/>
              <w:jc w:val="center"/>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措</w:t>
            </w:r>
          </w:p>
          <w:p w14:paraId="284CB5D2">
            <w:pPr>
              <w:keepNext w:val="0"/>
              <w:keepLines w:val="0"/>
              <w:suppressLineNumbers w:val="0"/>
              <w:spacing w:before="0" w:beforeAutospacing="0" w:after="0" w:afterAutospacing="0" w:line="460" w:lineRule="exact"/>
              <w:ind w:left="0" w:right="0"/>
              <w:jc w:val="center"/>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施</w:t>
            </w:r>
          </w:p>
        </w:tc>
        <w:tc>
          <w:tcPr>
            <w:tcW w:w="8836" w:type="dxa"/>
            <w:noWrap w:val="0"/>
            <w:vAlign w:val="top"/>
          </w:tcPr>
          <w:p w14:paraId="79F9229A">
            <w:pPr>
              <w:keepNext w:val="0"/>
              <w:keepLines w:val="0"/>
              <w:numPr>
                <w:ilvl w:val="0"/>
                <w:numId w:val="2"/>
              </w:numPr>
              <w:suppressLineNumbers w:val="0"/>
              <w:spacing w:before="0" w:beforeAutospacing="0" w:after="0" w:afterAutospacing="0" w:line="440" w:lineRule="exact"/>
              <w:ind w:left="0" w:right="0" w:firstLine="463" w:firstLineChars="192"/>
              <w:rPr>
                <w:rFonts w:hint="eastAsia" w:ascii="宋体" w:hAnsi="宋体" w:eastAsia="宋体" w:cs="Times New Roman"/>
                <w:color w:val="000000"/>
                <w:sz w:val="24"/>
                <w:highlight w:val="none"/>
                <w:lang w:val="en-US" w:eastAsia="zh-CN"/>
              </w:rPr>
            </w:pPr>
            <w:r>
              <w:rPr>
                <w:rFonts w:hint="eastAsia" w:ascii="Calibri" w:hAnsi="Calibri" w:eastAsia="宋体" w:cs="Times New Roman"/>
                <w:b/>
                <w:bCs/>
                <w:color w:val="000000"/>
                <w:sz w:val="24"/>
                <w:highlight w:val="none"/>
              </w:rPr>
              <w:t>前言</w:t>
            </w:r>
          </w:p>
          <w:p w14:paraId="7396AA22">
            <w:pPr>
              <w:keepNext w:val="0"/>
              <w:keepLines w:val="0"/>
              <w:numPr>
                <w:ilvl w:val="0"/>
                <w:numId w:val="0"/>
              </w:numPr>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中交一公局集团有限公司G331 线—三塘湖火车站道路建设项目（项目代码： 2311-650500-18-01-332587）建设单位为哈密市交通运输局。本项目为公路工程，采用一级公路设计标准。推荐路线方案建设里程9.694km，其中主线8.524km，支线1.17km，总用地规模33.1679公顷，其中主线占地30.7677公顷，支线占地2.4002公顷。本项目投资总估算金额为14202.1626万元。预计建设期限为：2025年1月-2026年12月。</w:t>
            </w:r>
          </w:p>
          <w:p w14:paraId="49EDA5AE">
            <w:pPr>
              <w:keepNext w:val="0"/>
              <w:keepLines w:val="0"/>
              <w:numPr>
                <w:ilvl w:val="0"/>
                <w:numId w:val="0"/>
              </w:numPr>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中交一公局集团有限公司G331线至三塘湖火车站道路建设项目临时用地位于新疆维吾尔自治区哈密市巴里坤哈萨克自治县三塘湖镇境内，南侧紧邻将淖铁路和G331国道，项目区交通便利。</w:t>
            </w:r>
          </w:p>
          <w:p w14:paraId="6F6A9618">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在项目建设过程中，中交一公局集团有限公司需申请6宗临时用地服务于项目，临时用地均位于项目区内。为了使用土地符合相关规定，经征得巴里坤哈萨克自然资源局主管部门同意，</w:t>
            </w:r>
            <w:r>
              <w:rPr>
                <w:rFonts w:hint="eastAsia" w:ascii="宋体" w:hAnsi="宋体" w:eastAsia="宋体" w:cs="Times New Roman"/>
                <w:color w:val="000000"/>
                <w:sz w:val="24"/>
                <w:highlight w:val="none"/>
                <w:lang w:eastAsia="zh-CN"/>
              </w:rPr>
              <w:t>中交一公局集团有限公司</w:t>
            </w:r>
            <w:r>
              <w:rPr>
                <w:rFonts w:hint="eastAsia" w:ascii="宋体" w:hAnsi="宋体" w:eastAsia="宋体" w:cs="Times New Roman"/>
                <w:color w:val="000000"/>
                <w:sz w:val="24"/>
                <w:highlight w:val="none"/>
                <w:lang w:val="en-US" w:eastAsia="zh-CN"/>
              </w:rPr>
              <w:t>须对服务于项目建设的临建设施用地办理临时用地相关手续。</w:t>
            </w:r>
          </w:p>
          <w:p w14:paraId="4C967AAB">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为贯彻落实《土地复垦条例》（国务院令第592号），坚持最严格的节约集约用地制度，坚持工程建设中少占地、不占或少占耕地，恢复生态环境；使</w:t>
            </w:r>
            <w:r>
              <w:rPr>
                <w:rFonts w:hint="eastAsia" w:ascii="宋体" w:hAnsi="宋体" w:eastAsia="宋体" w:cs="Times New Roman"/>
                <w:color w:val="000000"/>
                <w:sz w:val="24"/>
                <w:highlight w:val="none"/>
                <w:lang w:eastAsia="zh-CN"/>
              </w:rPr>
              <w:t>中交一公局集团有限公司</w:t>
            </w:r>
            <w:r>
              <w:rPr>
                <w:rFonts w:hint="eastAsia" w:ascii="宋体" w:hAnsi="宋体" w:eastAsia="宋体" w:cs="Times New Roman"/>
                <w:color w:val="000000"/>
                <w:sz w:val="24"/>
                <w:highlight w:val="none"/>
              </w:rPr>
              <w:t>保证损毁土地得到及时复垦。将土地复垦目标、任务、措施和计划等落到实处，为土地复垦的实施管理、监督检查以及土地复垦费用的征收等提供依据，确保土地复垦工作落到实处，特编制本方案。及时复垦利用被损毁的土地，充分挖掘废弃土地潜力，促进土地节约集约利用，保护和改善生产建设区域生态环境，实现社会经济与生态环境的可持续发展，</w:t>
            </w:r>
            <w:r>
              <w:rPr>
                <w:rFonts w:hint="eastAsia" w:ascii="宋体" w:hAnsi="宋体" w:eastAsia="宋体" w:cs="Times New Roman"/>
                <w:color w:val="000000"/>
                <w:sz w:val="24"/>
                <w:highlight w:val="none"/>
                <w:lang w:eastAsia="zh-CN"/>
              </w:rPr>
              <w:t>中交一公局集团有限公司</w:t>
            </w:r>
            <w:r>
              <w:rPr>
                <w:rFonts w:hint="eastAsia" w:ascii="宋体" w:hAnsi="宋体" w:eastAsia="宋体" w:cs="Times New Roman"/>
                <w:color w:val="000000"/>
                <w:sz w:val="24"/>
                <w:highlight w:val="none"/>
              </w:rPr>
              <w:t>于202</w:t>
            </w:r>
            <w:r>
              <w:rPr>
                <w:rFonts w:hint="eastAsia" w:ascii="宋体" w:hAnsi="宋体" w:eastAsia="宋体" w:cs="Times New Roman"/>
                <w:color w:val="000000"/>
                <w:sz w:val="24"/>
                <w:highlight w:val="none"/>
                <w:lang w:val="en-US" w:eastAsia="zh-CN"/>
              </w:rPr>
              <w:t>4</w:t>
            </w:r>
            <w:r>
              <w:rPr>
                <w:rFonts w:hint="eastAsia" w:ascii="宋体" w:hAnsi="宋体" w:eastAsia="宋体" w:cs="Times New Roman"/>
                <w:color w:val="000000"/>
                <w:sz w:val="24"/>
                <w:highlight w:val="none"/>
              </w:rPr>
              <w:t>年</w:t>
            </w:r>
            <w:r>
              <w:rPr>
                <w:rFonts w:hint="eastAsia" w:ascii="宋体" w:hAnsi="宋体" w:eastAsia="宋体" w:cs="Times New Roman"/>
                <w:color w:val="000000"/>
                <w:sz w:val="24"/>
                <w:highlight w:val="none"/>
                <w:lang w:val="en-US" w:eastAsia="zh-CN"/>
              </w:rPr>
              <w:t>12</w:t>
            </w:r>
            <w:r>
              <w:rPr>
                <w:rFonts w:hint="eastAsia" w:ascii="宋体" w:hAnsi="宋体" w:eastAsia="宋体" w:cs="Times New Roman"/>
                <w:color w:val="000000"/>
                <w:sz w:val="24"/>
                <w:highlight w:val="none"/>
              </w:rPr>
              <w:t>月委托</w:t>
            </w:r>
            <w:r>
              <w:rPr>
                <w:rFonts w:hint="eastAsia" w:ascii="宋体" w:hAnsi="宋体" w:eastAsia="宋体" w:cs="Times New Roman"/>
                <w:color w:val="000000"/>
                <w:sz w:val="24"/>
                <w:highlight w:val="none"/>
                <w:lang w:val="en-US" w:eastAsia="zh-CN"/>
              </w:rPr>
              <w:t>新疆臻图工程测绘有限公司</w:t>
            </w:r>
            <w:r>
              <w:rPr>
                <w:rFonts w:hint="eastAsia" w:ascii="宋体" w:hAnsi="宋体" w:eastAsia="宋体" w:cs="Times New Roman"/>
                <w:color w:val="000000"/>
                <w:sz w:val="24"/>
                <w:highlight w:val="none"/>
              </w:rPr>
              <w:t>编制《</w:t>
            </w:r>
            <w:r>
              <w:rPr>
                <w:rFonts w:hint="eastAsia" w:ascii="宋体" w:hAnsi="宋体" w:eastAsia="宋体" w:cs="Times New Roman"/>
                <w:color w:val="000000"/>
                <w:sz w:val="24"/>
                <w:highlight w:val="none"/>
                <w:lang w:eastAsia="zh-CN"/>
              </w:rPr>
              <w:t>中交一公局集团有限公司G331线至三塘湖火车站道路建设项目临时用地</w:t>
            </w:r>
            <w:r>
              <w:rPr>
                <w:rFonts w:hint="eastAsia" w:ascii="宋体" w:hAnsi="宋体" w:eastAsia="宋体" w:cs="Times New Roman"/>
                <w:color w:val="000000"/>
                <w:sz w:val="24"/>
                <w:highlight w:val="none"/>
              </w:rPr>
              <w:t>土地复垦方案报告表》。</w:t>
            </w:r>
          </w:p>
          <w:p w14:paraId="7ADDF5D7">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接到委托后，我单位组织人员对现场进行实地踏勘，对项目区的土地利用现状与规划进行了调查，收集了相关的基础资料，并严格按照《土地复垦方案编制规程》（TD/T1031-2011）和《自然资源部关于规范临时用地管理的通知》（自然资规</w:t>
            </w:r>
            <w:r>
              <w:rPr>
                <w:rFonts w:hint="eastAsia" w:ascii="宋体" w:hAnsi="宋体" w:eastAsia="宋体" w:cs="Times New Roman"/>
                <w:color w:val="000000"/>
                <w:sz w:val="24"/>
                <w:highlight w:val="none"/>
                <w:lang w:eastAsia="zh-CN"/>
              </w:rPr>
              <w:t>〔2021〕</w:t>
            </w:r>
            <w:r>
              <w:rPr>
                <w:rFonts w:hint="eastAsia" w:ascii="宋体" w:hAnsi="宋体" w:eastAsia="宋体" w:cs="Times New Roman"/>
                <w:color w:val="000000"/>
                <w:sz w:val="24"/>
                <w:highlight w:val="none"/>
              </w:rPr>
              <w:t>2号）的相关规定，编制完成《</w:t>
            </w:r>
            <w:r>
              <w:rPr>
                <w:rFonts w:hint="eastAsia" w:ascii="宋体" w:hAnsi="宋体" w:eastAsia="宋体" w:cs="Times New Roman"/>
                <w:color w:val="000000"/>
                <w:sz w:val="24"/>
                <w:highlight w:val="none"/>
                <w:lang w:eastAsia="zh-CN"/>
              </w:rPr>
              <w:t>中交一公局集团有限公司G331线至三塘湖火车站道路建设项目临时用地</w:t>
            </w:r>
            <w:r>
              <w:rPr>
                <w:rFonts w:hint="eastAsia" w:ascii="宋体" w:hAnsi="宋体" w:eastAsia="宋体" w:cs="Times New Roman"/>
                <w:color w:val="000000"/>
                <w:sz w:val="24"/>
                <w:highlight w:val="none"/>
              </w:rPr>
              <w:t>土地复垦方案报告表》。</w:t>
            </w:r>
          </w:p>
          <w:p w14:paraId="2DC1170D">
            <w:pPr>
              <w:keepNext w:val="0"/>
              <w:keepLines w:val="0"/>
              <w:suppressLineNumbers w:val="0"/>
              <w:spacing w:before="0" w:beforeAutospacing="0" w:after="0" w:afterAutospacing="0" w:line="440" w:lineRule="exact"/>
              <w:ind w:left="0" w:right="0" w:firstLine="463" w:firstLineChars="192"/>
              <w:rPr>
                <w:rFonts w:ascii="Calibri" w:hAnsi="Calibri" w:eastAsia="宋体" w:cs="Times New Roman"/>
                <w:b/>
                <w:bCs/>
                <w:color w:val="000000"/>
                <w:sz w:val="24"/>
                <w:highlight w:val="none"/>
              </w:rPr>
            </w:pPr>
            <w:r>
              <w:rPr>
                <w:rFonts w:hint="eastAsia" w:ascii="Calibri" w:hAnsi="Calibri" w:eastAsia="宋体" w:cs="Times New Roman"/>
                <w:b/>
                <w:bCs/>
                <w:color w:val="000000"/>
                <w:sz w:val="24"/>
                <w:highlight w:val="none"/>
              </w:rPr>
              <w:t>二、编制总则</w:t>
            </w:r>
          </w:p>
          <w:p w14:paraId="026DC876">
            <w:pPr>
              <w:keepNext w:val="0"/>
              <w:keepLines w:val="0"/>
              <w:suppressLineNumbers w:val="0"/>
              <w:spacing w:before="0" w:beforeAutospacing="0" w:after="0" w:afterAutospacing="0" w:line="440" w:lineRule="exact"/>
              <w:ind w:left="0" w:right="0" w:firstLine="482" w:firstLineChars="200"/>
              <w:rPr>
                <w:rFonts w:ascii="宋体" w:hAnsi="宋体" w:eastAsia="宋体" w:cs="Times New Roman"/>
                <w:b/>
                <w:bCs/>
                <w:color w:val="000000"/>
                <w:sz w:val="24"/>
                <w:highlight w:val="none"/>
              </w:rPr>
            </w:pPr>
            <w:r>
              <w:rPr>
                <w:rFonts w:hint="eastAsia" w:ascii="宋体" w:hAnsi="宋体" w:eastAsia="宋体" w:cs="Times New Roman"/>
                <w:b/>
                <w:bCs/>
                <w:color w:val="000000"/>
                <w:sz w:val="24"/>
                <w:highlight w:val="none"/>
                <w:lang w:val="en-US" w:eastAsia="zh-CN"/>
              </w:rPr>
              <w:t>2.</w:t>
            </w:r>
            <w:r>
              <w:rPr>
                <w:rFonts w:hint="eastAsia" w:ascii="宋体" w:hAnsi="宋体" w:eastAsia="宋体" w:cs="Times New Roman"/>
                <w:b/>
                <w:bCs/>
                <w:color w:val="000000"/>
                <w:sz w:val="24"/>
                <w:highlight w:val="none"/>
              </w:rPr>
              <w:t>1编制目的</w:t>
            </w:r>
          </w:p>
          <w:p w14:paraId="3B7E5D5D">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按照“谁损毁、谁复垦”的土地复垦原则，依据《国土资源部关于贯彻实施〈土地复垦条例〉的通知》的要求，为了控制</w:t>
            </w:r>
            <w:r>
              <w:rPr>
                <w:rFonts w:hint="eastAsia" w:ascii="宋体" w:hAnsi="宋体" w:eastAsia="宋体" w:cs="Times New Roman"/>
                <w:color w:val="000000"/>
                <w:sz w:val="24"/>
                <w:highlight w:val="none"/>
                <w:lang w:eastAsia="zh-CN"/>
              </w:rPr>
              <w:t>中交一公局集团有限公司G331线至三塘湖火车站道路建设项目临时用地</w:t>
            </w:r>
            <w:r>
              <w:rPr>
                <w:rFonts w:hint="eastAsia" w:ascii="宋体" w:hAnsi="宋体" w:eastAsia="宋体" w:cs="Times New Roman"/>
                <w:color w:val="000000"/>
                <w:sz w:val="24"/>
                <w:highlight w:val="none"/>
              </w:rPr>
              <w:t>使用过程中对土地的不必要</w:t>
            </w:r>
            <w:r>
              <w:rPr>
                <w:rFonts w:hint="eastAsia" w:ascii="宋体" w:hAnsi="宋体" w:eastAsia="宋体" w:cs="Times New Roman"/>
                <w:color w:val="000000"/>
                <w:sz w:val="24"/>
                <w:highlight w:val="none"/>
                <w:lang w:val="en-US" w:eastAsia="zh-CN"/>
              </w:rPr>
              <w:t>损毁</w:t>
            </w:r>
            <w:r>
              <w:rPr>
                <w:rFonts w:hint="eastAsia" w:ascii="宋体" w:hAnsi="宋体" w:eastAsia="宋体" w:cs="Times New Roman"/>
                <w:color w:val="000000"/>
                <w:sz w:val="24"/>
                <w:highlight w:val="none"/>
              </w:rPr>
              <w:t>；使项目在实施中，</w:t>
            </w:r>
            <w:r>
              <w:rPr>
                <w:rFonts w:hint="eastAsia" w:ascii="宋体" w:hAnsi="宋体" w:eastAsia="宋体" w:cs="Times New Roman"/>
                <w:color w:val="000000"/>
                <w:sz w:val="24"/>
                <w:highlight w:val="none"/>
                <w:lang w:val="en-US" w:eastAsia="zh-CN"/>
              </w:rPr>
              <w:t>杜绝</w:t>
            </w:r>
            <w:r>
              <w:rPr>
                <w:rFonts w:hint="eastAsia" w:ascii="宋体" w:hAnsi="宋体" w:eastAsia="宋体" w:cs="Times New Roman"/>
                <w:color w:val="000000"/>
                <w:sz w:val="24"/>
                <w:highlight w:val="none"/>
              </w:rPr>
              <w:t>周边土地损毁面积，并保证损毁土地得到及时复垦；将建设单位的土地复垦目标、任务、措施和计划等落到实处，为土地复垦的实施管理、监督检查以及土地复垦费用的征收等提供依据，确保土地复垦工作落到实处，特编制本复垦方案。</w:t>
            </w:r>
          </w:p>
          <w:p w14:paraId="4EBDEC16">
            <w:pPr>
              <w:keepNext w:val="0"/>
              <w:keepLines w:val="0"/>
              <w:suppressLineNumbers w:val="0"/>
              <w:spacing w:before="0" w:beforeAutospacing="0" w:after="0" w:afterAutospacing="0" w:line="440" w:lineRule="exact"/>
              <w:ind w:left="0" w:right="0" w:firstLine="482" w:firstLineChars="200"/>
              <w:rPr>
                <w:rFonts w:ascii="宋体" w:hAnsi="宋体" w:eastAsia="宋体" w:cs="Times New Roman"/>
                <w:b/>
                <w:bCs/>
                <w:color w:val="000000"/>
                <w:sz w:val="24"/>
                <w:highlight w:val="none"/>
              </w:rPr>
            </w:pPr>
            <w:r>
              <w:rPr>
                <w:rFonts w:hint="eastAsia" w:ascii="宋体" w:hAnsi="宋体" w:eastAsia="宋体" w:cs="Times New Roman"/>
                <w:b/>
                <w:bCs/>
                <w:color w:val="000000"/>
                <w:sz w:val="24"/>
                <w:highlight w:val="none"/>
              </w:rPr>
              <w:t>2.</w:t>
            </w:r>
            <w:r>
              <w:rPr>
                <w:rFonts w:hint="eastAsia" w:ascii="宋体" w:hAnsi="宋体" w:eastAsia="宋体" w:cs="Times New Roman"/>
                <w:b/>
                <w:bCs/>
                <w:color w:val="000000"/>
                <w:sz w:val="24"/>
                <w:highlight w:val="none"/>
                <w:lang w:val="en-US" w:eastAsia="zh-CN"/>
              </w:rPr>
              <w:t>2</w:t>
            </w:r>
            <w:r>
              <w:rPr>
                <w:rFonts w:hint="eastAsia" w:ascii="宋体" w:hAnsi="宋体" w:eastAsia="宋体" w:cs="Times New Roman"/>
                <w:b/>
                <w:bCs/>
                <w:color w:val="000000"/>
                <w:sz w:val="24"/>
                <w:highlight w:val="none"/>
              </w:rPr>
              <w:t>编制原则</w:t>
            </w:r>
          </w:p>
          <w:p w14:paraId="2791FBBA">
            <w:pPr>
              <w:keepNext w:val="0"/>
              <w:keepLines w:val="0"/>
              <w:suppressLineNumbers w:val="0"/>
              <w:spacing w:before="0" w:beforeAutospacing="0" w:after="0" w:afterAutospacing="0" w:line="440" w:lineRule="exact"/>
              <w:ind w:left="0" w:right="0"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根据项目自然环境与社会经济发展情况，按照经济可行、技术合理、综合效益最佳、便于操作的要求，结合项目自身的特征，体现以下复垦原则：</w:t>
            </w:r>
          </w:p>
          <w:p w14:paraId="2F568ADC">
            <w:pPr>
              <w:keepNext w:val="0"/>
              <w:keepLines w:val="0"/>
              <w:suppressLineNumbers w:val="0"/>
              <w:spacing w:before="0" w:beforeAutospacing="0" w:after="0" w:afterAutospacing="0" w:line="440" w:lineRule="exact"/>
              <w:ind w:left="0" w:right="0"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——源头控制、预防与复垦相结合。严格按设计要求控制各施工场地用地面积，减少对植被的损毁，从源头上杜绝</w:t>
            </w:r>
            <w:r>
              <w:rPr>
                <w:rFonts w:hint="eastAsia" w:ascii="宋体" w:hAnsi="宋体" w:eastAsia="宋体" w:cs="Times New Roman"/>
                <w:color w:val="000000"/>
                <w:sz w:val="24"/>
                <w:highlight w:val="none"/>
              </w:rPr>
              <w:t>建设单位</w:t>
            </w:r>
            <w:r>
              <w:rPr>
                <w:rFonts w:ascii="宋体" w:hAnsi="宋体" w:eastAsia="宋体" w:cs="Times New Roman"/>
                <w:color w:val="000000"/>
                <w:sz w:val="24"/>
                <w:highlight w:val="none"/>
              </w:rPr>
              <w:t>乱占土地现象的发生，坚持预防为主、防治结合的原则，防患于未然，使土地损毁面积和损毁程度控制在最小范围和限度内，使项目区域生态环境得到明显改善；</w:t>
            </w:r>
          </w:p>
          <w:p w14:paraId="2845DE36">
            <w:pPr>
              <w:keepNext w:val="0"/>
              <w:keepLines w:val="0"/>
              <w:suppressLineNumbers w:val="0"/>
              <w:spacing w:before="0" w:beforeAutospacing="0" w:after="0" w:afterAutospacing="0" w:line="440" w:lineRule="exact"/>
              <w:ind w:left="0" w:right="0"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——统一规划，统筹安排。依据当地的土地利用总体规划，确定项目复垦区的土地复垦方向；</w:t>
            </w:r>
          </w:p>
          <w:p w14:paraId="0483B231">
            <w:pPr>
              <w:keepNext w:val="0"/>
              <w:keepLines w:val="0"/>
              <w:suppressLineNumbers w:val="0"/>
              <w:spacing w:before="0" w:beforeAutospacing="0" w:after="0" w:afterAutospacing="0" w:line="440" w:lineRule="exact"/>
              <w:ind w:left="0" w:right="0"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——因地制宜，综合利用。按照“因地制宜，综合利用”的原则，依据项目所在地的土地利用总体规划，合理确定复垦土地用途，因地制宜，宜农则农、宜林则林、宜牧则牧、宜建则建。</w:t>
            </w:r>
          </w:p>
          <w:p w14:paraId="6FABD233">
            <w:pPr>
              <w:keepNext w:val="0"/>
              <w:keepLines w:val="0"/>
              <w:suppressLineNumbers w:val="0"/>
              <w:spacing w:before="0" w:beforeAutospacing="0" w:after="0" w:afterAutospacing="0" w:line="440" w:lineRule="exact"/>
              <w:ind w:left="0" w:right="0"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——可操作性，综合效益最佳。复垦方案的工程措施要充分考虑项目区特性和工程投资情况，体现经济可行、技术科学合理、综合效益最佳、可操作性强的原则。</w:t>
            </w:r>
          </w:p>
          <w:p w14:paraId="12DE5F7D">
            <w:pPr>
              <w:keepNext w:val="0"/>
              <w:keepLines w:val="0"/>
              <w:suppressLineNumbers w:val="0"/>
              <w:spacing w:before="0" w:beforeAutospacing="0" w:after="0" w:afterAutospacing="0" w:line="440" w:lineRule="exact"/>
              <w:ind w:left="0" w:right="0" w:firstLine="482" w:firstLineChars="200"/>
              <w:rPr>
                <w:rFonts w:ascii="宋体" w:hAnsi="宋体" w:eastAsia="宋体" w:cs="Times New Roman"/>
                <w:b/>
                <w:bCs/>
                <w:color w:val="000000"/>
                <w:sz w:val="24"/>
                <w:highlight w:val="none"/>
              </w:rPr>
            </w:pPr>
            <w:r>
              <w:rPr>
                <w:rFonts w:hint="eastAsia" w:ascii="宋体" w:hAnsi="宋体" w:eastAsia="宋体" w:cs="Times New Roman"/>
                <w:b/>
                <w:bCs/>
                <w:color w:val="000000"/>
                <w:sz w:val="24"/>
                <w:highlight w:val="none"/>
                <w:lang w:val="en-US" w:eastAsia="zh-CN"/>
              </w:rPr>
              <w:t>2.</w:t>
            </w:r>
            <w:r>
              <w:rPr>
                <w:rFonts w:hint="eastAsia" w:ascii="宋体" w:hAnsi="宋体" w:eastAsia="宋体" w:cs="Times New Roman"/>
                <w:b/>
                <w:bCs/>
                <w:color w:val="000000"/>
                <w:sz w:val="24"/>
                <w:highlight w:val="none"/>
              </w:rPr>
              <w:t>3编制依据</w:t>
            </w:r>
          </w:p>
          <w:p w14:paraId="682C2ACB">
            <w:pPr>
              <w:keepNext w:val="0"/>
              <w:keepLines w:val="0"/>
              <w:suppressLineNumbers w:val="0"/>
              <w:spacing w:before="0" w:beforeAutospacing="0" w:after="0" w:afterAutospacing="0" w:line="440" w:lineRule="exact"/>
              <w:ind w:left="0" w:right="0" w:firstLine="463" w:firstLineChars="192"/>
              <w:jc w:val="left"/>
              <w:rPr>
                <w:rFonts w:ascii="宋体" w:hAnsi="宋体" w:eastAsia="宋体" w:cs="Times New Roman"/>
                <w:b/>
                <w:bCs/>
                <w:color w:val="000000"/>
                <w:sz w:val="24"/>
                <w:highlight w:val="none"/>
              </w:rPr>
            </w:pPr>
            <w:r>
              <w:rPr>
                <w:rFonts w:hint="eastAsia" w:ascii="宋体" w:hAnsi="宋体" w:eastAsia="宋体" w:cs="Times New Roman"/>
                <w:b/>
                <w:bCs/>
                <w:color w:val="000000"/>
                <w:sz w:val="24"/>
                <w:highlight w:val="none"/>
                <w:lang w:val="en-US" w:eastAsia="zh-CN"/>
              </w:rPr>
              <w:t>2.</w:t>
            </w:r>
            <w:r>
              <w:rPr>
                <w:rFonts w:hint="eastAsia" w:ascii="宋体" w:hAnsi="宋体" w:eastAsia="宋体" w:cs="Times New Roman"/>
                <w:b/>
                <w:bCs/>
                <w:color w:val="000000"/>
                <w:sz w:val="24"/>
                <w:highlight w:val="none"/>
              </w:rPr>
              <w:t>3.1</w:t>
            </w:r>
            <w:r>
              <w:rPr>
                <w:rFonts w:hint="eastAsia" w:ascii="宋体" w:hAnsi="宋体" w:eastAsia="宋体" w:cs="Times New Roman"/>
                <w:b/>
                <w:bCs/>
                <w:color w:val="000000"/>
                <w:sz w:val="24"/>
                <w:highlight w:val="none"/>
                <w:lang w:eastAsia="zh-CN"/>
              </w:rPr>
              <w:t>法律法规</w:t>
            </w:r>
          </w:p>
          <w:p w14:paraId="4A4F212F">
            <w:pPr>
              <w:keepNext w:val="0"/>
              <w:keepLines w:val="0"/>
              <w:suppressLineNumbers w:val="0"/>
              <w:spacing w:before="0" w:beforeAutospacing="0" w:after="0" w:afterAutospacing="0" w:line="440" w:lineRule="exact"/>
              <w:ind w:left="0" w:right="0" w:firstLine="460" w:firstLineChars="192"/>
              <w:jc w:val="left"/>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1）《中华人民共和国土地管理法》（2019年8月26日第十三届全国人民代表大会常务委员会第十二次会议第三次修正，2020年1月1日</w:t>
            </w:r>
            <w:r>
              <w:rPr>
                <w:rFonts w:hint="eastAsia" w:ascii="宋体" w:hAnsi="宋体" w:cs="Times New Roman"/>
                <w:color w:val="000000"/>
                <w:sz w:val="24"/>
                <w:highlight w:val="none"/>
                <w:lang w:val="en-US" w:eastAsia="zh-CN"/>
              </w:rPr>
              <w:t>起</w:t>
            </w:r>
            <w:r>
              <w:rPr>
                <w:rFonts w:hint="eastAsia" w:ascii="宋体" w:hAnsi="宋体" w:eastAsia="宋体" w:cs="Times New Roman"/>
                <w:color w:val="000000"/>
                <w:sz w:val="24"/>
                <w:highlight w:val="none"/>
              </w:rPr>
              <w:t>施行）；</w:t>
            </w:r>
          </w:p>
          <w:p w14:paraId="568BD4F5">
            <w:pPr>
              <w:keepNext w:val="0"/>
              <w:keepLines w:val="0"/>
              <w:suppressLineNumbers w:val="0"/>
              <w:spacing w:before="0" w:beforeAutospacing="0" w:after="0" w:afterAutospacing="0" w:line="440" w:lineRule="exact"/>
              <w:ind w:left="0" w:right="0" w:firstLine="460" w:firstLineChars="192"/>
              <w:jc w:val="left"/>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2</w:t>
            </w:r>
            <w:r>
              <w:rPr>
                <w:rFonts w:hint="eastAsia" w:ascii="宋体" w:hAnsi="宋体" w:eastAsia="宋体" w:cs="Times New Roman"/>
                <w:color w:val="000000"/>
                <w:sz w:val="24"/>
                <w:highlight w:val="none"/>
              </w:rPr>
              <w:t>）《中华人民共和国水土保持法》（2010年12月25日第十一届全国人民代表大会常务委员会第十八次会议修订，自2011年3月1日起施行）；</w:t>
            </w:r>
          </w:p>
          <w:p w14:paraId="0CE4AE03">
            <w:pPr>
              <w:keepNext w:val="0"/>
              <w:keepLines w:val="0"/>
              <w:suppressLineNumbers w:val="0"/>
              <w:spacing w:before="0" w:beforeAutospacing="0" w:after="0" w:afterAutospacing="0" w:line="440" w:lineRule="exact"/>
              <w:ind w:left="0" w:right="0" w:firstLine="460" w:firstLineChars="192"/>
              <w:jc w:val="left"/>
              <w:rPr>
                <w:rFonts w:hint="eastAsia" w:ascii="宋体" w:hAnsi="宋体" w:eastAsia="宋体" w:cs="Times New Roman"/>
                <w:color w:val="000000"/>
                <w:sz w:val="24"/>
                <w:highlight w:val="none"/>
              </w:rPr>
            </w:pPr>
            <w:r>
              <w:rPr>
                <w:rFonts w:hint="eastAsia" w:ascii="宋体" w:hAnsi="宋体" w:cs="Times New Roman"/>
                <w:color w:val="000000"/>
                <w:sz w:val="24"/>
                <w:highlight w:val="none"/>
                <w:lang w:val="en-US" w:eastAsia="zh-CN"/>
              </w:rPr>
              <w:t>3</w:t>
            </w:r>
            <w:r>
              <w:rPr>
                <w:rFonts w:hint="eastAsia" w:ascii="宋体" w:hAnsi="宋体" w:eastAsia="宋体" w:cs="Times New Roman"/>
                <w:color w:val="000000"/>
                <w:sz w:val="24"/>
                <w:highlight w:val="none"/>
              </w:rPr>
              <w:t>）《中华人民共和国环境保护法》（2014年4月24日第十二届全国人民</w:t>
            </w:r>
            <w:r>
              <w:rPr>
                <w:rFonts w:hint="eastAsia" w:ascii="宋体" w:hAnsi="宋体" w:eastAsia="宋体" w:cs="Times New Roman"/>
                <w:color w:val="000000"/>
                <w:sz w:val="24"/>
                <w:highlight w:val="none"/>
                <w:lang w:val="en-US" w:eastAsia="zh-CN"/>
              </w:rPr>
              <w:t>代表</w:t>
            </w:r>
            <w:r>
              <w:rPr>
                <w:rFonts w:hint="eastAsia" w:ascii="宋体" w:hAnsi="宋体" w:eastAsia="宋体" w:cs="Times New Roman"/>
                <w:color w:val="000000"/>
                <w:sz w:val="24"/>
                <w:highlight w:val="none"/>
              </w:rPr>
              <w:t>大会常务委员会第八次会议修订，自2015年1月1日起施行）；</w:t>
            </w:r>
          </w:p>
          <w:p w14:paraId="17A61171">
            <w:pPr>
              <w:keepNext w:val="0"/>
              <w:keepLines w:val="0"/>
              <w:suppressLineNumbers w:val="0"/>
              <w:spacing w:before="0" w:beforeAutospacing="0" w:after="0" w:afterAutospacing="0" w:line="440" w:lineRule="exact"/>
              <w:ind w:left="0" w:right="0" w:firstLine="460" w:firstLineChars="192"/>
              <w:jc w:val="left"/>
              <w:rPr>
                <w:rFonts w:hint="eastAsia" w:ascii="宋体" w:hAnsi="宋体" w:eastAsia="宋体" w:cs="Times New Roman"/>
                <w:color w:val="000000"/>
                <w:sz w:val="24"/>
                <w:highlight w:val="none"/>
              </w:rPr>
            </w:pPr>
            <w:r>
              <w:rPr>
                <w:rFonts w:hint="eastAsia" w:ascii="宋体" w:hAnsi="宋体" w:cs="Times New Roman"/>
                <w:color w:val="000000"/>
                <w:sz w:val="24"/>
                <w:highlight w:val="none"/>
                <w:lang w:val="en-US" w:eastAsia="zh-CN"/>
              </w:rPr>
              <w:t>4</w:t>
            </w:r>
            <w:r>
              <w:rPr>
                <w:rFonts w:hint="eastAsia" w:ascii="宋体" w:hAnsi="宋体" w:eastAsia="宋体" w:cs="Times New Roman"/>
                <w:color w:val="000000"/>
                <w:sz w:val="24"/>
                <w:highlight w:val="none"/>
              </w:rPr>
              <w:t>）《中华人民共和国土壤污染防治法》（2018年8月31日第十三届全国人民代表大会常务委员会第五次会议通过，2019年1月1日起施行）；</w:t>
            </w:r>
          </w:p>
          <w:p w14:paraId="644EFC4B">
            <w:pPr>
              <w:keepNext w:val="0"/>
              <w:keepLines w:val="0"/>
              <w:suppressLineNumbers w:val="0"/>
              <w:spacing w:before="0" w:beforeAutospacing="0" w:after="0" w:afterAutospacing="0" w:line="440" w:lineRule="exact"/>
              <w:ind w:left="0" w:right="0" w:firstLine="460" w:firstLineChars="192"/>
              <w:jc w:val="left"/>
              <w:rPr>
                <w:rFonts w:hint="eastAsia" w:ascii="宋体" w:hAnsi="宋体" w:eastAsia="宋体" w:cs="Times New Roman"/>
                <w:color w:val="000000"/>
                <w:sz w:val="24"/>
                <w:highlight w:val="none"/>
              </w:rPr>
            </w:pPr>
            <w:r>
              <w:rPr>
                <w:rFonts w:hint="eastAsia" w:ascii="宋体" w:hAnsi="宋体" w:cs="Times New Roman"/>
                <w:color w:val="000000"/>
                <w:sz w:val="24"/>
                <w:highlight w:val="none"/>
                <w:lang w:val="en-US" w:eastAsia="zh-CN"/>
              </w:rPr>
              <w:t>5</w:t>
            </w:r>
            <w:r>
              <w:rPr>
                <w:rFonts w:hint="eastAsia" w:ascii="宋体" w:hAnsi="宋体" w:eastAsia="宋体" w:cs="Times New Roman"/>
                <w:color w:val="000000"/>
                <w:sz w:val="24"/>
                <w:highlight w:val="none"/>
              </w:rPr>
              <w:t>）《中华人民共和国土地管理法实施条例》（中华人民共和国国务院令第743号第三次修订，2021年9月1日起施行）；</w:t>
            </w:r>
          </w:p>
          <w:p w14:paraId="4AB13329">
            <w:pPr>
              <w:keepNext w:val="0"/>
              <w:keepLines w:val="0"/>
              <w:suppressLineNumbers w:val="0"/>
              <w:spacing w:before="0" w:beforeAutospacing="0" w:after="0" w:afterAutospacing="0" w:line="440" w:lineRule="exact"/>
              <w:ind w:left="0" w:right="0" w:firstLine="460" w:firstLineChars="192"/>
              <w:jc w:val="left"/>
              <w:rPr>
                <w:rFonts w:hint="eastAsia" w:ascii="宋体" w:hAnsi="宋体" w:eastAsia="宋体" w:cs="Times New Roman"/>
                <w:color w:val="000000"/>
                <w:sz w:val="24"/>
                <w:highlight w:val="none"/>
              </w:rPr>
            </w:pPr>
            <w:r>
              <w:rPr>
                <w:rFonts w:hint="eastAsia" w:ascii="宋体" w:hAnsi="宋体" w:cs="Times New Roman"/>
                <w:color w:val="000000"/>
                <w:sz w:val="24"/>
                <w:highlight w:val="none"/>
                <w:lang w:val="en-US" w:eastAsia="zh-CN"/>
              </w:rPr>
              <w:t>6</w:t>
            </w:r>
            <w:r>
              <w:rPr>
                <w:rFonts w:hint="eastAsia" w:ascii="宋体" w:hAnsi="宋体" w:eastAsia="宋体" w:cs="Times New Roman"/>
                <w:color w:val="000000"/>
                <w:sz w:val="24"/>
                <w:highlight w:val="none"/>
              </w:rPr>
              <w:t>）《建设项目环境保护管理条例》（2017年6月21日国务院第177次常务会议通过修改，自2017年10月1日起施行）；</w:t>
            </w:r>
          </w:p>
          <w:p w14:paraId="3F8165A2">
            <w:pPr>
              <w:keepNext w:val="0"/>
              <w:keepLines w:val="0"/>
              <w:suppressLineNumbers w:val="0"/>
              <w:spacing w:before="0" w:beforeAutospacing="0" w:after="0" w:afterAutospacing="0" w:line="440" w:lineRule="exact"/>
              <w:ind w:left="0" w:right="0" w:firstLine="460" w:firstLineChars="192"/>
              <w:jc w:val="left"/>
              <w:rPr>
                <w:rFonts w:hint="eastAsia" w:ascii="宋体" w:hAnsi="宋体" w:eastAsia="宋体" w:cs="Times New Roman"/>
                <w:color w:val="000000"/>
                <w:sz w:val="24"/>
                <w:highlight w:val="none"/>
              </w:rPr>
            </w:pPr>
            <w:r>
              <w:rPr>
                <w:rFonts w:hint="eastAsia" w:ascii="宋体" w:hAnsi="宋体" w:cs="Times New Roman"/>
                <w:color w:val="000000"/>
                <w:sz w:val="24"/>
                <w:highlight w:val="none"/>
                <w:lang w:val="en-US" w:eastAsia="zh-CN"/>
              </w:rPr>
              <w:t>7</w:t>
            </w:r>
            <w:r>
              <w:rPr>
                <w:rFonts w:hint="eastAsia" w:ascii="宋体" w:hAnsi="宋体" w:eastAsia="宋体" w:cs="Times New Roman"/>
                <w:color w:val="000000"/>
                <w:sz w:val="24"/>
                <w:highlight w:val="none"/>
              </w:rPr>
              <w:t>）《新疆维吾尔自治区环境保护条例》（2018年9月21日新疆维吾尔自治区第十三届人民代表大会常务委员会第六次会议修正）；</w:t>
            </w:r>
          </w:p>
          <w:p w14:paraId="500222AB">
            <w:pPr>
              <w:keepNext w:val="0"/>
              <w:keepLines w:val="0"/>
              <w:suppressLineNumbers w:val="0"/>
              <w:spacing w:before="0" w:beforeAutospacing="0" w:after="0" w:afterAutospacing="0" w:line="440" w:lineRule="exact"/>
              <w:ind w:left="0" w:right="0" w:firstLine="460" w:firstLineChars="192"/>
              <w:jc w:val="left"/>
              <w:rPr>
                <w:rFonts w:hint="eastAsia" w:ascii="宋体" w:hAnsi="宋体" w:eastAsia="宋体" w:cs="Times New Roman"/>
                <w:color w:val="000000"/>
                <w:sz w:val="24"/>
                <w:highlight w:val="none"/>
              </w:rPr>
            </w:pPr>
            <w:r>
              <w:rPr>
                <w:rFonts w:hint="eastAsia" w:ascii="宋体" w:hAnsi="宋体" w:cs="Times New Roman"/>
                <w:color w:val="000000"/>
                <w:sz w:val="24"/>
                <w:highlight w:val="none"/>
                <w:lang w:val="en-US" w:eastAsia="zh-CN"/>
              </w:rPr>
              <w:t>8</w:t>
            </w:r>
            <w:r>
              <w:rPr>
                <w:rFonts w:hint="eastAsia" w:ascii="宋体" w:hAnsi="宋体" w:eastAsia="宋体" w:cs="Times New Roman"/>
                <w:color w:val="000000"/>
                <w:sz w:val="24"/>
                <w:highlight w:val="none"/>
              </w:rPr>
              <w:t>）《土地复垦</w:t>
            </w:r>
            <w:bookmarkStart w:id="0" w:name="_GoBack"/>
            <w:bookmarkEnd w:id="0"/>
            <w:r>
              <w:rPr>
                <w:rFonts w:hint="eastAsia" w:ascii="宋体" w:hAnsi="宋体" w:eastAsia="宋体" w:cs="Times New Roman"/>
                <w:color w:val="000000"/>
                <w:sz w:val="24"/>
                <w:highlight w:val="none"/>
              </w:rPr>
              <w:t>条例实施办法》（2019年7月16日自然资源部第二次部务会议修正）；</w:t>
            </w:r>
          </w:p>
          <w:p w14:paraId="097BE450">
            <w:pPr>
              <w:keepNext w:val="0"/>
              <w:keepLines w:val="0"/>
              <w:suppressLineNumbers w:val="0"/>
              <w:spacing w:before="0" w:beforeAutospacing="0" w:after="0" w:afterAutospacing="0" w:line="440" w:lineRule="exact"/>
              <w:ind w:left="0" w:right="0" w:firstLine="463" w:firstLineChars="192"/>
              <w:jc w:val="left"/>
              <w:rPr>
                <w:rFonts w:ascii="宋体" w:hAnsi="宋体" w:eastAsia="宋体" w:cs="Times New Roman"/>
                <w:b/>
                <w:bCs/>
                <w:color w:val="000000"/>
                <w:sz w:val="24"/>
                <w:highlight w:val="none"/>
              </w:rPr>
            </w:pPr>
            <w:r>
              <w:rPr>
                <w:rFonts w:hint="eastAsia" w:ascii="宋体" w:hAnsi="宋体" w:eastAsia="宋体" w:cs="Times New Roman"/>
                <w:b/>
                <w:bCs/>
                <w:color w:val="000000"/>
                <w:sz w:val="24"/>
                <w:highlight w:val="none"/>
                <w:lang w:val="en-US" w:eastAsia="zh-CN"/>
              </w:rPr>
              <w:t>2.</w:t>
            </w:r>
            <w:r>
              <w:rPr>
                <w:rFonts w:hint="eastAsia" w:ascii="宋体" w:hAnsi="宋体" w:eastAsia="宋体" w:cs="Times New Roman"/>
                <w:b/>
                <w:bCs/>
                <w:color w:val="000000"/>
                <w:sz w:val="24"/>
                <w:highlight w:val="none"/>
              </w:rPr>
              <w:t>3.2政策文件</w:t>
            </w:r>
          </w:p>
          <w:p w14:paraId="6BA78DDC">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1)《关于进一步加强土地整理复垦开发工作的通知》（国土资函</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2008</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176号）；</w:t>
            </w:r>
          </w:p>
          <w:p w14:paraId="24C897FE">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2)《国土资源部关于贯彻实施〈土地复垦条例〉的通知》（国土资发</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2011</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50号）；</w:t>
            </w:r>
          </w:p>
          <w:p w14:paraId="58FCD96D">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3)《关于落实国土资源部贯彻实施〈土地复垦条例〉的通知》（新国土资发</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2011</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421号）；</w:t>
            </w:r>
          </w:p>
          <w:p w14:paraId="147551A0">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4)《财政部、国土资源部关于印发土地开发整理项目预算定额标准的通知》（财综[2011]128号）；</w:t>
            </w:r>
          </w:p>
          <w:p w14:paraId="225A222E">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5)《关于深化增值税改革有关政策的公告》</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财政部税务总局海关总署公告2019年第39号</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w:t>
            </w:r>
          </w:p>
          <w:p w14:paraId="6D315410">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6</w:t>
            </w:r>
            <w:r>
              <w:rPr>
                <w:rFonts w:hint="eastAsia" w:ascii="宋体" w:hAnsi="宋体" w:eastAsia="宋体" w:cs="Times New Roman"/>
                <w:color w:val="000000"/>
                <w:sz w:val="24"/>
                <w:highlight w:val="none"/>
              </w:rPr>
              <w:t>)《自然资源部关于规范临时用地管理的通知》（自然资规</w:t>
            </w:r>
            <w:r>
              <w:rPr>
                <w:rFonts w:hint="eastAsia" w:ascii="宋体" w:hAnsi="宋体" w:eastAsia="宋体" w:cs="Times New Roman"/>
                <w:color w:val="000000"/>
                <w:sz w:val="24"/>
                <w:highlight w:val="none"/>
                <w:lang w:eastAsia="zh-CN"/>
              </w:rPr>
              <w:t>〔2021〕</w:t>
            </w:r>
            <w:r>
              <w:rPr>
                <w:rFonts w:hint="eastAsia" w:ascii="宋体" w:hAnsi="宋体" w:eastAsia="宋体" w:cs="Times New Roman"/>
                <w:color w:val="000000"/>
                <w:sz w:val="24"/>
                <w:highlight w:val="none"/>
              </w:rPr>
              <w:t>2号）；</w:t>
            </w:r>
          </w:p>
          <w:p w14:paraId="7F032E03">
            <w:pPr>
              <w:keepNext w:val="0"/>
              <w:keepLines w:val="0"/>
              <w:suppressLineNumbers w:val="0"/>
              <w:spacing w:before="0" w:beforeAutospacing="0" w:after="0" w:afterAutospacing="0" w:line="440" w:lineRule="exact"/>
              <w:ind w:left="0" w:right="0" w:firstLine="480" w:firstLineChars="200"/>
              <w:rPr>
                <w:rFonts w:hint="eastAsia" w:ascii="Calibri" w:hAnsi="Calibri" w:eastAsia="宋体" w:cs="Times New Roman"/>
                <w:color w:val="000000"/>
                <w:highlight w:val="none"/>
              </w:rPr>
            </w:pPr>
            <w:r>
              <w:rPr>
                <w:rFonts w:hint="eastAsia" w:ascii="宋体" w:hAnsi="宋体" w:eastAsia="宋体" w:cs="Times New Roman"/>
                <w:color w:val="000000"/>
                <w:sz w:val="24"/>
                <w:highlight w:val="none"/>
                <w:lang w:val="en-US" w:eastAsia="zh-CN"/>
              </w:rPr>
              <w:t>7</w:t>
            </w:r>
            <w:r>
              <w:rPr>
                <w:rFonts w:hint="eastAsia" w:ascii="宋体" w:hAnsi="宋体" w:eastAsia="宋体" w:cs="Times New Roman"/>
                <w:color w:val="000000"/>
                <w:sz w:val="24"/>
                <w:highlight w:val="none"/>
              </w:rPr>
              <w:t>)《自然资源部办公厅关于印发国土空间规划、用途管制用地用海分类指南》（自然资发</w:t>
            </w:r>
            <w:r>
              <w:rPr>
                <w:rFonts w:hint="eastAsia" w:ascii="宋体" w:hAnsi="宋体" w:eastAsia="宋体" w:cs="Times New Roman"/>
                <w:color w:val="000000"/>
                <w:sz w:val="24"/>
                <w:highlight w:val="none"/>
                <w:lang w:eastAsia="zh-CN"/>
              </w:rPr>
              <w:t>〔202</w:t>
            </w:r>
            <w:r>
              <w:rPr>
                <w:rFonts w:hint="eastAsia" w:ascii="宋体" w:hAnsi="宋体" w:eastAsia="宋体" w:cs="Times New Roman"/>
                <w:color w:val="000000"/>
                <w:sz w:val="24"/>
                <w:highlight w:val="none"/>
                <w:lang w:val="en-US" w:eastAsia="zh-CN"/>
              </w:rPr>
              <w:t>3</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lang w:val="en-US" w:eastAsia="zh-CN"/>
              </w:rPr>
              <w:t>234</w:t>
            </w:r>
            <w:r>
              <w:rPr>
                <w:rFonts w:hint="eastAsia" w:ascii="宋体" w:hAnsi="宋体" w:eastAsia="宋体" w:cs="Times New Roman"/>
                <w:color w:val="000000"/>
                <w:sz w:val="24"/>
                <w:highlight w:val="none"/>
              </w:rPr>
              <w:t>号）；</w:t>
            </w:r>
          </w:p>
          <w:p w14:paraId="19E878E2">
            <w:pPr>
              <w:keepNext w:val="0"/>
              <w:keepLines w:val="0"/>
              <w:suppressLineNumbers w:val="0"/>
              <w:spacing w:before="0" w:beforeAutospacing="0" w:after="0" w:afterAutospacing="0" w:line="440" w:lineRule="exact"/>
              <w:ind w:left="0" w:right="0" w:firstLine="463" w:firstLineChars="192"/>
              <w:jc w:val="left"/>
              <w:rPr>
                <w:rFonts w:ascii="宋体" w:hAnsi="宋体" w:eastAsia="宋体" w:cs="Times New Roman"/>
                <w:b/>
                <w:bCs/>
                <w:color w:val="000000"/>
                <w:sz w:val="24"/>
                <w:highlight w:val="none"/>
              </w:rPr>
            </w:pPr>
            <w:r>
              <w:rPr>
                <w:rFonts w:hint="eastAsia" w:ascii="宋体" w:hAnsi="宋体" w:eastAsia="宋体" w:cs="Times New Roman"/>
                <w:b/>
                <w:bCs/>
                <w:color w:val="000000"/>
                <w:sz w:val="24"/>
                <w:highlight w:val="none"/>
                <w:lang w:val="en-US" w:eastAsia="zh-CN"/>
              </w:rPr>
              <w:t>2.</w:t>
            </w:r>
            <w:r>
              <w:rPr>
                <w:rFonts w:hint="eastAsia" w:ascii="宋体" w:hAnsi="宋体" w:eastAsia="宋体" w:cs="Times New Roman"/>
                <w:b/>
                <w:bCs/>
                <w:color w:val="000000"/>
                <w:sz w:val="24"/>
                <w:highlight w:val="none"/>
              </w:rPr>
              <w:t>3.3标准规范</w:t>
            </w:r>
          </w:p>
          <w:p w14:paraId="7B45BDCA">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1)《土地复垦方案编制规程第1部分：通则》（TD/T103.1–2011）；</w:t>
            </w:r>
          </w:p>
          <w:p w14:paraId="4B380547">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2)《土地复垦方案编制规程第6部分：建设项目》（TD/T103.6–2011）；</w:t>
            </w:r>
          </w:p>
          <w:p w14:paraId="603C46E4">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3</w:t>
            </w:r>
            <w:r>
              <w:rPr>
                <w:rFonts w:hint="eastAsia" w:ascii="宋体" w:hAnsi="宋体" w:eastAsia="宋体" w:cs="Times New Roman"/>
                <w:color w:val="000000"/>
                <w:sz w:val="24"/>
                <w:highlight w:val="none"/>
              </w:rPr>
              <w:t>)《第三次全国土地调查技术规程》（TD/T1055-2019）；</w:t>
            </w:r>
          </w:p>
          <w:p w14:paraId="228499EF">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4</w:t>
            </w:r>
            <w:r>
              <w:rPr>
                <w:rFonts w:hint="eastAsia" w:ascii="宋体" w:hAnsi="宋体" w:eastAsia="宋体" w:cs="Times New Roman"/>
                <w:color w:val="000000"/>
                <w:sz w:val="24"/>
                <w:highlight w:val="none"/>
              </w:rPr>
              <w:t>)《生产项目土地复垦验收规程》（TD/T1044-2014）</w:t>
            </w:r>
          </w:p>
          <w:p w14:paraId="7908FD73">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5</w:t>
            </w:r>
            <w:r>
              <w:rPr>
                <w:rFonts w:hint="eastAsia" w:ascii="宋体" w:hAnsi="宋体" w:eastAsia="宋体" w:cs="Times New Roman"/>
                <w:color w:val="000000"/>
                <w:sz w:val="24"/>
                <w:highlight w:val="none"/>
              </w:rPr>
              <w:t>)《土地复垦质量控制标准》（TD/T1036-2013）；</w:t>
            </w:r>
          </w:p>
          <w:p w14:paraId="58BD4128">
            <w:pPr>
              <w:keepNext w:val="0"/>
              <w:keepLines w:val="0"/>
              <w:suppressLineNumbers w:val="0"/>
              <w:spacing w:before="0" w:beforeAutospacing="0" w:after="0" w:afterAutospacing="0" w:line="440" w:lineRule="exact"/>
              <w:ind w:left="0" w:right="0" w:firstLine="463" w:firstLineChars="192"/>
              <w:jc w:val="left"/>
              <w:rPr>
                <w:rFonts w:hint="eastAsia" w:ascii="宋体" w:hAnsi="宋体" w:eastAsia="宋体" w:cs="Times New Roman"/>
                <w:color w:val="000000"/>
                <w:sz w:val="24"/>
                <w:highlight w:val="none"/>
              </w:rPr>
            </w:pPr>
            <w:r>
              <w:rPr>
                <w:rFonts w:hint="eastAsia" w:ascii="宋体" w:hAnsi="宋体" w:eastAsia="宋体" w:cs="Times New Roman"/>
                <w:b/>
                <w:bCs/>
                <w:color w:val="000000"/>
                <w:sz w:val="24"/>
                <w:highlight w:val="none"/>
                <w:lang w:val="en-US" w:eastAsia="zh-CN"/>
              </w:rPr>
              <w:t>2.</w:t>
            </w:r>
            <w:r>
              <w:rPr>
                <w:rFonts w:hint="eastAsia" w:ascii="宋体" w:hAnsi="宋体" w:eastAsia="宋体" w:cs="Times New Roman"/>
                <w:b/>
                <w:bCs/>
                <w:color w:val="000000"/>
                <w:sz w:val="24"/>
                <w:highlight w:val="none"/>
              </w:rPr>
              <w:t>3.4技术文件</w:t>
            </w:r>
          </w:p>
          <w:p w14:paraId="7E1D6D06">
            <w:pPr>
              <w:keepNext w:val="0"/>
              <w:keepLines w:val="0"/>
              <w:suppressLineNumbers w:val="0"/>
              <w:spacing w:before="0" w:beforeAutospacing="0" w:after="0" w:afterAutospacing="0" w:line="360" w:lineRule="auto"/>
              <w:ind w:left="0" w:right="0" w:firstLine="480" w:firstLineChars="200"/>
              <w:rPr>
                <w:rFonts w:hint="eastAsia" w:ascii="Calibri" w:hAnsi="Calibri" w:eastAsia="宋体" w:cs="Times New Roman"/>
                <w:color w:val="000000"/>
                <w:highlight w:val="none"/>
              </w:rPr>
            </w:pPr>
            <w:r>
              <w:rPr>
                <w:rFonts w:hint="eastAsia" w:ascii="宋体" w:hAnsi="宋体" w:eastAsia="宋体" w:cs="Times New Roman"/>
                <w:color w:val="000000"/>
                <w:sz w:val="24"/>
                <w:highlight w:val="none"/>
                <w:lang w:val="en-US" w:eastAsia="zh-CN"/>
              </w:rPr>
              <w:t>1</w:t>
            </w:r>
            <w:r>
              <w:rPr>
                <w:rFonts w:hint="eastAsia" w:ascii="宋体" w:hAnsi="宋体" w:eastAsia="宋体" w:cs="Times New Roman"/>
                <w:color w:val="000000"/>
                <w:sz w:val="24"/>
                <w:highlight w:val="none"/>
              </w:rPr>
              <w:t>)202</w:t>
            </w:r>
            <w:r>
              <w:rPr>
                <w:rFonts w:hint="eastAsia" w:ascii="宋体" w:hAnsi="宋体" w:eastAsia="宋体" w:cs="Times New Roman"/>
                <w:color w:val="000000"/>
                <w:sz w:val="24"/>
                <w:highlight w:val="none"/>
                <w:lang w:val="en-US" w:eastAsia="zh-CN"/>
              </w:rPr>
              <w:t>4</w:t>
            </w:r>
            <w:r>
              <w:rPr>
                <w:rFonts w:hint="eastAsia" w:ascii="宋体" w:hAnsi="宋体" w:eastAsia="宋体" w:cs="Times New Roman"/>
                <w:color w:val="000000"/>
                <w:sz w:val="24"/>
                <w:highlight w:val="none"/>
              </w:rPr>
              <w:t>年</w:t>
            </w:r>
            <w:r>
              <w:rPr>
                <w:rFonts w:hint="eastAsia" w:ascii="宋体" w:hAnsi="宋体" w:eastAsia="宋体" w:cs="Times New Roman"/>
                <w:color w:val="000000"/>
                <w:sz w:val="24"/>
                <w:highlight w:val="none"/>
                <w:lang w:val="en-US" w:eastAsia="zh-CN"/>
              </w:rPr>
              <w:t>12</w:t>
            </w:r>
            <w:r>
              <w:rPr>
                <w:rFonts w:hint="eastAsia" w:ascii="宋体" w:hAnsi="宋体" w:eastAsia="宋体" w:cs="Times New Roman"/>
                <w:color w:val="000000"/>
                <w:sz w:val="24"/>
                <w:highlight w:val="none"/>
              </w:rPr>
              <w:t>月，由</w:t>
            </w:r>
            <w:r>
              <w:rPr>
                <w:rFonts w:hint="eastAsia" w:ascii="宋体" w:hAnsi="宋体" w:eastAsia="宋体" w:cs="Times New Roman"/>
                <w:color w:val="000000"/>
                <w:sz w:val="24"/>
                <w:highlight w:val="none"/>
                <w:lang w:eastAsia="zh-CN"/>
              </w:rPr>
              <w:t>新疆臻图工程测绘有限公司</w:t>
            </w:r>
            <w:r>
              <w:rPr>
                <w:rFonts w:hint="eastAsia" w:ascii="宋体" w:hAnsi="宋体" w:eastAsia="宋体" w:cs="Times New Roman"/>
                <w:color w:val="000000"/>
                <w:sz w:val="24"/>
                <w:highlight w:val="none"/>
              </w:rPr>
              <w:t>编制的《</w:t>
            </w:r>
            <w:r>
              <w:rPr>
                <w:rFonts w:hint="eastAsia" w:ascii="宋体" w:hAnsi="宋体" w:eastAsia="宋体" w:cs="Times New Roman"/>
                <w:color w:val="000000"/>
                <w:sz w:val="24"/>
                <w:highlight w:val="none"/>
                <w:lang w:eastAsia="zh-CN"/>
              </w:rPr>
              <w:t>中交一公局集团有限公司G331线至三塘湖火车站道路建设项目临时用地勘测定界</w:t>
            </w:r>
            <w:r>
              <w:rPr>
                <w:rFonts w:hint="eastAsia" w:ascii="宋体" w:hAnsi="宋体" w:eastAsia="宋体" w:cs="Times New Roman"/>
                <w:color w:val="000000"/>
                <w:sz w:val="24"/>
                <w:highlight w:val="none"/>
                <w:lang w:val="en-US" w:eastAsia="zh-CN"/>
              </w:rPr>
              <w:t>技术报告书</w:t>
            </w:r>
            <w:r>
              <w:rPr>
                <w:rFonts w:hint="eastAsia" w:ascii="宋体" w:hAnsi="宋体" w:eastAsia="宋体" w:cs="Times New Roman"/>
                <w:color w:val="000000"/>
                <w:sz w:val="24"/>
                <w:highlight w:val="none"/>
              </w:rPr>
              <w:t>》。</w:t>
            </w:r>
          </w:p>
          <w:p w14:paraId="05A9C44F">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2</w:t>
            </w:r>
            <w:r>
              <w:rPr>
                <w:rFonts w:hint="eastAsia" w:ascii="宋体" w:hAnsi="宋体" w:eastAsia="宋体" w:cs="Times New Roman"/>
                <w:color w:val="000000"/>
                <w:sz w:val="24"/>
                <w:highlight w:val="none"/>
              </w:rPr>
              <w:t>)202</w:t>
            </w:r>
            <w:r>
              <w:rPr>
                <w:rFonts w:hint="eastAsia" w:ascii="宋体" w:hAnsi="宋体" w:eastAsia="宋体" w:cs="Times New Roman"/>
                <w:color w:val="000000"/>
                <w:sz w:val="24"/>
                <w:highlight w:val="none"/>
                <w:lang w:val="en-US" w:eastAsia="zh-CN"/>
              </w:rPr>
              <w:t>4</w:t>
            </w:r>
            <w:r>
              <w:rPr>
                <w:rFonts w:hint="eastAsia" w:ascii="宋体" w:hAnsi="宋体" w:eastAsia="宋体" w:cs="Times New Roman"/>
                <w:color w:val="000000"/>
                <w:sz w:val="24"/>
                <w:highlight w:val="none"/>
              </w:rPr>
              <w:t>年</w:t>
            </w:r>
            <w:r>
              <w:rPr>
                <w:rFonts w:hint="eastAsia" w:ascii="宋体" w:hAnsi="宋体" w:eastAsia="宋体" w:cs="Times New Roman"/>
                <w:color w:val="000000"/>
                <w:sz w:val="24"/>
                <w:highlight w:val="none"/>
                <w:lang w:val="en-US" w:eastAsia="zh-CN"/>
              </w:rPr>
              <w:t>2</w:t>
            </w:r>
            <w:r>
              <w:rPr>
                <w:rFonts w:hint="eastAsia" w:ascii="宋体" w:hAnsi="宋体" w:eastAsia="宋体" w:cs="Times New Roman"/>
                <w:color w:val="000000"/>
                <w:sz w:val="24"/>
                <w:highlight w:val="none"/>
              </w:rPr>
              <w:t>月，由</w:t>
            </w:r>
            <w:r>
              <w:rPr>
                <w:rFonts w:hint="eastAsia" w:ascii="宋体" w:hAnsi="宋体" w:eastAsia="宋体" w:cs="Times New Roman"/>
                <w:color w:val="000000"/>
                <w:sz w:val="24"/>
                <w:highlight w:val="none"/>
                <w:lang w:val="en-US" w:eastAsia="zh-CN"/>
              </w:rPr>
              <w:t>中交综合规划设计院</w:t>
            </w:r>
            <w:r>
              <w:rPr>
                <w:rFonts w:hint="eastAsia" w:ascii="宋体" w:hAnsi="宋体" w:eastAsia="宋体" w:cs="Times New Roman"/>
                <w:color w:val="000000"/>
                <w:sz w:val="24"/>
                <w:highlight w:val="none"/>
                <w:lang w:eastAsia="zh-CN"/>
              </w:rPr>
              <w:t>有限公司</w:t>
            </w:r>
            <w:r>
              <w:rPr>
                <w:rFonts w:hint="eastAsia" w:ascii="宋体" w:hAnsi="宋体" w:eastAsia="宋体" w:cs="Times New Roman"/>
                <w:color w:val="000000"/>
                <w:sz w:val="24"/>
                <w:highlight w:val="none"/>
              </w:rPr>
              <w:t>编制的《</w:t>
            </w:r>
            <w:r>
              <w:rPr>
                <w:rFonts w:hint="eastAsia" w:ascii="宋体" w:hAnsi="宋体" w:eastAsia="宋体" w:cs="Times New Roman"/>
                <w:color w:val="000000"/>
                <w:sz w:val="24"/>
                <w:highlight w:val="none"/>
                <w:lang w:eastAsia="zh-CN"/>
              </w:rPr>
              <w:t>G331线</w:t>
            </w:r>
            <w:r>
              <w:rPr>
                <w:rFonts w:hint="eastAsia" w:ascii="宋体" w:hAnsi="宋体" w:eastAsia="宋体" w:cs="Times New Roman"/>
                <w:color w:val="000000"/>
                <w:sz w:val="24"/>
                <w:highlight w:val="none"/>
                <w:lang w:val="en-US" w:eastAsia="zh-CN"/>
              </w:rPr>
              <w:t>-</w:t>
            </w:r>
            <w:r>
              <w:rPr>
                <w:rFonts w:hint="eastAsia" w:ascii="宋体" w:hAnsi="宋体" w:eastAsia="宋体" w:cs="Times New Roman"/>
                <w:color w:val="000000"/>
                <w:sz w:val="24"/>
                <w:highlight w:val="none"/>
                <w:lang w:eastAsia="zh-CN"/>
              </w:rPr>
              <w:t>三塘湖火车站道路建设项目</w:t>
            </w:r>
            <w:r>
              <w:rPr>
                <w:rFonts w:hint="eastAsia" w:ascii="宋体" w:hAnsi="宋体" w:eastAsia="宋体" w:cs="Times New Roman"/>
                <w:color w:val="000000"/>
                <w:sz w:val="24"/>
                <w:highlight w:val="none"/>
                <w:lang w:val="en-US" w:eastAsia="zh-CN"/>
              </w:rPr>
              <w:t>工程可行性研究报告</w:t>
            </w:r>
            <w:r>
              <w:rPr>
                <w:rFonts w:hint="eastAsia" w:ascii="宋体" w:hAnsi="宋体" w:eastAsia="宋体" w:cs="Times New Roman"/>
                <w:color w:val="000000"/>
                <w:sz w:val="24"/>
                <w:highlight w:val="none"/>
              </w:rPr>
              <w:t>》。</w:t>
            </w:r>
          </w:p>
          <w:p w14:paraId="1E316752">
            <w:pPr>
              <w:keepNext w:val="0"/>
              <w:keepLines w:val="0"/>
              <w:suppressLineNumbers w:val="0"/>
              <w:spacing w:before="0" w:beforeAutospacing="0" w:after="0" w:afterAutospacing="0"/>
              <w:ind w:left="0" w:right="0" w:firstLine="482" w:firstLineChars="200"/>
              <w:rPr>
                <w:rFonts w:ascii="宋体" w:hAnsi="宋体" w:eastAsia="宋体" w:cs="Times New Roman"/>
                <w:b/>
                <w:bCs/>
                <w:color w:val="000000"/>
                <w:sz w:val="24"/>
                <w:highlight w:val="none"/>
              </w:rPr>
            </w:pPr>
            <w:r>
              <w:rPr>
                <w:rFonts w:hint="eastAsia" w:ascii="宋体" w:hAnsi="宋体" w:eastAsia="宋体" w:cs="Times New Roman"/>
                <w:b/>
                <w:bCs/>
                <w:color w:val="000000"/>
                <w:sz w:val="24"/>
                <w:highlight w:val="none"/>
              </w:rPr>
              <w:t>三、项目概况</w:t>
            </w:r>
          </w:p>
          <w:p w14:paraId="7D1E228B">
            <w:pPr>
              <w:keepNext w:val="0"/>
              <w:keepLines w:val="0"/>
              <w:suppressLineNumbers w:val="0"/>
              <w:spacing w:before="0" w:beforeAutospacing="0" w:after="0" w:afterAutospacing="0" w:line="440" w:lineRule="exact"/>
              <w:ind w:left="0" w:right="0" w:firstLine="482" w:firstLineChars="200"/>
              <w:jc w:val="left"/>
              <w:rPr>
                <w:rFonts w:ascii="宋体" w:hAnsi="宋体" w:eastAsia="宋体" w:cs="Times New Roman"/>
                <w:b/>
                <w:bCs/>
                <w:color w:val="000000"/>
                <w:sz w:val="24"/>
                <w:highlight w:val="none"/>
              </w:rPr>
            </w:pPr>
            <w:r>
              <w:rPr>
                <w:rFonts w:hint="eastAsia" w:ascii="宋体" w:hAnsi="宋体" w:eastAsia="宋体" w:cs="Times New Roman"/>
                <w:b/>
                <w:bCs/>
                <w:color w:val="000000"/>
                <w:sz w:val="24"/>
                <w:highlight w:val="none"/>
                <w:lang w:val="en-US" w:eastAsia="zh-CN"/>
              </w:rPr>
              <w:t>3.</w:t>
            </w:r>
            <w:r>
              <w:rPr>
                <w:rFonts w:hint="eastAsia" w:ascii="宋体" w:hAnsi="宋体" w:eastAsia="宋体" w:cs="Times New Roman"/>
                <w:b/>
                <w:bCs/>
                <w:color w:val="000000"/>
                <w:sz w:val="24"/>
                <w:highlight w:val="none"/>
              </w:rPr>
              <w:t>1项目简介</w:t>
            </w:r>
          </w:p>
          <w:p w14:paraId="79294D93">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eastAsia="zh-CN"/>
              </w:rPr>
              <w:t>中交一公局集团有限公司G331线至三塘湖火车站道路建设项目临时用地</w:t>
            </w:r>
            <w:r>
              <w:rPr>
                <w:rFonts w:hint="eastAsia" w:ascii="宋体" w:hAnsi="宋体" w:eastAsia="宋体" w:cs="Times New Roman"/>
                <w:color w:val="000000"/>
                <w:sz w:val="24"/>
                <w:highlight w:val="none"/>
                <w:lang w:val="en-US" w:eastAsia="zh-CN"/>
              </w:rPr>
              <w:t>位于哈密市巴里坤哈萨克自治县三塘湖镇境内。</w:t>
            </w:r>
          </w:p>
          <w:p w14:paraId="0F9A42BE">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Times New Roman"/>
                <w:color w:val="000000"/>
                <w:sz w:val="24"/>
                <w:highlight w:val="none"/>
                <w:lang w:val="en-US" w:eastAsia="zh-CN"/>
              </w:rPr>
              <w:t>根据</w:t>
            </w:r>
            <w:r>
              <w:rPr>
                <w:rFonts w:hint="eastAsia" w:ascii="宋体" w:hAnsi="宋体" w:eastAsia="宋体" w:cs="Times New Roman"/>
                <w:color w:val="000000"/>
                <w:sz w:val="24"/>
                <w:highlight w:val="none"/>
                <w:lang w:eastAsia="zh-CN"/>
              </w:rPr>
              <w:t>新疆臻图工程测绘有限公司</w:t>
            </w:r>
            <w:r>
              <w:rPr>
                <w:rFonts w:hint="eastAsia" w:ascii="宋体" w:hAnsi="宋体" w:eastAsia="宋体" w:cs="Times New Roman"/>
                <w:color w:val="000000"/>
                <w:sz w:val="24"/>
                <w:highlight w:val="none"/>
              </w:rPr>
              <w:t>编制的《</w:t>
            </w:r>
            <w:r>
              <w:rPr>
                <w:rFonts w:hint="eastAsia" w:ascii="宋体" w:hAnsi="宋体" w:eastAsia="宋体" w:cs="Times New Roman"/>
                <w:color w:val="000000"/>
                <w:sz w:val="24"/>
                <w:highlight w:val="none"/>
                <w:lang w:eastAsia="zh-CN"/>
              </w:rPr>
              <w:t>中交一公局集团有限公司G331线至三塘湖火车站道路建设项目临时用地勘测定界</w:t>
            </w:r>
            <w:r>
              <w:rPr>
                <w:rFonts w:hint="eastAsia" w:ascii="宋体" w:hAnsi="宋体" w:eastAsia="宋体" w:cs="Times New Roman"/>
                <w:color w:val="000000"/>
                <w:sz w:val="24"/>
                <w:highlight w:val="none"/>
              </w:rPr>
              <w:t>资料汇编》</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lang w:val="en-US" w:eastAsia="zh-CN"/>
              </w:rPr>
              <w:t>申办的6宗临时用地</w:t>
            </w:r>
            <w:r>
              <w:rPr>
                <w:rFonts w:hint="eastAsia" w:ascii="宋体" w:hAnsi="宋体" w:eastAsia="宋体" w:cs="宋体"/>
                <w:color w:val="000000"/>
                <w:sz w:val="24"/>
                <w:szCs w:val="24"/>
                <w:highlight w:val="none"/>
                <w:lang w:val="en-US" w:eastAsia="zh-CN"/>
              </w:rPr>
              <w:t>占地面积3.6828公顷（权属国有）</w:t>
            </w:r>
            <w:r>
              <w:rPr>
                <w:rFonts w:hint="eastAsia" w:ascii="宋体" w:hAnsi="宋体" w:eastAsia="宋体" w:cs="Times New Roman"/>
                <w:color w:val="000000"/>
                <w:sz w:val="24"/>
                <w:highlight w:val="none"/>
                <w:lang w:val="en-US" w:eastAsia="zh-CN"/>
              </w:rPr>
              <w:t>，其中压占裸岩石砾地2.4620公顷，压占盐田及采矿用地1.2208公顷。</w:t>
            </w:r>
            <w:r>
              <w:rPr>
                <w:rFonts w:hint="eastAsia" w:ascii="宋体" w:hAnsi="宋体" w:eastAsia="宋体" w:cs="宋体"/>
                <w:color w:val="000000"/>
                <w:sz w:val="24"/>
                <w:szCs w:val="24"/>
                <w:highlight w:val="none"/>
                <w:lang w:val="en-US" w:eastAsia="zh-CN"/>
              </w:rPr>
              <w:t>根据</w:t>
            </w:r>
            <w:r>
              <w:rPr>
                <w:rFonts w:hint="eastAsia" w:ascii="宋体" w:hAnsi="宋体" w:eastAsia="宋体" w:cs="Times New Roman"/>
                <w:color w:val="000000"/>
                <w:sz w:val="24"/>
                <w:highlight w:val="none"/>
                <w:lang w:eastAsia="zh-CN"/>
              </w:rPr>
              <w:t>中交一公局集团有限公司G331线至三塘湖火车站道路建设项目临时用地</w:t>
            </w:r>
            <w:r>
              <w:rPr>
                <w:rFonts w:hint="eastAsia" w:ascii="宋体" w:hAnsi="宋体" w:eastAsia="宋体" w:cs="宋体"/>
                <w:color w:val="000000"/>
                <w:sz w:val="24"/>
                <w:szCs w:val="24"/>
                <w:highlight w:val="none"/>
                <w:lang w:val="en-US" w:eastAsia="zh-CN"/>
              </w:rPr>
              <w:t>的需要，项目建设期限为2年，该项目临时用地申请办理6宗地，使用时间为2年，即2025年1月-2026年12月。临时用地使用到期后土地复垦工期设置为1个月，即2026年12月-2027年1月。因临时用地地类为裸岩石砾地和盐田及采矿用地，不设置管护期。因此，最终确定本复垦方案的服务年限为2年1个月，即2025年1月-2027年1月。</w:t>
            </w:r>
          </w:p>
          <w:p w14:paraId="720B3063">
            <w:pPr>
              <w:keepNext w:val="0"/>
              <w:keepLines w:val="0"/>
              <w:suppressLineNumbers w:val="0"/>
              <w:spacing w:before="0" w:beforeAutospacing="0" w:after="0" w:afterAutospacing="0" w:line="440" w:lineRule="exact"/>
              <w:ind w:left="0" w:right="0"/>
              <w:jc w:val="center"/>
              <w:rPr>
                <w:rFonts w:ascii="宋体" w:hAnsi="宋体" w:eastAsia="宋体" w:cs="Times New Roman"/>
                <w:b/>
                <w:bCs/>
                <w:color w:val="000000"/>
                <w:sz w:val="24"/>
                <w:highlight w:val="none"/>
              </w:rPr>
            </w:pPr>
            <w:r>
              <w:rPr>
                <w:rFonts w:hint="eastAsia" w:ascii="宋体" w:hAnsi="宋体" w:eastAsia="宋体" w:cs="Times New Roman"/>
                <w:b/>
                <w:bCs/>
                <w:color w:val="000000"/>
                <w:sz w:val="24"/>
                <w:highlight w:val="none"/>
              </w:rPr>
              <w:t>表</w:t>
            </w:r>
            <w:r>
              <w:rPr>
                <w:rFonts w:hint="eastAsia" w:ascii="宋体" w:hAnsi="宋体" w:eastAsia="宋体" w:cs="Times New Roman"/>
                <w:b/>
                <w:bCs/>
                <w:color w:val="000000"/>
                <w:sz w:val="24"/>
                <w:highlight w:val="none"/>
                <w:lang w:val="en-US" w:eastAsia="zh-CN"/>
              </w:rPr>
              <w:t>3</w:t>
            </w:r>
            <w:r>
              <w:rPr>
                <w:rFonts w:hint="eastAsia" w:ascii="宋体" w:hAnsi="宋体" w:eastAsia="宋体" w:cs="Times New Roman"/>
                <w:b/>
                <w:bCs/>
                <w:color w:val="000000"/>
                <w:sz w:val="24"/>
                <w:highlight w:val="none"/>
              </w:rPr>
              <w:t>-</w:t>
            </w:r>
            <w:r>
              <w:rPr>
                <w:rFonts w:hint="eastAsia" w:ascii="宋体" w:hAnsi="宋体" w:eastAsia="宋体" w:cs="Times New Roman"/>
                <w:b/>
                <w:bCs/>
                <w:color w:val="000000"/>
                <w:sz w:val="24"/>
                <w:highlight w:val="none"/>
                <w:lang w:val="en-US" w:eastAsia="zh-CN"/>
              </w:rPr>
              <w:t>1</w:t>
            </w:r>
            <w:r>
              <w:rPr>
                <w:rFonts w:hint="eastAsia" w:ascii="宋体" w:hAnsi="宋体" w:eastAsia="宋体" w:cs="Times New Roman"/>
                <w:b/>
                <w:bCs/>
                <w:color w:val="000000"/>
                <w:sz w:val="24"/>
                <w:highlight w:val="none"/>
              </w:rPr>
              <w:t>临时用地土地利用情况一览表</w:t>
            </w:r>
          </w:p>
          <w:tbl>
            <w:tblPr>
              <w:tblStyle w:val="19"/>
              <w:tblW w:w="8360" w:type="dxa"/>
              <w:jc w:val="center"/>
              <w:tblLayout w:type="fixed"/>
              <w:tblCellMar>
                <w:top w:w="0" w:type="dxa"/>
                <w:left w:w="0" w:type="dxa"/>
                <w:bottom w:w="0" w:type="dxa"/>
                <w:right w:w="0" w:type="dxa"/>
              </w:tblCellMar>
            </w:tblPr>
            <w:tblGrid>
              <w:gridCol w:w="1546"/>
              <w:gridCol w:w="1487"/>
              <w:gridCol w:w="1902"/>
              <w:gridCol w:w="1251"/>
              <w:gridCol w:w="2174"/>
            </w:tblGrid>
            <w:tr w14:paraId="47371053">
              <w:tblPrEx>
                <w:tblCellMar>
                  <w:top w:w="0" w:type="dxa"/>
                  <w:left w:w="0" w:type="dxa"/>
                  <w:bottom w:w="0" w:type="dxa"/>
                  <w:right w:w="0" w:type="dxa"/>
                </w:tblCellMar>
              </w:tblPrEx>
              <w:trPr>
                <w:trHeight w:val="211" w:hRule="atLeast"/>
                <w:jc w:val="center"/>
              </w:trPr>
              <w:tc>
                <w:tcPr>
                  <w:tcW w:w="1546"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0AF6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地块名称</w:t>
                  </w:r>
                </w:p>
              </w:tc>
              <w:tc>
                <w:tcPr>
                  <w:tcW w:w="3389" w:type="dxa"/>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7D13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地类</w:t>
                  </w:r>
                </w:p>
              </w:tc>
              <w:tc>
                <w:tcPr>
                  <w:tcW w:w="1251"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AE116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合计面积</w:t>
                  </w:r>
                </w:p>
                <w:p w14:paraId="0E02CA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(公顷)</w:t>
                  </w:r>
                </w:p>
              </w:tc>
              <w:tc>
                <w:tcPr>
                  <w:tcW w:w="2174"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F4310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预测土地损毁方式</w:t>
                  </w:r>
                </w:p>
              </w:tc>
            </w:tr>
            <w:tr w14:paraId="520B5452">
              <w:tblPrEx>
                <w:tblCellMar>
                  <w:top w:w="0" w:type="dxa"/>
                  <w:left w:w="0" w:type="dxa"/>
                  <w:bottom w:w="0" w:type="dxa"/>
                  <w:right w:w="0" w:type="dxa"/>
                </w:tblCellMar>
              </w:tblPrEx>
              <w:trPr>
                <w:trHeight w:val="211" w:hRule="atLeast"/>
                <w:jc w:val="center"/>
              </w:trPr>
              <w:tc>
                <w:tcPr>
                  <w:tcW w:w="1546"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7F16BB4">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48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2365D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裸岩石砾地</w:t>
                  </w:r>
                </w:p>
              </w:tc>
              <w:tc>
                <w:tcPr>
                  <w:tcW w:w="190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DEB04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盐田及采矿用地</w:t>
                  </w:r>
                </w:p>
              </w:tc>
              <w:tc>
                <w:tcPr>
                  <w:tcW w:w="1251"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A5CBE3B">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2174"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BD327E7">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r>
            <w:tr w14:paraId="3D6B99A8">
              <w:tblPrEx>
                <w:tblCellMar>
                  <w:top w:w="0" w:type="dxa"/>
                  <w:left w:w="0" w:type="dxa"/>
                  <w:bottom w:w="0" w:type="dxa"/>
                  <w:right w:w="0" w:type="dxa"/>
                </w:tblCellMar>
              </w:tblPrEx>
              <w:trPr>
                <w:trHeight w:val="211" w:hRule="atLeast"/>
                <w:jc w:val="center"/>
              </w:trPr>
              <w:tc>
                <w:tcPr>
                  <w:tcW w:w="15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E6BC8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制梁场1</w:t>
                  </w:r>
                </w:p>
              </w:tc>
              <w:tc>
                <w:tcPr>
                  <w:tcW w:w="148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BBD4D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0.3553</w:t>
                  </w:r>
                </w:p>
              </w:tc>
              <w:tc>
                <w:tcPr>
                  <w:tcW w:w="190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18E11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0.3904</w:t>
                  </w:r>
                </w:p>
              </w:tc>
              <w:tc>
                <w:tcPr>
                  <w:tcW w:w="125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D603E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0.3553</w:t>
                  </w:r>
                </w:p>
              </w:tc>
              <w:tc>
                <w:tcPr>
                  <w:tcW w:w="2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D7935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压占</w:t>
                  </w:r>
                </w:p>
              </w:tc>
            </w:tr>
            <w:tr w14:paraId="36C2EA8C">
              <w:tblPrEx>
                <w:tblCellMar>
                  <w:top w:w="0" w:type="dxa"/>
                  <w:left w:w="0" w:type="dxa"/>
                  <w:bottom w:w="0" w:type="dxa"/>
                  <w:right w:w="0" w:type="dxa"/>
                </w:tblCellMar>
              </w:tblPrEx>
              <w:trPr>
                <w:trHeight w:val="211" w:hRule="atLeast"/>
                <w:jc w:val="center"/>
              </w:trPr>
              <w:tc>
                <w:tcPr>
                  <w:tcW w:w="15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5D038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制梁场2</w:t>
                  </w:r>
                </w:p>
              </w:tc>
              <w:tc>
                <w:tcPr>
                  <w:tcW w:w="148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74825C5">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90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2AE5914">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25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D6322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0.3904</w:t>
                  </w:r>
                </w:p>
              </w:tc>
              <w:tc>
                <w:tcPr>
                  <w:tcW w:w="2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2C569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压占</w:t>
                  </w:r>
                </w:p>
              </w:tc>
            </w:tr>
            <w:tr w14:paraId="785B71C4">
              <w:tblPrEx>
                <w:tblCellMar>
                  <w:top w:w="0" w:type="dxa"/>
                  <w:left w:w="0" w:type="dxa"/>
                  <w:bottom w:w="0" w:type="dxa"/>
                  <w:right w:w="0" w:type="dxa"/>
                </w:tblCellMar>
              </w:tblPrEx>
              <w:trPr>
                <w:trHeight w:val="211" w:hRule="atLeast"/>
                <w:jc w:val="center"/>
              </w:trPr>
              <w:tc>
                <w:tcPr>
                  <w:tcW w:w="15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D0E25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材料堆场1</w:t>
                  </w:r>
                </w:p>
              </w:tc>
              <w:tc>
                <w:tcPr>
                  <w:tcW w:w="148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72B3C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0.4295</w:t>
                  </w:r>
                </w:p>
              </w:tc>
              <w:tc>
                <w:tcPr>
                  <w:tcW w:w="190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CADCF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0.5934</w:t>
                  </w:r>
                </w:p>
              </w:tc>
              <w:tc>
                <w:tcPr>
                  <w:tcW w:w="125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E1CD7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0.4295</w:t>
                  </w:r>
                </w:p>
              </w:tc>
              <w:tc>
                <w:tcPr>
                  <w:tcW w:w="2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DF615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压占</w:t>
                  </w:r>
                </w:p>
              </w:tc>
            </w:tr>
            <w:tr w14:paraId="2554930E">
              <w:tblPrEx>
                <w:tblCellMar>
                  <w:top w:w="0" w:type="dxa"/>
                  <w:left w:w="0" w:type="dxa"/>
                  <w:bottom w:w="0" w:type="dxa"/>
                  <w:right w:w="0" w:type="dxa"/>
                </w:tblCellMar>
              </w:tblPrEx>
              <w:trPr>
                <w:trHeight w:val="211" w:hRule="atLeast"/>
                <w:jc w:val="center"/>
              </w:trPr>
              <w:tc>
                <w:tcPr>
                  <w:tcW w:w="15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3C52F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材料堆场2</w:t>
                  </w:r>
                </w:p>
              </w:tc>
              <w:tc>
                <w:tcPr>
                  <w:tcW w:w="148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4E672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0.9702</w:t>
                  </w:r>
                </w:p>
              </w:tc>
              <w:tc>
                <w:tcPr>
                  <w:tcW w:w="190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F3507ED">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4"/>
                      <w:szCs w:val="24"/>
                      <w:u w:val="none"/>
                    </w:rPr>
                  </w:pPr>
                </w:p>
              </w:tc>
              <w:tc>
                <w:tcPr>
                  <w:tcW w:w="125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00423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1.5636</w:t>
                  </w:r>
                </w:p>
              </w:tc>
              <w:tc>
                <w:tcPr>
                  <w:tcW w:w="2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093BE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压占</w:t>
                  </w:r>
                </w:p>
              </w:tc>
            </w:tr>
            <w:tr w14:paraId="012B88D2">
              <w:tblPrEx>
                <w:tblCellMar>
                  <w:top w:w="0" w:type="dxa"/>
                  <w:left w:w="0" w:type="dxa"/>
                  <w:bottom w:w="0" w:type="dxa"/>
                  <w:right w:w="0" w:type="dxa"/>
                </w:tblCellMar>
              </w:tblPrEx>
              <w:trPr>
                <w:trHeight w:val="211" w:hRule="atLeast"/>
                <w:jc w:val="center"/>
              </w:trPr>
              <w:tc>
                <w:tcPr>
                  <w:tcW w:w="15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AF42E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钢筋加工厂1</w:t>
                  </w:r>
                </w:p>
              </w:tc>
              <w:tc>
                <w:tcPr>
                  <w:tcW w:w="148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6BDF4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0.3824</w:t>
                  </w:r>
                </w:p>
              </w:tc>
              <w:tc>
                <w:tcPr>
                  <w:tcW w:w="190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B626F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0.2370</w:t>
                  </w:r>
                </w:p>
              </w:tc>
              <w:tc>
                <w:tcPr>
                  <w:tcW w:w="125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2A823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0.3824</w:t>
                  </w:r>
                </w:p>
              </w:tc>
              <w:tc>
                <w:tcPr>
                  <w:tcW w:w="2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7867B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压占</w:t>
                  </w:r>
                </w:p>
              </w:tc>
            </w:tr>
            <w:tr w14:paraId="5B45203F">
              <w:tblPrEx>
                <w:tblCellMar>
                  <w:top w:w="0" w:type="dxa"/>
                  <w:left w:w="0" w:type="dxa"/>
                  <w:bottom w:w="0" w:type="dxa"/>
                  <w:right w:w="0" w:type="dxa"/>
                </w:tblCellMar>
              </w:tblPrEx>
              <w:trPr>
                <w:trHeight w:val="211" w:hRule="atLeast"/>
                <w:jc w:val="center"/>
              </w:trPr>
              <w:tc>
                <w:tcPr>
                  <w:tcW w:w="15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D90D8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钢筋加工厂2</w:t>
                  </w:r>
                </w:p>
              </w:tc>
              <w:tc>
                <w:tcPr>
                  <w:tcW w:w="148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6B937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0.3246</w:t>
                  </w:r>
                </w:p>
              </w:tc>
              <w:tc>
                <w:tcPr>
                  <w:tcW w:w="190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6652F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0.3904</w:t>
                  </w:r>
                </w:p>
              </w:tc>
              <w:tc>
                <w:tcPr>
                  <w:tcW w:w="125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7906D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0.5616</w:t>
                  </w:r>
                </w:p>
              </w:tc>
              <w:tc>
                <w:tcPr>
                  <w:tcW w:w="2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32449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压占</w:t>
                  </w:r>
                </w:p>
              </w:tc>
            </w:tr>
            <w:tr w14:paraId="15DE59E4">
              <w:tblPrEx>
                <w:tblCellMar>
                  <w:top w:w="0" w:type="dxa"/>
                  <w:left w:w="0" w:type="dxa"/>
                  <w:bottom w:w="0" w:type="dxa"/>
                  <w:right w:w="0" w:type="dxa"/>
                </w:tblCellMar>
              </w:tblPrEx>
              <w:trPr>
                <w:trHeight w:val="223" w:hRule="atLeast"/>
                <w:jc w:val="center"/>
              </w:trPr>
              <w:tc>
                <w:tcPr>
                  <w:tcW w:w="15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75538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合计</w:t>
                  </w:r>
                </w:p>
              </w:tc>
              <w:tc>
                <w:tcPr>
                  <w:tcW w:w="148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3B6E0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2.4620</w:t>
                  </w:r>
                </w:p>
              </w:tc>
              <w:tc>
                <w:tcPr>
                  <w:tcW w:w="190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2A805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1.2208</w:t>
                  </w:r>
                </w:p>
              </w:tc>
              <w:tc>
                <w:tcPr>
                  <w:tcW w:w="125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C3D54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3.6828</w:t>
                  </w:r>
                </w:p>
              </w:tc>
              <w:tc>
                <w:tcPr>
                  <w:tcW w:w="2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76BBE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压占</w:t>
                  </w:r>
                </w:p>
              </w:tc>
            </w:tr>
          </w:tbl>
          <w:p w14:paraId="4786745A">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根据《土地复垦条例》《土地复垦条例实施办法》《关于印发自治区生产建设项目土地复垦管理办法〉〈自治区生产建设项目土地复垦方案审查暂行办法〉〈自治区生产建设项目土地复垦验收办法〉的通知》（新自然资规[2018]1号）和《自然资源部关于规范临时用地管理的通知》（自然资规〔2021〕2号）等有关要求，在</w:t>
            </w:r>
            <w:r>
              <w:rPr>
                <w:rFonts w:hint="eastAsia" w:ascii="宋体" w:hAnsi="宋体" w:eastAsia="宋体" w:cs="Times New Roman"/>
                <w:color w:val="000000"/>
                <w:sz w:val="24"/>
                <w:highlight w:val="none"/>
                <w:lang w:eastAsia="zh-CN"/>
              </w:rPr>
              <w:t>中交一公局集团有限公司G331线至三塘湖火车站道路建设项目临时用地</w:t>
            </w:r>
            <w:r>
              <w:rPr>
                <w:rFonts w:hint="eastAsia" w:ascii="宋体" w:hAnsi="宋体" w:eastAsia="宋体" w:cs="宋体"/>
                <w:color w:val="000000"/>
                <w:sz w:val="24"/>
                <w:szCs w:val="24"/>
                <w:highlight w:val="none"/>
                <w:lang w:val="en-US" w:eastAsia="zh-CN"/>
              </w:rPr>
              <w:t>建设过程中，</w:t>
            </w:r>
            <w:r>
              <w:rPr>
                <w:rFonts w:hint="eastAsia" w:ascii="宋体" w:hAnsi="宋体" w:eastAsia="宋体" w:cs="Times New Roman"/>
                <w:color w:val="000000"/>
                <w:sz w:val="24"/>
                <w:highlight w:val="none"/>
                <w:lang w:eastAsia="zh-CN"/>
              </w:rPr>
              <w:t>中交一公局集团有限公司</w:t>
            </w:r>
            <w:r>
              <w:rPr>
                <w:rFonts w:hint="eastAsia" w:ascii="宋体" w:hAnsi="宋体" w:eastAsia="宋体" w:cs="宋体"/>
                <w:color w:val="000000"/>
                <w:sz w:val="24"/>
                <w:szCs w:val="24"/>
                <w:highlight w:val="none"/>
                <w:lang w:val="en-US" w:eastAsia="zh-CN"/>
              </w:rPr>
              <w:t>须对服务于建设项目的临时用地办理相关手续。根据相关政策和文件规定，建设单位在办理临时用地时需要编制土地复垦方案报告表，通过编制本报告表，为缴纳土地复垦费用及今后土地复垦验收提供依据。</w:t>
            </w:r>
          </w:p>
          <w:p w14:paraId="1B7D300F">
            <w:pPr>
              <w:keepNext w:val="0"/>
              <w:keepLines w:val="0"/>
              <w:suppressLineNumbers w:val="0"/>
              <w:spacing w:before="0" w:beforeAutospacing="0" w:after="0" w:afterAutospacing="0" w:line="440" w:lineRule="exact"/>
              <w:ind w:left="0" w:right="0" w:firstLine="482" w:firstLineChars="200"/>
              <w:rPr>
                <w:rFonts w:hint="default" w:ascii="宋体" w:hAnsi="宋体" w:eastAsia="宋体" w:cs="Times New Roman"/>
                <w:b/>
                <w:bCs/>
                <w:color w:val="000000"/>
                <w:sz w:val="24"/>
                <w:highlight w:val="none"/>
                <w:lang w:val="en-US" w:eastAsia="zh-CN"/>
              </w:rPr>
            </w:pPr>
            <w:r>
              <w:rPr>
                <w:rFonts w:hint="eastAsia" w:ascii="宋体" w:hAnsi="宋体" w:eastAsia="宋体" w:cs="Times New Roman"/>
                <w:b/>
                <w:bCs/>
                <w:color w:val="000000"/>
                <w:sz w:val="24"/>
                <w:highlight w:val="none"/>
                <w:lang w:val="en-US" w:eastAsia="zh-CN"/>
              </w:rPr>
              <w:t>3.</w:t>
            </w:r>
            <w:r>
              <w:rPr>
                <w:rFonts w:hint="eastAsia" w:ascii="宋体" w:hAnsi="宋体" w:eastAsia="宋体" w:cs="Times New Roman"/>
                <w:b/>
                <w:bCs/>
                <w:color w:val="000000"/>
                <w:sz w:val="24"/>
                <w:highlight w:val="none"/>
              </w:rPr>
              <w:t>2</w:t>
            </w:r>
            <w:r>
              <w:rPr>
                <w:rFonts w:hint="eastAsia" w:ascii="宋体" w:hAnsi="宋体" w:eastAsia="宋体" w:cs="Times New Roman"/>
                <w:b/>
                <w:bCs/>
                <w:color w:val="000000"/>
                <w:sz w:val="24"/>
                <w:highlight w:val="none"/>
                <w:lang w:val="en-US" w:eastAsia="zh-CN"/>
              </w:rPr>
              <w:t>项目区自然概况</w:t>
            </w:r>
          </w:p>
          <w:p w14:paraId="77FB5BD3">
            <w:pPr>
              <w:keepNext w:val="0"/>
              <w:keepLines w:val="0"/>
              <w:suppressLineNumbers w:val="0"/>
              <w:spacing w:before="0" w:beforeAutospacing="0" w:after="0" w:afterAutospacing="0" w:line="440" w:lineRule="exact"/>
              <w:ind w:left="0" w:right="0" w:firstLine="480" w:firstLineChars="200"/>
              <w:rPr>
                <w:rFonts w:hint="default"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3.2.1地理位置</w:t>
            </w:r>
          </w:p>
          <w:p w14:paraId="7406EF14">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临时用地位于巴里坤哈萨克自治县东北方位直线距离约75公里处，运距约90公里；位于三塘湖镇东直线距离约3.5公里处，运距约5公里。行政区划属巴里坤哈萨克自治县三塘湖镇。中交一公局集团有限公司G331线至三塘湖火车站道路建设项目临时用地中心地理坐标：东经93°25′20″北纬44°13′56″。</w:t>
            </w:r>
          </w:p>
          <w:p w14:paraId="0A4E437C">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lang w:eastAsia="zh-CN"/>
              </w:rPr>
            </w:pPr>
            <w:r>
              <w:rPr>
                <w:rFonts w:hint="eastAsia" w:ascii="宋体" w:hAnsi="宋体" w:eastAsia="宋体" w:cs="Times New Roman"/>
                <w:color w:val="000000"/>
                <w:sz w:val="24"/>
                <w:highlight w:val="none"/>
                <w:lang w:val="en-US" w:eastAsia="zh-CN"/>
              </w:rPr>
              <w:t>从巴里坤哈萨克自治县至三塘湖镇有G575，从三塘湖镇沿国道G331可至项目区南侧，从国道G331沿既有公路可到达项目临时用地位置，交通便利。（见图3-1）。</w:t>
            </w:r>
          </w:p>
          <w:p w14:paraId="050D67B3">
            <w:pPr>
              <w:keepNext w:val="0"/>
              <w:keepLines w:val="0"/>
              <w:suppressLineNumbers w:val="0"/>
              <w:spacing w:before="0" w:beforeAutospacing="0" w:after="0" w:afterAutospacing="0" w:line="440" w:lineRule="exact"/>
              <w:ind w:left="0" w:right="0" w:firstLine="403" w:firstLineChars="192"/>
              <w:jc w:val="center"/>
              <w:rPr>
                <w:rFonts w:hint="eastAsia" w:ascii="宋体" w:hAnsi="宋体" w:eastAsia="宋体" w:cs="宋体"/>
                <w:color w:val="000000"/>
                <w:sz w:val="24"/>
                <w:highlight w:val="none"/>
                <w:lang w:val="en-US" w:eastAsia="zh-CN"/>
              </w:rPr>
            </w:pPr>
            <w:r>
              <w:rPr>
                <w:rFonts w:hint="eastAsia" w:ascii="Calibri" w:hAnsi="Calibri" w:eastAsia="微软雅黑" w:cs="Times New Roman"/>
                <w:lang w:eastAsia="zh-CN"/>
              </w:rPr>
              <w:drawing>
                <wp:anchor distT="0" distB="0" distL="114300" distR="114300" simplePos="0" relativeHeight="251660288" behindDoc="0" locked="0" layoutInCell="1" allowOverlap="1">
                  <wp:simplePos x="0" y="0"/>
                  <wp:positionH relativeFrom="column">
                    <wp:posOffset>28575</wp:posOffset>
                  </wp:positionH>
                  <wp:positionV relativeFrom="paragraph">
                    <wp:posOffset>32385</wp:posOffset>
                  </wp:positionV>
                  <wp:extent cx="5266690" cy="3387090"/>
                  <wp:effectExtent l="9525" t="9525" r="12065" b="17145"/>
                  <wp:wrapSquare wrapText="bothSides"/>
                  <wp:docPr id="3" name="图片 2" descr="三塘湖材料堆场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三塘湖材料堆场地理位置图"/>
                          <pic:cNvPicPr>
                            <a:picLocks noChangeAspect="1"/>
                          </pic:cNvPicPr>
                        </pic:nvPicPr>
                        <pic:blipFill>
                          <a:blip r:embed="rId8"/>
                          <a:srcRect b="42903"/>
                          <a:stretch>
                            <a:fillRect/>
                          </a:stretch>
                        </pic:blipFill>
                        <pic:spPr>
                          <a:xfrm>
                            <a:off x="0" y="0"/>
                            <a:ext cx="5266690" cy="338709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宋体" w:hAnsi="宋体" w:eastAsia="宋体" w:cs="宋体"/>
                <w:color w:val="000000"/>
                <w:sz w:val="24"/>
                <w:highlight w:val="none"/>
                <w:lang w:val="en-US" w:eastAsia="zh-CN"/>
              </w:rPr>
              <w:t>图3-1 交通位置图</w:t>
            </w:r>
          </w:p>
          <w:p w14:paraId="4716FCF9">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3.2.2地形地貌</w:t>
            </w:r>
          </w:p>
          <w:p w14:paraId="5C70D3A1">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项目区归属于东天山支脉麦钦乌拉山山前</w:t>
            </w:r>
            <w:r>
              <w:rPr>
                <w:rFonts w:hint="eastAsia" w:ascii="宋体" w:hAnsi="宋体" w:cs="Times New Roman"/>
                <w:color w:val="000000"/>
                <w:sz w:val="24"/>
                <w:highlight w:val="none"/>
                <w:lang w:val="en-US" w:eastAsia="zh-CN"/>
              </w:rPr>
              <w:t>丘陵戈壁区</w:t>
            </w:r>
            <w:r>
              <w:rPr>
                <w:rFonts w:hint="eastAsia" w:ascii="宋体" w:hAnsi="宋体" w:eastAsia="宋体" w:cs="Times New Roman"/>
                <w:color w:val="000000"/>
                <w:sz w:val="24"/>
                <w:highlight w:val="none"/>
                <w:lang w:val="en-US" w:eastAsia="zh-CN"/>
              </w:rPr>
              <w:t>，地形</w:t>
            </w:r>
            <w:r>
              <w:rPr>
                <w:rFonts w:hint="eastAsia" w:ascii="宋体" w:hAnsi="宋体" w:cs="Times New Roman"/>
                <w:color w:val="000000"/>
                <w:sz w:val="24"/>
                <w:highlight w:val="none"/>
                <w:lang w:val="en-US" w:eastAsia="zh-CN"/>
              </w:rPr>
              <w:t>较</w:t>
            </w:r>
            <w:r>
              <w:rPr>
                <w:rFonts w:hint="eastAsia" w:ascii="宋体" w:hAnsi="宋体" w:eastAsia="宋体" w:cs="Times New Roman"/>
                <w:color w:val="000000"/>
                <w:sz w:val="24"/>
                <w:highlight w:val="none"/>
                <w:lang w:val="en-US" w:eastAsia="zh-CN"/>
              </w:rPr>
              <w:t>平坦，地势南高北低，项目区海拔标高774m～770m，地表植被不发育，根据现场调查，表层局部分布白色盐碱壳。</w:t>
            </w:r>
            <w:r>
              <w:rPr>
                <w:rFonts w:hint="eastAsia" w:ascii="宋体" w:hAnsi="宋体" w:cs="Times New Roman"/>
                <w:color w:val="000000"/>
                <w:sz w:val="24"/>
                <w:highlight w:val="none"/>
                <w:lang w:val="en-US" w:eastAsia="zh-CN"/>
              </w:rPr>
              <w:t>项目区6宗临时用地</w:t>
            </w:r>
            <w:r>
              <w:rPr>
                <w:rFonts w:hint="eastAsia" w:ascii="宋体" w:hAnsi="宋体" w:eastAsia="宋体" w:cs="Times New Roman"/>
                <w:color w:val="000000"/>
                <w:sz w:val="24"/>
                <w:highlight w:val="none"/>
                <w:lang w:val="en-US" w:eastAsia="zh-CN"/>
              </w:rPr>
              <w:t>地形坡度</w:t>
            </w:r>
            <w:r>
              <w:rPr>
                <w:rFonts w:hint="eastAsia" w:ascii="宋体" w:hAnsi="宋体" w:cs="Times New Roman"/>
                <w:color w:val="000000"/>
                <w:sz w:val="24"/>
                <w:highlight w:val="none"/>
                <w:lang w:val="en-US" w:eastAsia="zh-CN"/>
              </w:rPr>
              <w:t>1-</w:t>
            </w:r>
            <w:r>
              <w:rPr>
                <w:rFonts w:hint="eastAsia" w:ascii="宋体" w:hAnsi="宋体" w:eastAsia="宋体" w:cs="Times New Roman"/>
                <w:color w:val="000000"/>
                <w:sz w:val="24"/>
                <w:highlight w:val="none"/>
                <w:lang w:val="en-US" w:eastAsia="zh-CN"/>
              </w:rPr>
              <w:t>3°。临时用地东、西两侧有沥青公里南北贯穿连通，南侧紧邻将淖铁路和G331国道，项目区交通便利，地形地貌见下列照片。</w:t>
            </w:r>
          </w:p>
          <w:tbl>
            <w:tblPr>
              <w:tblStyle w:val="19"/>
              <w:tblW w:w="8579" w:type="dxa"/>
              <w:jc w:val="center"/>
              <w:tblLayout w:type="fixed"/>
              <w:tblCellMar>
                <w:top w:w="0" w:type="dxa"/>
                <w:left w:w="108" w:type="dxa"/>
                <w:bottom w:w="0" w:type="dxa"/>
                <w:right w:w="108" w:type="dxa"/>
              </w:tblCellMar>
            </w:tblPr>
            <w:tblGrid>
              <w:gridCol w:w="8579"/>
            </w:tblGrid>
            <w:tr w14:paraId="396A4D60">
              <w:tblPrEx>
                <w:tblCellMar>
                  <w:top w:w="0" w:type="dxa"/>
                  <w:left w:w="108" w:type="dxa"/>
                  <w:bottom w:w="0" w:type="dxa"/>
                  <w:right w:w="108" w:type="dxa"/>
                </w:tblCellMar>
              </w:tblPrEx>
              <w:trPr>
                <w:trHeight w:val="91" w:hRule="atLeast"/>
                <w:jc w:val="center"/>
              </w:trPr>
              <w:tc>
                <w:tcPr>
                  <w:tcW w:w="8579" w:type="dxa"/>
                  <w:noWrap/>
                  <w:vAlign w:val="center"/>
                </w:tcPr>
                <w:p w14:paraId="73CA0982">
                  <w:pPr>
                    <w:keepNext w:val="0"/>
                    <w:keepLines w:val="0"/>
                    <w:suppressLineNumbers w:val="0"/>
                    <w:spacing w:before="0" w:beforeAutospacing="0" w:after="0" w:afterAutospacing="0" w:line="440" w:lineRule="exact"/>
                    <w:ind w:left="0" w:right="0" w:firstLine="480" w:firstLineChars="200"/>
                    <w:jc w:val="center"/>
                    <w:rPr>
                      <w:rFonts w:hint="eastAsia" w:ascii="宋体" w:hAnsi="宋体" w:eastAsia="宋体" w:cs="宋体"/>
                      <w:color w:val="000000"/>
                      <w:sz w:val="24"/>
                      <w:highlight w:val="none"/>
                      <w:lang w:val="en-US" w:eastAsia="zh-CN"/>
                    </w:rPr>
                  </w:pPr>
                  <w:r>
                    <w:rPr>
                      <w:rFonts w:hint="eastAsia" w:ascii="宋体" w:hAnsi="宋体" w:eastAsia="宋体" w:cs="Times New Roman"/>
                      <w:color w:val="000000"/>
                      <w:sz w:val="24"/>
                      <w:highlight w:val="none"/>
                      <w:lang w:val="en-US" w:eastAsia="zh-CN"/>
                    </w:rPr>
                    <w:drawing>
                      <wp:anchor distT="0" distB="0" distL="114300" distR="114300" simplePos="0" relativeHeight="251659264" behindDoc="0" locked="0" layoutInCell="1" allowOverlap="1">
                        <wp:simplePos x="0" y="0"/>
                        <wp:positionH relativeFrom="column">
                          <wp:posOffset>22225</wp:posOffset>
                        </wp:positionH>
                        <wp:positionV relativeFrom="paragraph">
                          <wp:posOffset>149860</wp:posOffset>
                        </wp:positionV>
                        <wp:extent cx="5306060" cy="3065780"/>
                        <wp:effectExtent l="0" t="0" r="12700" b="12700"/>
                        <wp:wrapSquare wrapText="bothSides"/>
                        <wp:docPr id="1" name="图片 314" descr="微信图片_2024122718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14" descr="微信图片_20241227180249"/>
                                <pic:cNvPicPr>
                                  <a:picLocks noChangeAspect="1"/>
                                </pic:cNvPicPr>
                              </pic:nvPicPr>
                              <pic:blipFill>
                                <a:blip r:embed="rId9"/>
                                <a:srcRect t="2206" b="29525"/>
                                <a:stretch>
                                  <a:fillRect/>
                                </a:stretch>
                              </pic:blipFill>
                              <pic:spPr>
                                <a:xfrm>
                                  <a:off x="0" y="0"/>
                                  <a:ext cx="5306060" cy="3065780"/>
                                </a:xfrm>
                                <a:prstGeom prst="rect">
                                  <a:avLst/>
                                </a:prstGeom>
                                <a:noFill/>
                                <a:ln>
                                  <a:noFill/>
                                </a:ln>
                              </pic:spPr>
                            </pic:pic>
                          </a:graphicData>
                        </a:graphic>
                      </wp:anchor>
                    </w:drawing>
                  </w:r>
                  <w:r>
                    <w:rPr>
                      <w:rFonts w:hint="eastAsia" w:ascii="宋体" w:hAnsi="宋体" w:eastAsia="宋体" w:cs="Times New Roman"/>
                      <w:color w:val="000000"/>
                      <w:sz w:val="24"/>
                      <w:highlight w:val="none"/>
                      <w:lang w:val="en-US" w:eastAsia="zh-CN"/>
                    </w:rPr>
                    <w:t>照片3-1 临时用地地形地貌</w:t>
                  </w:r>
                </w:p>
              </w:tc>
            </w:tr>
          </w:tbl>
          <w:p w14:paraId="2D703658">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3.2.3</w:t>
            </w:r>
            <w:r>
              <w:rPr>
                <w:rFonts w:hint="eastAsia" w:ascii="宋体" w:hAnsi="宋体" w:eastAsia="宋体" w:cs="Times New Roman"/>
                <w:color w:val="000000"/>
                <w:sz w:val="24"/>
                <w:highlight w:val="none"/>
              </w:rPr>
              <w:t>气象</w:t>
            </w:r>
          </w:p>
          <w:p w14:paraId="36F12C12">
            <w:pPr>
              <w:keepNext w:val="0"/>
              <w:keepLines w:val="0"/>
              <w:suppressLineNumbers w:val="0"/>
              <w:spacing w:before="0" w:beforeAutospacing="0" w:after="0" w:afterAutospacing="0" w:line="440" w:lineRule="exact"/>
              <w:ind w:left="0" w:right="0" w:firstLine="460" w:firstLineChars="192"/>
              <w:jc w:val="left"/>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项目区地处欧亚大陆腹地，为中温带干旱大陆性气候区，拟建项目区域为典型</w:t>
            </w:r>
          </w:p>
          <w:p w14:paraId="17075060">
            <w:pPr>
              <w:keepNext w:val="0"/>
              <w:keepLines w:val="0"/>
              <w:suppressLineNumbers w:val="0"/>
              <w:spacing w:before="0" w:beforeAutospacing="0" w:after="0" w:afterAutospacing="0" w:line="440" w:lineRule="exact"/>
              <w:ind w:left="0" w:right="0"/>
              <w:jc w:val="left"/>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的暖温带大陆性极</w:t>
            </w:r>
            <w:r>
              <w:rPr>
                <w:rFonts w:hint="eastAsia" w:ascii="宋体" w:hAnsi="宋体" w:cs="Times New Roman"/>
                <w:color w:val="000000"/>
                <w:sz w:val="24"/>
                <w:highlight w:val="none"/>
                <w:lang w:val="en-US" w:eastAsia="zh-CN"/>
              </w:rPr>
              <w:t>干旱</w:t>
            </w:r>
            <w:r>
              <w:rPr>
                <w:rFonts w:hint="eastAsia" w:ascii="宋体" w:hAnsi="宋体" w:eastAsia="宋体" w:cs="Times New Roman"/>
                <w:color w:val="000000"/>
                <w:sz w:val="24"/>
                <w:highlight w:val="none"/>
                <w:lang w:val="en-US" w:eastAsia="zh-CN"/>
              </w:rPr>
              <w:t>气候区。气候总的特点是:气温年较差、日较差和年际变化较大。干旱少雨，夏热冬冷，四季分明，光照充足。同时三塘湖镇是典型的水积盆地平原，具有得天独厚的水土光热资源，三塘湖镇光照充足，热量丰富，夏季炎热，冬季寒冷，昼夜温差大，对农作物影响较大。</w:t>
            </w:r>
          </w:p>
          <w:p w14:paraId="1D7D6370">
            <w:pPr>
              <w:keepNext w:val="0"/>
              <w:keepLines w:val="0"/>
              <w:suppressLineNumbers w:val="0"/>
              <w:spacing w:before="0" w:beforeAutospacing="0" w:after="0" w:afterAutospacing="0" w:line="440" w:lineRule="exact"/>
              <w:ind w:left="0" w:right="0" w:firstLine="460" w:firstLineChars="192"/>
              <w:jc w:val="left"/>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年平均气温10.5℃，夏季极端最高气温42.2℃，冬季极端最低气温-26.1℃。</w:t>
            </w:r>
          </w:p>
          <w:p w14:paraId="517C51DE">
            <w:pPr>
              <w:keepNext w:val="0"/>
              <w:keepLines w:val="0"/>
              <w:suppressLineNumbers w:val="0"/>
              <w:spacing w:before="0" w:beforeAutospacing="0" w:after="0" w:afterAutospacing="0" w:line="440" w:lineRule="exact"/>
              <w:ind w:left="0" w:right="0"/>
              <w:jc w:val="left"/>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最冷月一月平均气温-12.7℃，最热月七月平均气温28.1℃，</w:t>
            </w:r>
            <w:r>
              <w:rPr>
                <w:rFonts w:hint="eastAsia" w:ascii="宋体" w:hAnsi="宋体" w:cs="Times New Roman"/>
                <w:color w:val="000000"/>
                <w:sz w:val="24"/>
                <w:highlight w:val="none"/>
                <w:lang w:val="en-US" w:eastAsia="zh-CN"/>
              </w:rPr>
              <w:t>年温差为</w:t>
            </w:r>
            <w:r>
              <w:rPr>
                <w:rFonts w:hint="eastAsia" w:ascii="宋体" w:hAnsi="宋体" w:eastAsia="宋体" w:cs="Times New Roman"/>
                <w:color w:val="000000"/>
                <w:sz w:val="24"/>
                <w:highlight w:val="none"/>
                <w:lang w:val="en-US" w:eastAsia="zh-CN"/>
              </w:rPr>
              <w:t>43.6℃。三塘湖镇</w:t>
            </w:r>
            <w:r>
              <w:rPr>
                <w:rFonts w:hint="eastAsia" w:ascii="宋体" w:hAnsi="宋体" w:cs="Times New Roman"/>
                <w:color w:val="000000"/>
                <w:sz w:val="24"/>
                <w:highlight w:val="none"/>
                <w:lang w:val="en-US" w:eastAsia="zh-CN"/>
              </w:rPr>
              <w:t>干旱</w:t>
            </w:r>
            <w:r>
              <w:rPr>
                <w:rFonts w:hint="eastAsia" w:ascii="宋体" w:hAnsi="宋体" w:eastAsia="宋体" w:cs="Times New Roman"/>
                <w:color w:val="000000"/>
                <w:sz w:val="24"/>
                <w:highlight w:val="none"/>
                <w:lang w:val="en-US" w:eastAsia="zh-CN"/>
              </w:rPr>
              <w:t>少雨，蒸发量大，年降雨量26.0mm，年蒸发量高达4377mm，是降雨量的381倍。平均无霜期180d，年日照时数为3326.3h。全年主导风向为西北风，其次为偏西风，再次为东风，平均风速4.65m/s，平均大风天数100d，沙暴日数20.9d。冻土累年（1960～2018年）最大冻土深度及出现时间：128cm。标准冻结深度约1.60m。</w:t>
            </w:r>
          </w:p>
          <w:p w14:paraId="659AAC0B">
            <w:pPr>
              <w:keepNext w:val="0"/>
              <w:keepLines w:val="0"/>
              <w:suppressLineNumbers w:val="0"/>
              <w:spacing w:before="0" w:beforeAutospacing="0" w:after="0" w:afterAutospacing="0" w:line="360" w:lineRule="auto"/>
              <w:ind w:left="479" w:leftChars="228" w:right="0" w:firstLine="0" w:firstLineChars="0"/>
              <w:rPr>
                <w:rFonts w:hint="default"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3.2.4</w:t>
            </w:r>
            <w:r>
              <w:rPr>
                <w:rFonts w:hint="eastAsia" w:ascii="宋体" w:hAnsi="宋体" w:eastAsia="宋体" w:cs="Times New Roman"/>
                <w:color w:val="000000"/>
                <w:sz w:val="24"/>
                <w:highlight w:val="none"/>
              </w:rPr>
              <w:t>水文</w:t>
            </w:r>
            <w:r>
              <w:rPr>
                <w:rFonts w:hint="eastAsia" w:ascii="宋体" w:hAnsi="宋体" w:eastAsia="宋体" w:cs="Times New Roman"/>
                <w:color w:val="000000"/>
                <w:sz w:val="24"/>
                <w:highlight w:val="none"/>
                <w:lang w:val="en-US" w:eastAsia="zh-CN"/>
              </w:rPr>
              <w:t>地质</w:t>
            </w:r>
          </w:p>
          <w:p w14:paraId="1083CF89">
            <w:pPr>
              <w:keepNext w:val="0"/>
              <w:keepLines w:val="0"/>
              <w:widowControl/>
              <w:suppressLineNumbers w:val="0"/>
              <w:kinsoku w:val="0"/>
              <w:autoSpaceDE w:val="0"/>
              <w:autoSpaceDN w:val="0"/>
              <w:adjustRightInd w:val="0"/>
              <w:snapToGrid w:val="0"/>
              <w:spacing w:before="78" w:beforeAutospacing="0" w:after="0" w:afterAutospacing="0" w:line="360" w:lineRule="auto"/>
              <w:ind w:left="114" w:right="137" w:firstLine="479"/>
              <w:jc w:val="both"/>
              <w:textAlignment w:val="baseline"/>
              <w:rPr>
                <w:rFonts w:hint="eastAsia" w:ascii="宋体" w:hAnsi="宋体" w:eastAsia="宋体" w:cs="宋体"/>
                <w:snapToGrid w:val="0"/>
                <w:color w:val="000000"/>
                <w:spacing w:val="-1"/>
                <w:kern w:val="0"/>
                <w:sz w:val="24"/>
                <w:szCs w:val="24"/>
                <w:lang w:val="en-US" w:eastAsia="zh-CN"/>
              </w:rPr>
            </w:pPr>
            <w:r>
              <w:rPr>
                <w:rFonts w:hint="eastAsia" w:ascii="宋体" w:hAnsi="宋体" w:eastAsia="宋体" w:cs="宋体"/>
                <w:snapToGrid w:val="0"/>
                <w:color w:val="000000"/>
                <w:spacing w:val="-1"/>
                <w:kern w:val="0"/>
                <w:sz w:val="24"/>
                <w:szCs w:val="24"/>
                <w:lang w:val="en-US" w:eastAsia="zh-CN"/>
              </w:rPr>
              <w:t>（1）地表水</w:t>
            </w:r>
          </w:p>
          <w:p w14:paraId="6571B284">
            <w:pPr>
              <w:keepNext w:val="0"/>
              <w:keepLines w:val="0"/>
              <w:suppressLineNumbers w:val="0"/>
              <w:spacing w:before="0" w:beforeAutospacing="0" w:after="0" w:afterAutospacing="0" w:line="360" w:lineRule="auto"/>
              <w:ind w:left="0" w:right="0" w:firstLine="460" w:firstLineChars="192"/>
              <w:jc w:val="left"/>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三塘湖镇大气年降水量比较稀少，分布不均衡，季节性变化大。总降水趋势是</w:t>
            </w:r>
          </w:p>
          <w:p w14:paraId="410E0001">
            <w:pPr>
              <w:keepNext w:val="0"/>
              <w:keepLines w:val="0"/>
              <w:suppressLineNumbers w:val="0"/>
              <w:spacing w:before="0" w:beforeAutospacing="0" w:after="0" w:afterAutospacing="0" w:line="360" w:lineRule="auto"/>
              <w:ind w:left="0" w:right="0"/>
              <w:jc w:val="left"/>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高山区大于中山区，而中山地带又大于低山区。它的变化是由南向北，由西向东递减。本项目所在区域距离地表水较远且无水力联系，工程区内无地表径流。</w:t>
            </w:r>
          </w:p>
          <w:p w14:paraId="5F97E4D7">
            <w:pPr>
              <w:keepNext w:val="0"/>
              <w:keepLines w:val="0"/>
              <w:suppressLineNumbers w:val="0"/>
              <w:spacing w:before="0" w:beforeAutospacing="0" w:after="0" w:afterAutospacing="0" w:line="360" w:lineRule="auto"/>
              <w:ind w:left="0" w:right="0" w:firstLine="460" w:firstLineChars="192"/>
              <w:jc w:val="left"/>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（2）地下水</w:t>
            </w:r>
          </w:p>
          <w:p w14:paraId="28603B19">
            <w:pPr>
              <w:keepNext w:val="0"/>
              <w:keepLines w:val="0"/>
              <w:suppressLineNumbers w:val="0"/>
              <w:spacing w:before="0" w:beforeAutospacing="0" w:after="0" w:afterAutospacing="0" w:line="440" w:lineRule="exact"/>
              <w:ind w:left="0" w:right="0" w:firstLine="460" w:firstLineChars="192"/>
              <w:jc w:val="left"/>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项目区地下水位约13.4～13.5m，该地下水类型为潜水，流向与地势一致，地下水以基岩裂隙水及大气降水补给，排泄途径为大气蒸发和地表下渗。</w:t>
            </w:r>
          </w:p>
          <w:p w14:paraId="2407C59D">
            <w:pPr>
              <w:keepNext w:val="0"/>
              <w:keepLines w:val="0"/>
              <w:suppressLineNumbers w:val="0"/>
              <w:spacing w:before="0" w:beforeAutospacing="0" w:after="0" w:afterAutospacing="0" w:line="440" w:lineRule="exact"/>
              <w:ind w:left="0" w:right="0" w:firstLine="460" w:firstLineChars="192"/>
              <w:rPr>
                <w:rFonts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3.2.5</w:t>
            </w:r>
            <w:r>
              <w:rPr>
                <w:rFonts w:hint="eastAsia" w:ascii="宋体" w:hAnsi="宋体" w:eastAsia="宋体" w:cs="Times New Roman"/>
                <w:color w:val="000000"/>
                <w:sz w:val="24"/>
                <w:highlight w:val="none"/>
              </w:rPr>
              <w:t>植被土壤</w:t>
            </w:r>
          </w:p>
          <w:p w14:paraId="511B0710">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3.2.5.1</w:t>
            </w:r>
            <w:r>
              <w:rPr>
                <w:rFonts w:hint="eastAsia" w:ascii="宋体" w:hAnsi="宋体" w:eastAsia="宋体" w:cs="Times New Roman"/>
                <w:color w:val="000000"/>
                <w:sz w:val="24"/>
                <w:highlight w:val="none"/>
              </w:rPr>
              <w:t>植被</w:t>
            </w:r>
          </w:p>
          <w:p w14:paraId="5A1DF3F6">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宋体"/>
                <w:color w:val="000000"/>
                <w:sz w:val="24"/>
                <w:highlight w:val="none"/>
              </w:rPr>
              <w:t>根据实地调查</w:t>
            </w:r>
            <w:r>
              <w:rPr>
                <w:rFonts w:hint="eastAsia" w:ascii="宋体" w:hAnsi="宋体" w:eastAsia="宋体" w:cs="宋体"/>
                <w:color w:val="000000"/>
                <w:sz w:val="24"/>
                <w:highlight w:val="none"/>
                <w:lang w:eastAsia="zh-CN"/>
              </w:rPr>
              <w:t>：</w:t>
            </w:r>
            <w:r>
              <w:rPr>
                <w:rFonts w:hint="eastAsia" w:ascii="宋体" w:hAnsi="宋体" w:eastAsia="宋体" w:cs="Times New Roman"/>
                <w:color w:val="000000"/>
                <w:sz w:val="24"/>
                <w:highlight w:val="none"/>
                <w:lang w:val="en-US" w:eastAsia="zh-CN"/>
              </w:rPr>
              <w:t>临时用地范围区内几无植被生长</w:t>
            </w:r>
            <w:r>
              <w:rPr>
                <w:rFonts w:hint="eastAsia" w:ascii="宋体" w:hAnsi="宋体" w:eastAsia="宋体" w:cs="宋体"/>
                <w:color w:val="000000"/>
                <w:sz w:val="24"/>
                <w:highlight w:val="none"/>
                <w:lang w:val="en-US" w:eastAsia="zh-CN"/>
              </w:rPr>
              <w:t>。</w:t>
            </w:r>
          </w:p>
          <w:p w14:paraId="772990E9">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3.2.5.2</w:t>
            </w:r>
            <w:r>
              <w:rPr>
                <w:rFonts w:hint="eastAsia" w:ascii="宋体" w:hAnsi="宋体" w:eastAsia="宋体" w:cs="Times New Roman"/>
                <w:color w:val="000000"/>
                <w:sz w:val="24"/>
                <w:highlight w:val="none"/>
              </w:rPr>
              <w:t>土壤</w:t>
            </w:r>
          </w:p>
          <w:p w14:paraId="5CEC464B">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宋体"/>
                <w:color w:val="auto"/>
                <w:sz w:val="24"/>
                <w:szCs w:val="24"/>
                <w:lang w:val="en-US" w:eastAsia="zh-CN"/>
              </w:rPr>
              <w:t>依据土壤类型分类和野外实地调查，项目土壤土种主要是棕钙砾土类，土壤母质主要为冲、洪积物，质地粗及砾石含量高。 根据实地调查及收集土地利用现状资料，土壤母质由砾石组成，含量30-40%，砾石粒径粗，磨圆度较差，向下颗粒逐渐变细、磨度逐渐变好，颗粒间由砂（含量30-40%）、土（含量约20%）充填，该层厚度大于5米。上层有效土壤厚度约20cm。土壤</w:t>
            </w:r>
            <w:r>
              <w:rPr>
                <w:rFonts w:hint="eastAsia" w:ascii="宋体" w:hAnsi="宋体" w:eastAsia="宋体" w:cs="宋体"/>
                <w:sz w:val="24"/>
                <w:szCs w:val="24"/>
                <w:lang w:val="en-US" w:eastAsia="zh-CN"/>
              </w:rPr>
              <w:t>盐碱化程度高，局部固结，</w:t>
            </w:r>
            <w:r>
              <w:rPr>
                <w:rFonts w:hint="eastAsia" w:ascii="宋体" w:hAnsi="宋体" w:eastAsia="宋体" w:cs="宋体"/>
                <w:color w:val="auto"/>
                <w:sz w:val="24"/>
                <w:szCs w:val="24"/>
                <w:lang w:val="en-US" w:eastAsia="zh-CN"/>
              </w:rPr>
              <w:t>有机质很低</w:t>
            </w:r>
            <w:r>
              <w:rPr>
                <w:rFonts w:hint="eastAsia" w:ascii="宋体" w:hAnsi="宋体" w:cs="宋体"/>
                <w:color w:val="auto"/>
                <w:sz w:val="24"/>
                <w:szCs w:val="24"/>
                <w:lang w:val="en-US" w:eastAsia="zh-CN"/>
              </w:rPr>
              <w:t>（&lt;1%）,PH值7.5-8.2</w:t>
            </w:r>
            <w:r>
              <w:rPr>
                <w:rFonts w:hint="eastAsia" w:ascii="宋体" w:hAnsi="宋体" w:eastAsia="宋体" w:cs="宋体"/>
                <w:color w:val="auto"/>
                <w:sz w:val="24"/>
                <w:szCs w:val="24"/>
                <w:lang w:val="en-US" w:eastAsia="zh-CN"/>
              </w:rPr>
              <w:t>。</w:t>
            </w:r>
            <w:r>
              <w:rPr>
                <w:rFonts w:hint="eastAsia" w:ascii="宋体" w:hAnsi="宋体" w:eastAsia="宋体" w:cs="Times New Roman"/>
                <w:color w:val="000000"/>
                <w:sz w:val="24"/>
                <w:highlight w:val="none"/>
                <w:lang w:val="en-US" w:eastAsia="zh-CN"/>
              </w:rPr>
              <w:t>根据现场调查，区地表局部呈白色盐碱壳状，胶结成块。临时用地土壤剖面见照片3-2。</w:t>
            </w:r>
          </w:p>
          <w:p w14:paraId="249CD71D">
            <w:pPr>
              <w:keepNext w:val="0"/>
              <w:keepLines w:val="0"/>
              <w:suppressLineNumbers w:val="0"/>
              <w:spacing w:before="0" w:beforeAutospacing="0" w:after="0" w:afterAutospacing="0" w:line="440" w:lineRule="exact"/>
              <w:ind w:left="0" w:right="0" w:firstLine="460" w:firstLineChars="192"/>
              <w:jc w:val="center"/>
              <w:rPr>
                <w:rFonts w:hint="eastAsia" w:ascii="宋体" w:hAnsi="宋体" w:eastAsia="宋体" w:cs="Times New Roman"/>
                <w:color w:val="000000"/>
                <w:sz w:val="24"/>
                <w:highlight w:val="none"/>
              </w:rPr>
            </w:pPr>
          </w:p>
          <w:p w14:paraId="5A47EB6E">
            <w:pPr>
              <w:keepNext w:val="0"/>
              <w:keepLines w:val="0"/>
              <w:suppressLineNumbers w:val="0"/>
              <w:spacing w:before="0" w:beforeAutospacing="0" w:after="0" w:afterAutospacing="0" w:line="440" w:lineRule="exact"/>
              <w:ind w:left="0" w:right="0" w:firstLine="463" w:firstLineChars="192"/>
              <w:jc w:val="center"/>
              <w:rPr>
                <w:rFonts w:hint="eastAsia" w:ascii="宋体" w:hAnsi="宋体" w:eastAsia="宋体" w:cs="Times New Roman"/>
                <w:color w:val="000000"/>
                <w:sz w:val="24"/>
                <w:highlight w:val="none"/>
                <w:lang w:val="en-US" w:eastAsia="zh-CN"/>
              </w:rPr>
            </w:pPr>
            <w:r>
              <w:rPr>
                <w:rFonts w:hint="default" w:ascii="宋体" w:hAnsi="宋体" w:eastAsia="宋体" w:cs="Times New Roman"/>
                <w:b/>
                <w:bCs/>
                <w:color w:val="000000"/>
                <w:sz w:val="24"/>
                <w:highlight w:val="none"/>
                <w:lang w:val="en-US" w:eastAsia="zh-CN"/>
              </w:rPr>
              <w:drawing>
                <wp:anchor distT="0" distB="0" distL="114935" distR="114935" simplePos="0" relativeHeight="251661312" behindDoc="0" locked="0" layoutInCell="1" allowOverlap="1">
                  <wp:simplePos x="0" y="0"/>
                  <wp:positionH relativeFrom="column">
                    <wp:posOffset>10160</wp:posOffset>
                  </wp:positionH>
                  <wp:positionV relativeFrom="paragraph">
                    <wp:posOffset>92710</wp:posOffset>
                  </wp:positionV>
                  <wp:extent cx="5495925" cy="1953260"/>
                  <wp:effectExtent l="0" t="0" r="5715" b="12700"/>
                  <wp:wrapTopAndBottom/>
                  <wp:docPr id="2" name="图片 315" descr="微信图片_2024122718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15" descr="微信图片_20241227180233"/>
                          <pic:cNvPicPr>
                            <a:picLocks noChangeAspect="1"/>
                          </pic:cNvPicPr>
                        </pic:nvPicPr>
                        <pic:blipFill>
                          <a:blip r:embed="rId10"/>
                          <a:srcRect/>
                          <a:stretch>
                            <a:fillRect/>
                          </a:stretch>
                        </pic:blipFill>
                        <pic:spPr>
                          <a:xfrm>
                            <a:off x="0" y="0"/>
                            <a:ext cx="5495925" cy="1953260"/>
                          </a:xfrm>
                          <a:prstGeom prst="rect">
                            <a:avLst/>
                          </a:prstGeom>
                          <a:noFill/>
                          <a:ln>
                            <a:noFill/>
                          </a:ln>
                        </pic:spPr>
                      </pic:pic>
                    </a:graphicData>
                  </a:graphic>
                </wp:anchor>
              </w:drawing>
            </w:r>
            <w:r>
              <w:rPr>
                <w:rFonts w:hint="eastAsia" w:ascii="宋体" w:hAnsi="宋体" w:eastAsia="宋体" w:cs="Times New Roman"/>
                <w:color w:val="000000"/>
                <w:sz w:val="24"/>
                <w:highlight w:val="none"/>
              </w:rPr>
              <w:t>照片3-</w:t>
            </w:r>
            <w:r>
              <w:rPr>
                <w:rFonts w:hint="eastAsia" w:ascii="宋体" w:hAnsi="宋体" w:eastAsia="宋体" w:cs="Times New Roman"/>
                <w:color w:val="000000"/>
                <w:sz w:val="24"/>
                <w:highlight w:val="none"/>
                <w:lang w:val="en-US" w:eastAsia="zh-CN"/>
              </w:rPr>
              <w:t>2 临时用地</w:t>
            </w:r>
            <w:r>
              <w:rPr>
                <w:rFonts w:hint="eastAsia" w:ascii="宋体" w:hAnsi="宋体" w:eastAsia="宋体" w:cs="Times New Roman"/>
                <w:color w:val="000000"/>
                <w:sz w:val="24"/>
                <w:highlight w:val="none"/>
              </w:rPr>
              <w:t>土壤</w:t>
            </w:r>
            <w:r>
              <w:rPr>
                <w:rFonts w:hint="eastAsia" w:ascii="宋体" w:hAnsi="宋体" w:eastAsia="宋体" w:cs="Times New Roman"/>
                <w:color w:val="000000"/>
                <w:sz w:val="24"/>
                <w:highlight w:val="none"/>
                <w:lang w:val="en-US" w:eastAsia="zh-CN"/>
              </w:rPr>
              <w:t>剖面</w:t>
            </w:r>
          </w:p>
          <w:p w14:paraId="38BBBDF8">
            <w:pPr>
              <w:keepNext w:val="0"/>
              <w:keepLines w:val="0"/>
              <w:suppressLineNumbers w:val="0"/>
              <w:spacing w:before="0" w:beforeAutospacing="0" w:after="0" w:afterAutospacing="0" w:line="440" w:lineRule="exact"/>
              <w:ind w:left="0" w:right="0" w:firstLine="482" w:firstLineChars="200"/>
              <w:rPr>
                <w:rFonts w:hint="eastAsia" w:ascii="宋体" w:hAnsi="宋体" w:eastAsia="宋体" w:cs="Times New Roman"/>
                <w:b/>
                <w:bCs/>
                <w:color w:val="000000"/>
                <w:sz w:val="24"/>
                <w:highlight w:val="none"/>
                <w:lang w:val="en-US" w:eastAsia="zh-CN"/>
              </w:rPr>
            </w:pPr>
            <w:r>
              <w:rPr>
                <w:rFonts w:hint="eastAsia" w:ascii="宋体" w:hAnsi="宋体" w:eastAsia="宋体" w:cs="Times New Roman"/>
                <w:b/>
                <w:bCs/>
                <w:color w:val="000000"/>
                <w:sz w:val="24"/>
                <w:highlight w:val="none"/>
                <w:lang w:val="en-US" w:eastAsia="zh-CN"/>
              </w:rPr>
              <w:t>3.3项目区社会经济概况</w:t>
            </w:r>
          </w:p>
          <w:p w14:paraId="2E263122">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巴里坤哈萨克自治县近三年社会经济情况如下：</w:t>
            </w:r>
          </w:p>
          <w:p w14:paraId="616D162C">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2021年，全县生产总值96.8亿元，同比增长15%；完成固定资产投资58亿元，同比增长85.7%；社会消费品零售总额9.5亿元，同比增长18%；实现一般公共预算收入8.6亿元，同比增长42%。城乡居民人均可支配收入分别达到36250元、18250</w:t>
            </w:r>
          </w:p>
          <w:p w14:paraId="40DB88A1">
            <w:pPr>
              <w:keepNext w:val="0"/>
              <w:keepLines w:val="0"/>
              <w:suppressLineNumbers w:val="0"/>
              <w:spacing w:before="0" w:beforeAutospacing="0" w:after="0" w:afterAutospacing="0" w:line="440" w:lineRule="exact"/>
              <w:ind w:left="0" w:right="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元，同比增长6.5%、7.6%。</w:t>
            </w:r>
          </w:p>
          <w:p w14:paraId="4EE11749">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2022年，全县生产总值达到124亿元，增长10%；一般公共预算收入达到19.37亿元，增长122.83%；固定资产投资达到64亿元，增长6%；城镇居民和农村居民人均可支配收入分别达到3.64万元、1.87万元，增长5.5%和8%。</w:t>
            </w:r>
          </w:p>
          <w:p w14:paraId="0629ABBE">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2023年，全县生产总值达到159.4亿元，同比增长16.5%；地方规模以上工业完成增加值87.4亿元，同比增长38.3%；一般公共预算收入达到22.17亿元，同比增长14.5%；固定资产投资达到102.32亿元，同比增长59.8%；城镇居民和农村居民人均可支配收入分别达到37869元、20445元，同比增长7%和11%。</w:t>
            </w:r>
          </w:p>
          <w:p w14:paraId="5CC23C74">
            <w:pPr>
              <w:keepNext w:val="0"/>
              <w:keepLines w:val="0"/>
              <w:suppressLineNumbers w:val="0"/>
              <w:spacing w:before="0" w:beforeAutospacing="0" w:after="0" w:afterAutospacing="0" w:line="440" w:lineRule="exact"/>
              <w:ind w:left="0" w:right="0" w:firstLine="482" w:firstLineChars="200"/>
              <w:rPr>
                <w:rFonts w:hint="default" w:ascii="Times New Roman" w:hAnsi="Times New Roman" w:eastAsia="宋体" w:cs="Times New Roman"/>
                <w:b/>
                <w:bCs/>
                <w:color w:val="000000"/>
                <w:sz w:val="24"/>
                <w:highlight w:val="none"/>
                <w:lang w:val="en-US" w:eastAsia="zh-CN"/>
              </w:rPr>
            </w:pPr>
            <w:r>
              <w:rPr>
                <w:rFonts w:hint="eastAsia" w:ascii="宋体" w:hAnsi="宋体" w:eastAsia="宋体" w:cs="Times New Roman"/>
                <w:b/>
                <w:bCs/>
                <w:color w:val="000000"/>
                <w:sz w:val="24"/>
                <w:highlight w:val="none"/>
                <w:lang w:val="en-US" w:eastAsia="zh-CN"/>
              </w:rPr>
              <w:t>3.4</w:t>
            </w:r>
            <w:r>
              <w:rPr>
                <w:rFonts w:hint="eastAsia" w:ascii="Times New Roman" w:hAnsi="Times New Roman" w:eastAsia="宋体" w:cs="Times New Roman"/>
                <w:b/>
                <w:bCs/>
                <w:color w:val="000000"/>
                <w:sz w:val="24"/>
                <w:highlight w:val="none"/>
                <w:lang w:val="en-US" w:eastAsia="zh-CN"/>
              </w:rPr>
              <w:t>项目区土地利用状况</w:t>
            </w:r>
          </w:p>
          <w:p w14:paraId="47C24254">
            <w:pPr>
              <w:keepNext w:val="0"/>
              <w:keepLines w:val="0"/>
              <w:suppressLineNumbers w:val="0"/>
              <w:spacing w:before="0" w:beforeAutospacing="0" w:after="0" w:afterAutospacing="0" w:line="440" w:lineRule="exact"/>
              <w:ind w:left="0" w:right="0" w:firstLine="480" w:firstLineChars="200"/>
              <w:rPr>
                <w:rFonts w:hint="default"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rPr>
              <w:t>根据</w:t>
            </w:r>
            <w:r>
              <w:rPr>
                <w:rFonts w:hint="eastAsia" w:ascii="宋体" w:hAnsi="宋体" w:eastAsia="宋体" w:cs="Times New Roman"/>
                <w:color w:val="000000"/>
                <w:sz w:val="24"/>
                <w:highlight w:val="none"/>
                <w:lang w:eastAsia="zh-CN"/>
              </w:rPr>
              <w:t>新疆臻图工程测绘有限公司</w:t>
            </w:r>
            <w:r>
              <w:rPr>
                <w:rFonts w:hint="eastAsia" w:ascii="宋体" w:hAnsi="宋体" w:eastAsia="宋体" w:cs="Times New Roman"/>
                <w:color w:val="000000"/>
                <w:sz w:val="24"/>
                <w:highlight w:val="none"/>
              </w:rPr>
              <w:t>编制的《</w:t>
            </w:r>
            <w:r>
              <w:rPr>
                <w:rFonts w:hint="eastAsia" w:ascii="宋体" w:hAnsi="宋体" w:eastAsia="宋体" w:cs="Times New Roman"/>
                <w:color w:val="000000"/>
                <w:sz w:val="24"/>
                <w:highlight w:val="none"/>
                <w:lang w:eastAsia="zh-CN"/>
              </w:rPr>
              <w:t>中交一公局集团有限公司G331线至三塘湖火车站道路建设项目临时用地勘测定界</w:t>
            </w:r>
            <w:r>
              <w:rPr>
                <w:rFonts w:hint="eastAsia" w:ascii="宋体" w:hAnsi="宋体" w:eastAsia="宋体" w:cs="Times New Roman"/>
                <w:color w:val="000000"/>
                <w:sz w:val="24"/>
                <w:highlight w:val="none"/>
                <w:lang w:val="en-US" w:eastAsia="zh-CN"/>
              </w:rPr>
              <w:t>技术报告书</w:t>
            </w:r>
            <w:r>
              <w:rPr>
                <w:rFonts w:hint="eastAsia" w:ascii="宋体" w:hAnsi="宋体" w:eastAsia="宋体" w:cs="Times New Roman"/>
                <w:color w:val="000000"/>
                <w:sz w:val="24"/>
                <w:highlight w:val="none"/>
              </w:rPr>
              <w:t>》，</w:t>
            </w:r>
            <w:r>
              <w:rPr>
                <w:rFonts w:hint="eastAsia" w:ascii="宋体" w:hAnsi="宋体" w:eastAsia="宋体" w:cs="Times New Roman"/>
                <w:color w:val="000000"/>
                <w:sz w:val="24"/>
                <w:highlight w:val="none"/>
                <w:lang w:val="en-US" w:eastAsia="zh-CN"/>
              </w:rPr>
              <w:t>根据实地调查及收集土地利用现状资料，项目区内无植被，</w:t>
            </w:r>
            <w:r>
              <w:rPr>
                <w:rFonts w:hint="eastAsia" w:ascii="宋体" w:hAnsi="宋体" w:cs="Times New Roman"/>
                <w:color w:val="000000"/>
                <w:sz w:val="24"/>
                <w:highlight w:val="none"/>
                <w:lang w:val="en-US" w:eastAsia="zh-CN"/>
              </w:rPr>
              <w:t>临时用地区地形坡度约3°，</w:t>
            </w:r>
            <w:r>
              <w:rPr>
                <w:rFonts w:hint="eastAsia" w:ascii="宋体" w:hAnsi="宋体" w:eastAsia="宋体" w:cs="Times New Roman"/>
                <w:color w:val="000000"/>
                <w:sz w:val="24"/>
                <w:highlight w:val="none"/>
              </w:rPr>
              <w:t>项目区内土地类型为</w:t>
            </w:r>
            <w:r>
              <w:rPr>
                <w:rFonts w:hint="eastAsia" w:ascii="宋体" w:hAnsi="宋体" w:eastAsia="宋体" w:cs="Times New Roman"/>
                <w:color w:val="000000"/>
                <w:sz w:val="24"/>
                <w:highlight w:val="none"/>
                <w:lang w:val="en-US" w:eastAsia="zh-CN"/>
              </w:rPr>
              <w:t>裸岩石砾地和盐田及采矿用地</w:t>
            </w:r>
            <w:r>
              <w:rPr>
                <w:rFonts w:hint="eastAsia" w:ascii="宋体" w:hAnsi="宋体" w:eastAsia="宋体" w:cs="Times New Roman"/>
                <w:color w:val="000000"/>
                <w:sz w:val="24"/>
                <w:highlight w:val="none"/>
              </w:rPr>
              <w:t>，</w:t>
            </w:r>
            <w:r>
              <w:rPr>
                <w:rFonts w:hint="eastAsia" w:ascii="宋体" w:hAnsi="宋体" w:cs="Times New Roman"/>
                <w:color w:val="000000"/>
                <w:sz w:val="24"/>
                <w:highlight w:val="none"/>
                <w:lang w:val="en-US" w:eastAsia="zh-CN"/>
              </w:rPr>
              <w:t>本次涉及</w:t>
            </w:r>
            <w:r>
              <w:rPr>
                <w:rFonts w:hint="eastAsia" w:ascii="宋体" w:hAnsi="宋体" w:eastAsia="宋体" w:cs="Times New Roman"/>
                <w:color w:val="000000"/>
                <w:sz w:val="24"/>
                <w:highlight w:val="none"/>
                <w:lang w:val="en-US" w:eastAsia="zh-CN"/>
              </w:rPr>
              <w:t>盐田及采矿用地</w:t>
            </w:r>
            <w:r>
              <w:rPr>
                <w:rFonts w:hint="eastAsia" w:ascii="宋体" w:hAnsi="宋体" w:cs="Times New Roman"/>
                <w:color w:val="000000"/>
                <w:sz w:val="24"/>
                <w:highlight w:val="none"/>
                <w:lang w:val="en-US" w:eastAsia="zh-CN"/>
              </w:rPr>
              <w:t>现状未利用，土壤特点与周边</w:t>
            </w:r>
            <w:r>
              <w:rPr>
                <w:rFonts w:hint="eastAsia" w:ascii="宋体" w:hAnsi="宋体" w:eastAsia="宋体" w:cs="Times New Roman"/>
                <w:color w:val="000000"/>
                <w:sz w:val="24"/>
                <w:highlight w:val="none"/>
                <w:lang w:val="en-US" w:eastAsia="zh-CN"/>
              </w:rPr>
              <w:t>裸岩石砾地</w:t>
            </w:r>
            <w:r>
              <w:rPr>
                <w:rFonts w:hint="eastAsia" w:ascii="宋体" w:hAnsi="宋体" w:cs="Times New Roman"/>
                <w:color w:val="000000"/>
                <w:sz w:val="24"/>
                <w:highlight w:val="none"/>
                <w:lang w:val="en-US" w:eastAsia="zh-CN"/>
              </w:rPr>
              <w:t>基本一致。</w:t>
            </w:r>
            <w:r>
              <w:rPr>
                <w:rFonts w:hint="eastAsia" w:ascii="宋体" w:hAnsi="宋体" w:eastAsia="宋体" w:cs="宋体"/>
                <w:color w:val="auto"/>
                <w:sz w:val="24"/>
                <w:szCs w:val="24"/>
                <w:lang w:val="en-US" w:eastAsia="zh-CN"/>
              </w:rPr>
              <w:t>项目区范围土壤类型主要是棕钙砾土类，土壤母质主要为冲、洪积物，质地粗及砾石含量高。根据实地调查及收集土地利用现状资料，土壤母质由砾石组成，含量30-40%，砾石粒径粗，磨圆度较差，向下颗粒逐渐变细、磨度逐渐变好，颗粒间由砂（含量30-40%）、土（含量约20%）充填，该层厚度大于5米。上层有效土壤厚度约20cm。土壤</w:t>
            </w:r>
            <w:r>
              <w:rPr>
                <w:rFonts w:hint="eastAsia" w:ascii="宋体" w:hAnsi="宋体" w:eastAsia="宋体" w:cs="宋体"/>
                <w:sz w:val="24"/>
                <w:szCs w:val="24"/>
                <w:lang w:val="en-US" w:eastAsia="zh-CN"/>
              </w:rPr>
              <w:t>盐碱化程度高，局部固结，</w:t>
            </w:r>
            <w:r>
              <w:rPr>
                <w:rFonts w:hint="eastAsia" w:ascii="宋体" w:hAnsi="宋体" w:eastAsia="宋体" w:cs="宋体"/>
                <w:color w:val="auto"/>
                <w:sz w:val="24"/>
                <w:szCs w:val="24"/>
                <w:lang w:val="en-US" w:eastAsia="zh-CN"/>
              </w:rPr>
              <w:t>有机质很低</w:t>
            </w:r>
            <w:r>
              <w:rPr>
                <w:rFonts w:hint="eastAsia" w:ascii="宋体" w:hAnsi="宋体" w:eastAsia="宋体" w:cs="Times New Roman"/>
                <w:color w:val="000000"/>
                <w:sz w:val="24"/>
                <w:highlight w:val="none"/>
                <w:lang w:val="en-US" w:eastAsia="zh-CN"/>
              </w:rPr>
              <w:t>。</w:t>
            </w:r>
          </w:p>
          <w:p w14:paraId="516EE4AF">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eastAsia="zh-CN"/>
              </w:rPr>
              <w:t>中交一公局集团有限公司G331线至三塘湖火车站道路建设项目临时用地，</w:t>
            </w:r>
            <w:r>
              <w:rPr>
                <w:rFonts w:hint="eastAsia" w:ascii="宋体" w:hAnsi="宋体" w:eastAsia="宋体" w:cs="Times New Roman"/>
                <w:color w:val="000000"/>
                <w:sz w:val="24"/>
                <w:highlight w:val="none"/>
                <w:lang w:val="en-US" w:eastAsia="zh-CN"/>
              </w:rPr>
              <w:t>共计6宗地</w:t>
            </w:r>
            <w:r>
              <w:rPr>
                <w:rFonts w:hint="eastAsia" w:ascii="宋体" w:hAnsi="宋体" w:eastAsia="宋体" w:cs="Times New Roman"/>
                <w:color w:val="000000"/>
                <w:sz w:val="24"/>
                <w:highlight w:val="none"/>
              </w:rPr>
              <w:t>，合计</w:t>
            </w:r>
            <w:r>
              <w:rPr>
                <w:rFonts w:hint="eastAsia" w:ascii="宋体" w:hAnsi="宋体" w:eastAsia="宋体" w:cs="Times New Roman"/>
                <w:color w:val="000000"/>
                <w:sz w:val="24"/>
                <w:highlight w:val="none"/>
                <w:lang w:val="en-US" w:eastAsia="zh-CN"/>
              </w:rPr>
              <w:t>3.6828</w:t>
            </w:r>
            <w:r>
              <w:rPr>
                <w:rFonts w:hint="eastAsia" w:ascii="宋体" w:hAnsi="宋体" w:eastAsia="宋体" w:cs="Times New Roman"/>
                <w:color w:val="000000"/>
                <w:sz w:val="24"/>
                <w:highlight w:val="none"/>
              </w:rPr>
              <w:t>公顷。其中</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lang w:val="en-US" w:eastAsia="zh-CN"/>
              </w:rPr>
              <w:t>裸岩石砾地2.4620公顷，盐田及采矿用地1.2208 0公顷。裸岩石砾地和盐田及采矿用地均预测为压占。</w:t>
            </w:r>
          </w:p>
          <w:p w14:paraId="0D59B2CC">
            <w:pPr>
              <w:keepNext w:val="0"/>
              <w:keepLines w:val="0"/>
              <w:suppressLineNumbers w:val="0"/>
              <w:spacing w:before="0" w:beforeAutospacing="0" w:after="0" w:afterAutospacing="0" w:line="440" w:lineRule="exact"/>
              <w:ind w:left="0" w:right="0" w:firstLine="480" w:firstLineChars="200"/>
              <w:rPr>
                <w:rFonts w:hint="default"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隶属巴里坤哈萨克自治县三塘湖镇，属国有土地，不涉及</w:t>
            </w:r>
            <w:r>
              <w:rPr>
                <w:rFonts w:hint="eastAsia" w:ascii="宋体" w:hAnsi="宋体" w:eastAsia="宋体" w:cs="Times New Roman"/>
                <w:color w:val="000000"/>
                <w:sz w:val="24"/>
                <w:highlight w:val="none"/>
              </w:rPr>
              <w:t>基本农田</w:t>
            </w:r>
            <w:r>
              <w:rPr>
                <w:rFonts w:hint="eastAsia" w:ascii="宋体" w:hAnsi="宋体" w:eastAsia="宋体" w:cs="Times New Roman"/>
                <w:color w:val="000000"/>
                <w:sz w:val="24"/>
                <w:highlight w:val="none"/>
                <w:lang w:val="en-US" w:eastAsia="zh-CN"/>
              </w:rPr>
              <w:t>和林地。</w:t>
            </w:r>
          </w:p>
          <w:p w14:paraId="6C2B8B50">
            <w:pPr>
              <w:keepNext w:val="0"/>
              <w:keepLines w:val="0"/>
              <w:suppressLineNumbers w:val="0"/>
              <w:spacing w:before="0" w:beforeAutospacing="0" w:after="0" w:afterAutospacing="0" w:line="440" w:lineRule="exact"/>
              <w:ind w:left="0" w:right="0"/>
              <w:jc w:val="center"/>
              <w:rPr>
                <w:rFonts w:hint="eastAsia" w:ascii="宋体" w:hAnsi="宋体" w:eastAsia="宋体" w:cs="Times New Roman"/>
                <w:b/>
                <w:bCs/>
                <w:color w:val="000000"/>
                <w:sz w:val="24"/>
                <w:highlight w:val="none"/>
              </w:rPr>
            </w:pPr>
            <w:r>
              <w:rPr>
                <w:rFonts w:hint="eastAsia" w:ascii="宋体" w:hAnsi="宋体" w:eastAsia="宋体" w:cs="Times New Roman"/>
                <w:b/>
                <w:bCs/>
                <w:color w:val="000000"/>
                <w:sz w:val="24"/>
                <w:highlight w:val="none"/>
              </w:rPr>
              <w:t>表3-</w:t>
            </w:r>
            <w:r>
              <w:rPr>
                <w:rFonts w:hint="eastAsia" w:ascii="宋体" w:hAnsi="宋体" w:eastAsia="宋体" w:cs="Times New Roman"/>
                <w:b/>
                <w:bCs/>
                <w:color w:val="000000"/>
                <w:sz w:val="24"/>
                <w:highlight w:val="none"/>
                <w:lang w:val="en-US" w:eastAsia="zh-CN"/>
              </w:rPr>
              <w:t>2</w:t>
            </w:r>
            <w:r>
              <w:rPr>
                <w:rFonts w:hint="eastAsia" w:ascii="宋体" w:hAnsi="宋体" w:eastAsia="宋体" w:cs="Times New Roman"/>
                <w:b/>
                <w:bCs/>
                <w:color w:val="000000"/>
                <w:sz w:val="24"/>
                <w:highlight w:val="none"/>
              </w:rPr>
              <w:tab/>
            </w:r>
            <w:r>
              <w:rPr>
                <w:rFonts w:hint="eastAsia" w:ascii="宋体" w:hAnsi="宋体" w:eastAsia="宋体" w:cs="Times New Roman"/>
                <w:b/>
                <w:bCs/>
                <w:color w:val="000000"/>
                <w:sz w:val="24"/>
                <w:highlight w:val="none"/>
              </w:rPr>
              <w:t>土地</w:t>
            </w:r>
            <w:r>
              <w:rPr>
                <w:rFonts w:hint="eastAsia" w:ascii="宋体" w:hAnsi="宋体" w:eastAsia="宋体" w:cs="Times New Roman"/>
                <w:b/>
                <w:bCs/>
                <w:color w:val="000000"/>
                <w:sz w:val="24"/>
                <w:highlight w:val="none"/>
                <w:lang w:val="en-US" w:eastAsia="zh-CN"/>
              </w:rPr>
              <w:t>利用现状信息</w:t>
            </w:r>
            <w:r>
              <w:rPr>
                <w:rFonts w:hint="eastAsia" w:ascii="宋体" w:hAnsi="宋体" w:eastAsia="宋体" w:cs="Times New Roman"/>
                <w:b/>
                <w:bCs/>
                <w:color w:val="000000"/>
                <w:sz w:val="24"/>
                <w:highlight w:val="none"/>
              </w:rPr>
              <w:t>表</w:t>
            </w:r>
          </w:p>
          <w:tbl>
            <w:tblPr>
              <w:tblStyle w:val="19"/>
              <w:tblW w:w="82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91"/>
              <w:gridCol w:w="1056"/>
              <w:gridCol w:w="729"/>
              <w:gridCol w:w="1454"/>
              <w:gridCol w:w="1925"/>
              <w:gridCol w:w="1385"/>
            </w:tblGrid>
            <w:tr w14:paraId="2364F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jc w:val="center"/>
              </w:trPr>
              <w:tc>
                <w:tcPr>
                  <w:tcW w:w="1691" w:type="dxa"/>
                  <w:vMerge w:val="restart"/>
                  <w:tcBorders>
                    <w:top w:val="single" w:color="000000" w:sz="4" w:space="0"/>
                    <w:left w:val="single" w:color="000000" w:sz="4" w:space="0"/>
                    <w:right w:val="single" w:color="000000" w:sz="4" w:space="0"/>
                  </w:tcBorders>
                  <w:noWrap w:val="0"/>
                  <w:vAlign w:val="center"/>
                </w:tcPr>
                <w:p w14:paraId="098C48D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宗地名称</w:t>
                  </w:r>
                </w:p>
              </w:tc>
              <w:tc>
                <w:tcPr>
                  <w:tcW w:w="1056" w:type="dxa"/>
                  <w:vMerge w:val="restart"/>
                  <w:tcBorders>
                    <w:top w:val="single" w:color="000000" w:sz="4" w:space="0"/>
                    <w:left w:val="single" w:color="000000" w:sz="4" w:space="0"/>
                    <w:right w:val="single" w:color="000000" w:sz="4" w:space="0"/>
                  </w:tcBorders>
                  <w:noWrap w:val="0"/>
                  <w:vAlign w:val="center"/>
                </w:tcPr>
                <w:p w14:paraId="7AD0984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default"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行政区划</w:t>
                  </w:r>
                </w:p>
              </w:tc>
              <w:tc>
                <w:tcPr>
                  <w:tcW w:w="729" w:type="dxa"/>
                  <w:vMerge w:val="restart"/>
                  <w:tcBorders>
                    <w:top w:val="single" w:color="000000" w:sz="4" w:space="0"/>
                    <w:left w:val="single" w:color="000000" w:sz="4" w:space="0"/>
                    <w:bottom w:val="single" w:color="000000" w:sz="4" w:space="0"/>
                    <w:right w:val="single" w:color="000000" w:sz="4" w:space="0"/>
                  </w:tcBorders>
                  <w:noWrap w:val="0"/>
                  <w:vAlign w:val="center"/>
                </w:tcPr>
                <w:p w14:paraId="376B080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权属</w:t>
                  </w:r>
                </w:p>
              </w:tc>
              <w:tc>
                <w:tcPr>
                  <w:tcW w:w="1454" w:type="dxa"/>
                  <w:tcBorders>
                    <w:top w:val="single" w:color="000000" w:sz="4" w:space="0"/>
                    <w:left w:val="single" w:color="auto" w:sz="4" w:space="0"/>
                    <w:bottom w:val="single" w:color="000000" w:sz="4" w:space="0"/>
                    <w:right w:val="single" w:color="000000" w:sz="4" w:space="0"/>
                  </w:tcBorders>
                  <w:noWrap w:val="0"/>
                  <w:vAlign w:val="center"/>
                </w:tcPr>
                <w:p w14:paraId="6A8A482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其他用地</w:t>
                  </w:r>
                </w:p>
              </w:tc>
              <w:tc>
                <w:tcPr>
                  <w:tcW w:w="1925" w:type="dxa"/>
                  <w:tcBorders>
                    <w:top w:val="single" w:color="000000" w:sz="4" w:space="0"/>
                    <w:left w:val="single" w:color="auto" w:sz="4" w:space="0"/>
                    <w:bottom w:val="single" w:color="auto" w:sz="4" w:space="0"/>
                    <w:right w:val="single" w:color="auto" w:sz="4" w:space="0"/>
                  </w:tcBorders>
                  <w:noWrap w:val="0"/>
                  <w:vAlign w:val="center"/>
                </w:tcPr>
                <w:p w14:paraId="7D95509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工矿用地</w:t>
                  </w:r>
                </w:p>
              </w:tc>
              <w:tc>
                <w:tcPr>
                  <w:tcW w:w="1385" w:type="dxa"/>
                  <w:tcBorders>
                    <w:top w:val="single" w:color="000000" w:sz="4" w:space="0"/>
                    <w:left w:val="single" w:color="000000" w:sz="4" w:space="0"/>
                    <w:right w:val="single" w:color="auto" w:sz="4" w:space="0"/>
                  </w:tcBorders>
                  <w:noWrap w:val="0"/>
                  <w:vAlign w:val="center"/>
                </w:tcPr>
                <w:p w14:paraId="0786549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面积</w:t>
                  </w:r>
                </w:p>
              </w:tc>
            </w:tr>
            <w:tr w14:paraId="4BDC1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1691" w:type="dxa"/>
                  <w:vMerge w:val="continue"/>
                  <w:tcBorders>
                    <w:left w:val="single" w:color="000000" w:sz="4" w:space="0"/>
                    <w:bottom w:val="single" w:color="000000" w:sz="4" w:space="0"/>
                    <w:right w:val="single" w:color="000000" w:sz="4" w:space="0"/>
                  </w:tcBorders>
                  <w:noWrap w:val="0"/>
                  <w:vAlign w:val="center"/>
                </w:tcPr>
                <w:p w14:paraId="1ED2CBA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rPr>
                  </w:pPr>
                </w:p>
              </w:tc>
              <w:tc>
                <w:tcPr>
                  <w:tcW w:w="1056" w:type="dxa"/>
                  <w:vMerge w:val="continue"/>
                  <w:tcBorders>
                    <w:left w:val="single" w:color="000000" w:sz="4" w:space="0"/>
                    <w:bottom w:val="single" w:color="000000" w:sz="4" w:space="0"/>
                    <w:right w:val="single" w:color="000000" w:sz="4" w:space="0"/>
                  </w:tcBorders>
                  <w:noWrap w:val="0"/>
                  <w:vAlign w:val="center"/>
                </w:tcPr>
                <w:p w14:paraId="654CD1D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rPr>
                  </w:pPr>
                </w:p>
              </w:tc>
              <w:tc>
                <w:tcPr>
                  <w:tcW w:w="7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07A90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rPr>
                  </w:pPr>
                </w:p>
              </w:tc>
              <w:tc>
                <w:tcPr>
                  <w:tcW w:w="1454" w:type="dxa"/>
                  <w:tcBorders>
                    <w:top w:val="single" w:color="000000" w:sz="4" w:space="0"/>
                    <w:left w:val="single" w:color="auto" w:sz="4" w:space="0"/>
                    <w:bottom w:val="single" w:color="000000" w:sz="4" w:space="0"/>
                    <w:right w:val="single" w:color="000000" w:sz="4" w:space="0"/>
                  </w:tcBorders>
                  <w:noWrap w:val="0"/>
                  <w:vAlign w:val="center"/>
                </w:tcPr>
                <w:p w14:paraId="0FEEF93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裸岩石砾地</w:t>
                  </w:r>
                </w:p>
              </w:tc>
              <w:tc>
                <w:tcPr>
                  <w:tcW w:w="1925" w:type="dxa"/>
                  <w:tcBorders>
                    <w:top w:val="single" w:color="auto" w:sz="4" w:space="0"/>
                    <w:left w:val="single" w:color="auto" w:sz="4" w:space="0"/>
                    <w:bottom w:val="single" w:color="000000" w:sz="4" w:space="0"/>
                    <w:right w:val="single" w:color="auto" w:sz="4" w:space="0"/>
                  </w:tcBorders>
                  <w:noWrap w:val="0"/>
                  <w:vAlign w:val="center"/>
                </w:tcPr>
                <w:p w14:paraId="1FD29B7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盐田及采矿用地</w:t>
                  </w:r>
                </w:p>
              </w:tc>
              <w:tc>
                <w:tcPr>
                  <w:tcW w:w="1385" w:type="dxa"/>
                  <w:tcBorders>
                    <w:left w:val="single" w:color="000000" w:sz="4" w:space="0"/>
                    <w:bottom w:val="single" w:color="000000" w:sz="4" w:space="0"/>
                    <w:right w:val="single" w:color="auto" w:sz="4" w:space="0"/>
                  </w:tcBorders>
                  <w:noWrap w:val="0"/>
                  <w:vAlign w:val="center"/>
                </w:tcPr>
                <w:p w14:paraId="673125F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（公顷）</w:t>
                  </w:r>
                </w:p>
              </w:tc>
            </w:tr>
            <w:tr w14:paraId="32D83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1691" w:type="dxa"/>
                  <w:tcBorders>
                    <w:top w:val="single" w:color="000000" w:sz="4" w:space="0"/>
                    <w:left w:val="single" w:color="000000" w:sz="4" w:space="0"/>
                    <w:right w:val="single" w:color="000000" w:sz="4" w:space="0"/>
                  </w:tcBorders>
                  <w:noWrap w:val="0"/>
                  <w:vAlign w:val="center"/>
                </w:tcPr>
                <w:p w14:paraId="36B0F27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制梁场1</w:t>
                  </w:r>
                </w:p>
              </w:tc>
              <w:tc>
                <w:tcPr>
                  <w:tcW w:w="1056" w:type="dxa"/>
                  <w:vMerge w:val="restart"/>
                  <w:tcBorders>
                    <w:top w:val="single" w:color="000000" w:sz="4" w:space="0"/>
                    <w:left w:val="single" w:color="000000" w:sz="4" w:space="0"/>
                    <w:right w:val="single" w:color="000000" w:sz="4" w:space="0"/>
                  </w:tcBorders>
                  <w:noWrap w:val="0"/>
                  <w:vAlign w:val="center"/>
                </w:tcPr>
                <w:p w14:paraId="4EA2109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巴里坤哈萨克自治县三塘湖镇</w:t>
                  </w:r>
                </w:p>
                <w:p w14:paraId="38E0EC8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p>
              </w:tc>
              <w:tc>
                <w:tcPr>
                  <w:tcW w:w="729" w:type="dxa"/>
                  <w:vMerge w:val="restart"/>
                  <w:tcBorders>
                    <w:top w:val="single" w:color="000000" w:sz="4" w:space="0"/>
                    <w:left w:val="single" w:color="000000" w:sz="4" w:space="0"/>
                    <w:right w:val="single" w:color="000000" w:sz="4" w:space="0"/>
                  </w:tcBorders>
                  <w:noWrap w:val="0"/>
                  <w:vAlign w:val="center"/>
                </w:tcPr>
                <w:p w14:paraId="1615463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国有</w:t>
                  </w:r>
                </w:p>
                <w:p w14:paraId="1AB990D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p>
              </w:tc>
              <w:tc>
                <w:tcPr>
                  <w:tcW w:w="1454" w:type="dxa"/>
                  <w:tcBorders>
                    <w:top w:val="single" w:color="000000" w:sz="4" w:space="0"/>
                    <w:left w:val="single" w:color="000000" w:sz="4" w:space="0"/>
                    <w:bottom w:val="single" w:color="000000" w:sz="4" w:space="0"/>
                    <w:right w:val="single" w:color="000000" w:sz="4" w:space="0"/>
                  </w:tcBorders>
                  <w:noWrap w:val="0"/>
                  <w:vAlign w:val="center"/>
                </w:tcPr>
                <w:p w14:paraId="47A6A4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i w:val="0"/>
                      <w:color w:val="000000"/>
                      <w:kern w:val="0"/>
                      <w:sz w:val="21"/>
                      <w:szCs w:val="21"/>
                      <w:u w:val="none"/>
                      <w:lang w:val="en-US" w:eastAsia="zh-CN" w:bidi="ar"/>
                    </w:rPr>
                    <w:t>0.3553</w:t>
                  </w:r>
                </w:p>
              </w:tc>
              <w:tc>
                <w:tcPr>
                  <w:tcW w:w="1925" w:type="dxa"/>
                  <w:tcBorders>
                    <w:top w:val="single" w:color="000000" w:sz="4" w:space="0"/>
                    <w:left w:val="single" w:color="000000" w:sz="4" w:space="0"/>
                    <w:bottom w:val="single" w:color="000000" w:sz="4" w:space="0"/>
                    <w:right w:val="single" w:color="000000" w:sz="4" w:space="0"/>
                  </w:tcBorders>
                  <w:noWrap w:val="0"/>
                  <w:vAlign w:val="center"/>
                </w:tcPr>
                <w:p w14:paraId="6829D540">
                  <w:pPr>
                    <w:keepNext w:val="0"/>
                    <w:keepLines w:val="0"/>
                    <w:suppressLineNumbers w:val="0"/>
                    <w:spacing w:before="0" w:beforeAutospacing="0" w:after="0" w:afterAutospacing="0"/>
                    <w:ind w:left="0" w:right="0"/>
                    <w:jc w:val="center"/>
                    <w:rPr>
                      <w:rFonts w:hint="eastAsia" w:ascii="宋体" w:hAnsi="宋体" w:eastAsia="宋体" w:cs="宋体"/>
                      <w:color w:val="000000"/>
                      <w:kern w:val="0"/>
                      <w:sz w:val="21"/>
                      <w:szCs w:val="21"/>
                      <w:highlight w:val="none"/>
                      <w:lang w:val="en-US" w:eastAsia="zh-CN"/>
                    </w:rPr>
                  </w:pPr>
                </w:p>
              </w:tc>
              <w:tc>
                <w:tcPr>
                  <w:tcW w:w="1385" w:type="dxa"/>
                  <w:tcBorders>
                    <w:top w:val="single" w:color="000000" w:sz="4" w:space="0"/>
                    <w:left w:val="single" w:color="000000" w:sz="4" w:space="0"/>
                    <w:bottom w:val="single" w:color="000000" w:sz="4" w:space="0"/>
                    <w:right w:val="single" w:color="000000" w:sz="4" w:space="0"/>
                  </w:tcBorders>
                  <w:noWrap w:val="0"/>
                  <w:vAlign w:val="center"/>
                </w:tcPr>
                <w:p w14:paraId="5B9402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i w:val="0"/>
                      <w:color w:val="000000"/>
                      <w:kern w:val="0"/>
                      <w:sz w:val="21"/>
                      <w:szCs w:val="21"/>
                      <w:u w:val="none"/>
                      <w:lang w:val="en-US" w:eastAsia="zh-CN" w:bidi="ar"/>
                    </w:rPr>
                    <w:t>0.3553</w:t>
                  </w:r>
                </w:p>
              </w:tc>
            </w:tr>
            <w:tr w14:paraId="50521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1691" w:type="dxa"/>
                  <w:tcBorders>
                    <w:top w:val="single" w:color="auto" w:sz="4" w:space="0"/>
                    <w:left w:val="single" w:color="000000" w:sz="4" w:space="0"/>
                    <w:bottom w:val="single" w:color="000000" w:sz="4" w:space="0"/>
                    <w:right w:val="single" w:color="000000" w:sz="4" w:space="0"/>
                  </w:tcBorders>
                  <w:noWrap w:val="0"/>
                  <w:vAlign w:val="center"/>
                </w:tcPr>
                <w:p w14:paraId="4509A6D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制梁场2</w:t>
                  </w:r>
                </w:p>
              </w:tc>
              <w:tc>
                <w:tcPr>
                  <w:tcW w:w="1056" w:type="dxa"/>
                  <w:vMerge w:val="continue"/>
                  <w:tcBorders>
                    <w:left w:val="single" w:color="000000" w:sz="4" w:space="0"/>
                    <w:right w:val="single" w:color="000000" w:sz="4" w:space="0"/>
                  </w:tcBorders>
                  <w:noWrap w:val="0"/>
                  <w:vAlign w:val="center"/>
                </w:tcPr>
                <w:p w14:paraId="658C884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p>
              </w:tc>
              <w:tc>
                <w:tcPr>
                  <w:tcW w:w="729" w:type="dxa"/>
                  <w:vMerge w:val="continue"/>
                  <w:tcBorders>
                    <w:left w:val="single" w:color="000000" w:sz="4" w:space="0"/>
                    <w:right w:val="single" w:color="000000" w:sz="4" w:space="0"/>
                  </w:tcBorders>
                  <w:noWrap w:val="0"/>
                  <w:vAlign w:val="center"/>
                </w:tcPr>
                <w:p w14:paraId="6A469B4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p>
              </w:tc>
              <w:tc>
                <w:tcPr>
                  <w:tcW w:w="1454" w:type="dxa"/>
                  <w:tcBorders>
                    <w:left w:val="single" w:color="000000" w:sz="4" w:space="0"/>
                    <w:bottom w:val="single" w:color="000000" w:sz="4" w:space="0"/>
                    <w:right w:val="single" w:color="000000" w:sz="4" w:space="0"/>
                  </w:tcBorders>
                  <w:noWrap w:val="0"/>
                  <w:vAlign w:val="center"/>
                </w:tcPr>
                <w:p w14:paraId="1E8740DC">
                  <w:pPr>
                    <w:keepNext w:val="0"/>
                    <w:keepLines w:val="0"/>
                    <w:suppressLineNumbers w:val="0"/>
                    <w:spacing w:before="0" w:beforeAutospacing="0" w:after="0" w:afterAutospacing="0"/>
                    <w:ind w:left="0" w:right="0"/>
                    <w:jc w:val="center"/>
                    <w:rPr>
                      <w:rFonts w:hint="eastAsia" w:ascii="宋体" w:hAnsi="宋体" w:eastAsia="宋体" w:cs="宋体"/>
                      <w:color w:val="000000"/>
                      <w:kern w:val="0"/>
                      <w:sz w:val="21"/>
                      <w:szCs w:val="21"/>
                      <w:highlight w:val="none"/>
                      <w:lang w:val="en-US" w:eastAsia="zh-CN"/>
                    </w:rPr>
                  </w:pPr>
                </w:p>
              </w:tc>
              <w:tc>
                <w:tcPr>
                  <w:tcW w:w="1925" w:type="dxa"/>
                  <w:tcBorders>
                    <w:left w:val="single" w:color="000000" w:sz="4" w:space="0"/>
                    <w:bottom w:val="single" w:color="000000" w:sz="4" w:space="0"/>
                    <w:right w:val="single" w:color="000000" w:sz="4" w:space="0"/>
                  </w:tcBorders>
                  <w:noWrap w:val="0"/>
                  <w:vAlign w:val="center"/>
                </w:tcPr>
                <w:p w14:paraId="64D58C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i w:val="0"/>
                      <w:color w:val="000000"/>
                      <w:kern w:val="0"/>
                      <w:sz w:val="21"/>
                      <w:szCs w:val="21"/>
                      <w:u w:val="none"/>
                      <w:lang w:val="en-US" w:eastAsia="zh-CN" w:bidi="ar"/>
                    </w:rPr>
                    <w:t>0.3904</w:t>
                  </w:r>
                </w:p>
              </w:tc>
              <w:tc>
                <w:tcPr>
                  <w:tcW w:w="1385" w:type="dxa"/>
                  <w:tcBorders>
                    <w:left w:val="single" w:color="000000" w:sz="4" w:space="0"/>
                    <w:bottom w:val="single" w:color="000000" w:sz="4" w:space="0"/>
                    <w:right w:val="single" w:color="000000" w:sz="4" w:space="0"/>
                  </w:tcBorders>
                  <w:noWrap w:val="0"/>
                  <w:vAlign w:val="center"/>
                </w:tcPr>
                <w:p w14:paraId="0CABCA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color w:val="000000"/>
                      <w:kern w:val="0"/>
                      <w:sz w:val="21"/>
                      <w:szCs w:val="21"/>
                      <w:u w:val="none"/>
                      <w:lang w:val="en-US" w:eastAsia="zh-CN" w:bidi="ar"/>
                    </w:rPr>
                    <w:t>0.3904</w:t>
                  </w:r>
                </w:p>
              </w:tc>
            </w:tr>
            <w:tr w14:paraId="2D952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1691" w:type="dxa"/>
                  <w:tcBorders>
                    <w:left w:val="single" w:color="000000" w:sz="4" w:space="0"/>
                    <w:bottom w:val="single" w:color="auto" w:sz="4" w:space="0"/>
                    <w:right w:val="single" w:color="000000" w:sz="4" w:space="0"/>
                  </w:tcBorders>
                  <w:noWrap w:val="0"/>
                  <w:vAlign w:val="center"/>
                </w:tcPr>
                <w:p w14:paraId="7A77257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材料堆场1</w:t>
                  </w:r>
                </w:p>
              </w:tc>
              <w:tc>
                <w:tcPr>
                  <w:tcW w:w="1056" w:type="dxa"/>
                  <w:vMerge w:val="continue"/>
                  <w:tcBorders>
                    <w:left w:val="single" w:color="000000" w:sz="4" w:space="0"/>
                    <w:right w:val="single" w:color="000000" w:sz="4" w:space="0"/>
                  </w:tcBorders>
                  <w:noWrap w:val="0"/>
                  <w:vAlign w:val="center"/>
                </w:tcPr>
                <w:p w14:paraId="39AD742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p>
              </w:tc>
              <w:tc>
                <w:tcPr>
                  <w:tcW w:w="729" w:type="dxa"/>
                  <w:vMerge w:val="continue"/>
                  <w:tcBorders>
                    <w:left w:val="single" w:color="000000" w:sz="4" w:space="0"/>
                    <w:right w:val="single" w:color="000000" w:sz="4" w:space="0"/>
                  </w:tcBorders>
                  <w:noWrap w:val="0"/>
                  <w:vAlign w:val="center"/>
                </w:tcPr>
                <w:p w14:paraId="3C601F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p>
              </w:tc>
              <w:tc>
                <w:tcPr>
                  <w:tcW w:w="1454" w:type="dxa"/>
                  <w:tcBorders>
                    <w:top w:val="single" w:color="000000" w:sz="4" w:space="0"/>
                    <w:left w:val="single" w:color="000000" w:sz="4" w:space="0"/>
                    <w:bottom w:val="single" w:color="000000" w:sz="4" w:space="0"/>
                    <w:right w:val="single" w:color="000000" w:sz="4" w:space="0"/>
                  </w:tcBorders>
                  <w:noWrap w:val="0"/>
                  <w:vAlign w:val="center"/>
                </w:tcPr>
                <w:p w14:paraId="58E54E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sz w:val="21"/>
                      <w:szCs w:val="21"/>
                      <w:lang w:eastAsia="zh-CN"/>
                    </w:rPr>
                  </w:pPr>
                  <w:r>
                    <w:rPr>
                      <w:rFonts w:hint="eastAsia" w:ascii="宋体" w:hAnsi="宋体" w:eastAsia="宋体" w:cs="宋体"/>
                      <w:i w:val="0"/>
                      <w:color w:val="000000"/>
                      <w:kern w:val="0"/>
                      <w:sz w:val="21"/>
                      <w:szCs w:val="21"/>
                      <w:u w:val="none"/>
                      <w:lang w:val="en-US" w:eastAsia="zh-CN" w:bidi="ar"/>
                    </w:rPr>
                    <w:t>0.4295</w:t>
                  </w:r>
                </w:p>
              </w:tc>
              <w:tc>
                <w:tcPr>
                  <w:tcW w:w="1925" w:type="dxa"/>
                  <w:tcBorders>
                    <w:top w:val="single" w:color="000000" w:sz="4" w:space="0"/>
                    <w:left w:val="single" w:color="000000" w:sz="4" w:space="0"/>
                    <w:bottom w:val="single" w:color="000000" w:sz="4" w:space="0"/>
                    <w:right w:val="single" w:color="000000" w:sz="4" w:space="0"/>
                  </w:tcBorders>
                  <w:noWrap w:val="0"/>
                  <w:vAlign w:val="center"/>
                </w:tcPr>
                <w:p w14:paraId="567F0326">
                  <w:pPr>
                    <w:keepNext w:val="0"/>
                    <w:keepLines w:val="0"/>
                    <w:suppressLineNumbers w:val="0"/>
                    <w:spacing w:before="0" w:beforeAutospacing="0" w:after="0" w:afterAutospacing="0"/>
                    <w:ind w:left="0" w:right="0"/>
                    <w:jc w:val="center"/>
                    <w:rPr>
                      <w:rFonts w:hint="eastAsia" w:ascii="宋体" w:hAnsi="宋体" w:eastAsia="宋体" w:cs="宋体"/>
                      <w:color w:val="000000"/>
                      <w:kern w:val="0"/>
                      <w:sz w:val="21"/>
                      <w:szCs w:val="21"/>
                      <w:highlight w:val="none"/>
                      <w:lang w:val="en-US" w:eastAsia="zh-CN"/>
                    </w:rPr>
                  </w:pPr>
                </w:p>
              </w:tc>
              <w:tc>
                <w:tcPr>
                  <w:tcW w:w="1385" w:type="dxa"/>
                  <w:tcBorders>
                    <w:top w:val="single" w:color="000000" w:sz="4" w:space="0"/>
                    <w:left w:val="single" w:color="000000" w:sz="4" w:space="0"/>
                    <w:bottom w:val="single" w:color="000000" w:sz="4" w:space="0"/>
                    <w:right w:val="single" w:color="000000" w:sz="4" w:space="0"/>
                  </w:tcBorders>
                  <w:noWrap w:val="0"/>
                  <w:vAlign w:val="center"/>
                </w:tcPr>
                <w:p w14:paraId="76C8A6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color w:val="000000"/>
                      <w:kern w:val="0"/>
                      <w:sz w:val="21"/>
                      <w:szCs w:val="21"/>
                      <w:u w:val="none"/>
                      <w:lang w:val="en-US" w:eastAsia="zh-CN" w:bidi="ar"/>
                    </w:rPr>
                    <w:t>0.4295</w:t>
                  </w:r>
                </w:p>
              </w:tc>
            </w:tr>
            <w:tr w14:paraId="3A5CF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1691" w:type="dxa"/>
                  <w:tcBorders>
                    <w:top w:val="single" w:color="auto" w:sz="4" w:space="0"/>
                    <w:left w:val="single" w:color="000000" w:sz="4" w:space="0"/>
                    <w:bottom w:val="single" w:color="000000" w:sz="4" w:space="0"/>
                    <w:right w:val="single" w:color="000000" w:sz="4" w:space="0"/>
                  </w:tcBorders>
                  <w:noWrap w:val="0"/>
                  <w:vAlign w:val="center"/>
                </w:tcPr>
                <w:p w14:paraId="728D38E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材料堆场2</w:t>
                  </w:r>
                </w:p>
              </w:tc>
              <w:tc>
                <w:tcPr>
                  <w:tcW w:w="1056" w:type="dxa"/>
                  <w:vMerge w:val="continue"/>
                  <w:tcBorders>
                    <w:left w:val="single" w:color="000000" w:sz="4" w:space="0"/>
                    <w:right w:val="single" w:color="000000" w:sz="4" w:space="0"/>
                  </w:tcBorders>
                  <w:noWrap w:val="0"/>
                  <w:vAlign w:val="center"/>
                </w:tcPr>
                <w:p w14:paraId="41E1F71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p>
              </w:tc>
              <w:tc>
                <w:tcPr>
                  <w:tcW w:w="729" w:type="dxa"/>
                  <w:vMerge w:val="continue"/>
                  <w:tcBorders>
                    <w:left w:val="single" w:color="000000" w:sz="4" w:space="0"/>
                    <w:right w:val="single" w:color="000000" w:sz="4" w:space="0"/>
                  </w:tcBorders>
                  <w:noWrap w:val="0"/>
                  <w:vAlign w:val="center"/>
                </w:tcPr>
                <w:p w14:paraId="6E08903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p>
              </w:tc>
              <w:tc>
                <w:tcPr>
                  <w:tcW w:w="1454" w:type="dxa"/>
                  <w:tcBorders>
                    <w:top w:val="single" w:color="000000" w:sz="4" w:space="0"/>
                    <w:left w:val="single" w:color="000000" w:sz="4" w:space="0"/>
                    <w:bottom w:val="single" w:color="000000" w:sz="4" w:space="0"/>
                    <w:right w:val="single" w:color="000000" w:sz="4" w:space="0"/>
                  </w:tcBorders>
                  <w:noWrap w:val="0"/>
                  <w:vAlign w:val="center"/>
                </w:tcPr>
                <w:p w14:paraId="03713C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sz w:val="21"/>
                      <w:szCs w:val="21"/>
                      <w:lang w:eastAsia="zh-CN"/>
                    </w:rPr>
                  </w:pPr>
                  <w:r>
                    <w:rPr>
                      <w:rFonts w:hint="eastAsia" w:ascii="宋体" w:hAnsi="宋体" w:eastAsia="宋体" w:cs="宋体"/>
                      <w:i w:val="0"/>
                      <w:color w:val="000000"/>
                      <w:kern w:val="0"/>
                      <w:sz w:val="21"/>
                      <w:szCs w:val="21"/>
                      <w:u w:val="none"/>
                      <w:lang w:val="en-US" w:eastAsia="zh-CN" w:bidi="ar"/>
                    </w:rPr>
                    <w:t>0.9702</w:t>
                  </w:r>
                </w:p>
              </w:tc>
              <w:tc>
                <w:tcPr>
                  <w:tcW w:w="1925" w:type="dxa"/>
                  <w:tcBorders>
                    <w:top w:val="single" w:color="000000" w:sz="4" w:space="0"/>
                    <w:left w:val="single" w:color="000000" w:sz="4" w:space="0"/>
                    <w:bottom w:val="single" w:color="000000" w:sz="4" w:space="0"/>
                    <w:right w:val="single" w:color="000000" w:sz="4" w:space="0"/>
                  </w:tcBorders>
                  <w:noWrap w:val="0"/>
                  <w:vAlign w:val="center"/>
                </w:tcPr>
                <w:p w14:paraId="14A6F5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i w:val="0"/>
                      <w:color w:val="000000"/>
                      <w:kern w:val="0"/>
                      <w:sz w:val="21"/>
                      <w:szCs w:val="21"/>
                      <w:u w:val="none"/>
                      <w:lang w:val="en-US" w:eastAsia="zh-CN" w:bidi="ar"/>
                    </w:rPr>
                    <w:t>0.5934</w:t>
                  </w:r>
                </w:p>
              </w:tc>
              <w:tc>
                <w:tcPr>
                  <w:tcW w:w="1385" w:type="dxa"/>
                  <w:tcBorders>
                    <w:top w:val="single" w:color="000000" w:sz="4" w:space="0"/>
                    <w:left w:val="single" w:color="000000" w:sz="4" w:space="0"/>
                    <w:bottom w:val="single" w:color="000000" w:sz="4" w:space="0"/>
                    <w:right w:val="single" w:color="000000" w:sz="4" w:space="0"/>
                  </w:tcBorders>
                  <w:noWrap w:val="0"/>
                  <w:vAlign w:val="center"/>
                </w:tcPr>
                <w:p w14:paraId="725D6F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color w:val="000000"/>
                      <w:kern w:val="0"/>
                      <w:sz w:val="21"/>
                      <w:szCs w:val="21"/>
                      <w:u w:val="none"/>
                      <w:lang w:val="en-US" w:eastAsia="zh-CN" w:bidi="ar"/>
                    </w:rPr>
                    <w:t>1.5636</w:t>
                  </w:r>
                </w:p>
              </w:tc>
            </w:tr>
            <w:tr w14:paraId="7166D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1691" w:type="dxa"/>
                  <w:tcBorders>
                    <w:left w:val="single" w:color="000000" w:sz="4" w:space="0"/>
                    <w:bottom w:val="single" w:color="auto" w:sz="4" w:space="0"/>
                    <w:right w:val="single" w:color="000000" w:sz="4" w:space="0"/>
                  </w:tcBorders>
                  <w:noWrap w:val="0"/>
                  <w:vAlign w:val="center"/>
                </w:tcPr>
                <w:p w14:paraId="439E76E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钢筋加工厂1</w:t>
                  </w:r>
                </w:p>
              </w:tc>
              <w:tc>
                <w:tcPr>
                  <w:tcW w:w="1056" w:type="dxa"/>
                  <w:vMerge w:val="continue"/>
                  <w:tcBorders>
                    <w:left w:val="single" w:color="000000" w:sz="4" w:space="0"/>
                    <w:right w:val="single" w:color="000000" w:sz="4" w:space="0"/>
                  </w:tcBorders>
                  <w:noWrap w:val="0"/>
                  <w:vAlign w:val="center"/>
                </w:tcPr>
                <w:p w14:paraId="2B0AEE5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p>
              </w:tc>
              <w:tc>
                <w:tcPr>
                  <w:tcW w:w="729" w:type="dxa"/>
                  <w:vMerge w:val="continue"/>
                  <w:tcBorders>
                    <w:left w:val="single" w:color="000000" w:sz="4" w:space="0"/>
                    <w:right w:val="single" w:color="000000" w:sz="4" w:space="0"/>
                  </w:tcBorders>
                  <w:noWrap w:val="0"/>
                  <w:vAlign w:val="center"/>
                </w:tcPr>
                <w:p w14:paraId="18511B3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p>
              </w:tc>
              <w:tc>
                <w:tcPr>
                  <w:tcW w:w="1454" w:type="dxa"/>
                  <w:tcBorders>
                    <w:top w:val="single" w:color="000000" w:sz="4" w:space="0"/>
                    <w:left w:val="single" w:color="000000" w:sz="4" w:space="0"/>
                    <w:right w:val="single" w:color="000000" w:sz="4" w:space="0"/>
                  </w:tcBorders>
                  <w:noWrap w:val="0"/>
                  <w:vAlign w:val="center"/>
                </w:tcPr>
                <w:p w14:paraId="39A5B6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eastAsia="zh-CN"/>
                    </w:rPr>
                  </w:pPr>
                  <w:r>
                    <w:rPr>
                      <w:rFonts w:hint="eastAsia" w:ascii="宋体" w:hAnsi="宋体" w:eastAsia="宋体" w:cs="宋体"/>
                      <w:i w:val="0"/>
                      <w:color w:val="000000"/>
                      <w:kern w:val="0"/>
                      <w:sz w:val="21"/>
                      <w:szCs w:val="21"/>
                      <w:u w:val="none"/>
                      <w:lang w:val="en-US" w:eastAsia="zh-CN" w:bidi="ar"/>
                    </w:rPr>
                    <w:t>0.3824</w:t>
                  </w:r>
                </w:p>
              </w:tc>
              <w:tc>
                <w:tcPr>
                  <w:tcW w:w="1925" w:type="dxa"/>
                  <w:tcBorders>
                    <w:top w:val="single" w:color="000000" w:sz="4" w:space="0"/>
                    <w:left w:val="single" w:color="000000" w:sz="4" w:space="0"/>
                    <w:right w:val="single" w:color="000000" w:sz="4" w:space="0"/>
                  </w:tcBorders>
                  <w:noWrap w:val="0"/>
                  <w:vAlign w:val="center"/>
                </w:tcPr>
                <w:p w14:paraId="2F09C379">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p>
              </w:tc>
              <w:tc>
                <w:tcPr>
                  <w:tcW w:w="1385" w:type="dxa"/>
                  <w:tcBorders>
                    <w:top w:val="single" w:color="000000" w:sz="4" w:space="0"/>
                    <w:left w:val="single" w:color="000000" w:sz="4" w:space="0"/>
                    <w:right w:val="single" w:color="000000" w:sz="4" w:space="0"/>
                  </w:tcBorders>
                  <w:noWrap w:val="0"/>
                  <w:vAlign w:val="center"/>
                </w:tcPr>
                <w:p w14:paraId="7B481E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0.3824</w:t>
                  </w:r>
                </w:p>
              </w:tc>
            </w:tr>
            <w:tr w14:paraId="601BA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1691" w:type="dxa"/>
                  <w:tcBorders>
                    <w:top w:val="single" w:color="auto" w:sz="4" w:space="0"/>
                    <w:left w:val="single" w:color="000000" w:sz="4" w:space="0"/>
                    <w:bottom w:val="single" w:color="000000" w:sz="4" w:space="0"/>
                    <w:right w:val="single" w:color="000000" w:sz="4" w:space="0"/>
                  </w:tcBorders>
                  <w:noWrap w:val="0"/>
                  <w:vAlign w:val="center"/>
                </w:tcPr>
                <w:p w14:paraId="123DD67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钢筋加工厂2</w:t>
                  </w:r>
                </w:p>
              </w:tc>
              <w:tc>
                <w:tcPr>
                  <w:tcW w:w="1056" w:type="dxa"/>
                  <w:vMerge w:val="continue"/>
                  <w:tcBorders>
                    <w:left w:val="single" w:color="000000" w:sz="4" w:space="0"/>
                    <w:bottom w:val="single" w:color="000000" w:sz="4" w:space="0"/>
                    <w:right w:val="single" w:color="000000" w:sz="4" w:space="0"/>
                  </w:tcBorders>
                  <w:noWrap w:val="0"/>
                  <w:vAlign w:val="center"/>
                </w:tcPr>
                <w:p w14:paraId="32F8889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p>
              </w:tc>
              <w:tc>
                <w:tcPr>
                  <w:tcW w:w="729" w:type="dxa"/>
                  <w:vMerge w:val="continue"/>
                  <w:tcBorders>
                    <w:left w:val="single" w:color="000000" w:sz="4" w:space="0"/>
                    <w:bottom w:val="single" w:color="000000" w:sz="4" w:space="0"/>
                    <w:right w:val="single" w:color="000000" w:sz="4" w:space="0"/>
                  </w:tcBorders>
                  <w:noWrap w:val="0"/>
                  <w:vAlign w:val="center"/>
                </w:tcPr>
                <w:p w14:paraId="5718893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p>
              </w:tc>
              <w:tc>
                <w:tcPr>
                  <w:tcW w:w="1454" w:type="dxa"/>
                  <w:tcBorders>
                    <w:top w:val="single" w:color="000000" w:sz="4" w:space="0"/>
                    <w:left w:val="single" w:color="000000" w:sz="4" w:space="0"/>
                    <w:bottom w:val="single" w:color="000000" w:sz="4" w:space="0"/>
                    <w:right w:val="single" w:color="000000" w:sz="4" w:space="0"/>
                  </w:tcBorders>
                  <w:noWrap w:val="0"/>
                  <w:vAlign w:val="center"/>
                </w:tcPr>
                <w:p w14:paraId="391497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i w:val="0"/>
                      <w:color w:val="000000"/>
                      <w:kern w:val="0"/>
                      <w:sz w:val="21"/>
                      <w:szCs w:val="21"/>
                      <w:u w:val="none"/>
                      <w:lang w:val="en-US" w:eastAsia="zh-CN" w:bidi="ar"/>
                    </w:rPr>
                    <w:t>0.3246</w:t>
                  </w:r>
                </w:p>
              </w:tc>
              <w:tc>
                <w:tcPr>
                  <w:tcW w:w="1925" w:type="dxa"/>
                  <w:tcBorders>
                    <w:top w:val="single" w:color="000000" w:sz="4" w:space="0"/>
                    <w:left w:val="single" w:color="000000" w:sz="4" w:space="0"/>
                    <w:bottom w:val="single" w:color="000000" w:sz="4" w:space="0"/>
                    <w:right w:val="single" w:color="000000" w:sz="4" w:space="0"/>
                  </w:tcBorders>
                  <w:noWrap w:val="0"/>
                  <w:vAlign w:val="center"/>
                </w:tcPr>
                <w:p w14:paraId="735014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i w:val="0"/>
                      <w:color w:val="000000"/>
                      <w:kern w:val="0"/>
                      <w:sz w:val="21"/>
                      <w:szCs w:val="21"/>
                      <w:u w:val="none"/>
                      <w:lang w:val="en-US" w:eastAsia="zh-CN" w:bidi="ar"/>
                    </w:rPr>
                    <w:t>0.2370</w:t>
                  </w:r>
                </w:p>
              </w:tc>
              <w:tc>
                <w:tcPr>
                  <w:tcW w:w="1385" w:type="dxa"/>
                  <w:tcBorders>
                    <w:top w:val="single" w:color="000000" w:sz="4" w:space="0"/>
                    <w:left w:val="single" w:color="000000" w:sz="4" w:space="0"/>
                    <w:bottom w:val="single" w:color="000000" w:sz="4" w:space="0"/>
                    <w:right w:val="single" w:color="000000" w:sz="4" w:space="0"/>
                  </w:tcBorders>
                  <w:noWrap w:val="0"/>
                  <w:vAlign w:val="center"/>
                </w:tcPr>
                <w:p w14:paraId="704144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color w:val="000000"/>
                      <w:kern w:val="0"/>
                      <w:sz w:val="21"/>
                      <w:szCs w:val="21"/>
                      <w:u w:val="none"/>
                      <w:lang w:val="en-US" w:eastAsia="zh-CN" w:bidi="ar"/>
                    </w:rPr>
                    <w:t>0.5616</w:t>
                  </w:r>
                </w:p>
              </w:tc>
            </w:tr>
            <w:tr w14:paraId="6D08E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jc w:val="center"/>
              </w:trPr>
              <w:tc>
                <w:tcPr>
                  <w:tcW w:w="3476" w:type="dxa"/>
                  <w:gridSpan w:val="3"/>
                  <w:tcBorders>
                    <w:left w:val="single" w:color="000000" w:sz="4" w:space="0"/>
                    <w:bottom w:val="single" w:color="000000" w:sz="4" w:space="0"/>
                    <w:right w:val="single" w:color="000000" w:sz="4" w:space="0"/>
                  </w:tcBorders>
                  <w:noWrap w:val="0"/>
                  <w:vAlign w:val="center"/>
                </w:tcPr>
                <w:p w14:paraId="18F2E33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exact"/>
                    <w:ind w:left="0" w:right="0"/>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合计</w:t>
                  </w:r>
                </w:p>
              </w:tc>
              <w:tc>
                <w:tcPr>
                  <w:tcW w:w="1454" w:type="dxa"/>
                  <w:tcBorders>
                    <w:top w:val="single" w:color="000000" w:sz="4" w:space="0"/>
                    <w:left w:val="single" w:color="000000" w:sz="4" w:space="0"/>
                    <w:bottom w:val="single" w:color="000000" w:sz="4" w:space="0"/>
                    <w:right w:val="single" w:color="000000" w:sz="4" w:space="0"/>
                  </w:tcBorders>
                  <w:noWrap w:val="0"/>
                  <w:vAlign w:val="center"/>
                </w:tcPr>
                <w:p w14:paraId="6D02DC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2.4620 </w:t>
                  </w:r>
                </w:p>
              </w:tc>
              <w:tc>
                <w:tcPr>
                  <w:tcW w:w="1925" w:type="dxa"/>
                  <w:tcBorders>
                    <w:top w:val="single" w:color="000000" w:sz="4" w:space="0"/>
                    <w:left w:val="single" w:color="000000" w:sz="4" w:space="0"/>
                    <w:bottom w:val="single" w:color="000000" w:sz="4" w:space="0"/>
                    <w:right w:val="single" w:color="000000" w:sz="4" w:space="0"/>
                  </w:tcBorders>
                  <w:noWrap w:val="0"/>
                  <w:vAlign w:val="center"/>
                </w:tcPr>
                <w:p w14:paraId="3EE53D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1.2208 </w:t>
                  </w:r>
                </w:p>
              </w:tc>
              <w:tc>
                <w:tcPr>
                  <w:tcW w:w="1385" w:type="dxa"/>
                  <w:tcBorders>
                    <w:top w:val="single" w:color="000000" w:sz="4" w:space="0"/>
                    <w:left w:val="single" w:color="000000" w:sz="4" w:space="0"/>
                    <w:bottom w:val="single" w:color="000000" w:sz="4" w:space="0"/>
                    <w:right w:val="single" w:color="000000" w:sz="4" w:space="0"/>
                  </w:tcBorders>
                  <w:noWrap w:val="0"/>
                  <w:vAlign w:val="center"/>
                </w:tcPr>
                <w:p w14:paraId="71623839">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kern w:val="0"/>
                      <w:sz w:val="21"/>
                      <w:szCs w:val="21"/>
                      <w:highlight w:val="none"/>
                      <w:lang w:val="en-US" w:eastAsia="zh-CN"/>
                    </w:rPr>
                    <w:t>3.6828</w:t>
                  </w:r>
                </w:p>
              </w:tc>
            </w:tr>
          </w:tbl>
          <w:p w14:paraId="3145D674">
            <w:pPr>
              <w:keepNext w:val="0"/>
              <w:keepLines w:val="0"/>
              <w:suppressLineNumbers w:val="0"/>
              <w:spacing w:before="0" w:beforeAutospacing="0" w:after="0" w:afterAutospacing="0" w:line="440" w:lineRule="exact"/>
              <w:ind w:left="0" w:right="0" w:firstLine="482" w:firstLineChars="200"/>
              <w:rPr>
                <w:rFonts w:ascii="宋体" w:hAnsi="宋体" w:eastAsia="宋体" w:cs="Times New Roman"/>
                <w:color w:val="000000"/>
                <w:sz w:val="24"/>
                <w:highlight w:val="none"/>
              </w:rPr>
            </w:pPr>
            <w:r>
              <w:rPr>
                <w:rFonts w:hint="eastAsia" w:ascii="宋体" w:hAnsi="宋体" w:eastAsia="宋体" w:cs="Times New Roman"/>
                <w:b/>
                <w:bCs/>
                <w:color w:val="000000"/>
                <w:sz w:val="24"/>
                <w:highlight w:val="none"/>
              </w:rPr>
              <w:t>四、土地复垦方向可行性分析</w:t>
            </w:r>
          </w:p>
          <w:p w14:paraId="528FF72C">
            <w:pPr>
              <w:keepNext w:val="0"/>
              <w:keepLines w:val="0"/>
              <w:suppressLineNumbers w:val="0"/>
              <w:spacing w:before="0" w:beforeAutospacing="0" w:after="0" w:afterAutospacing="0" w:line="440" w:lineRule="exact"/>
              <w:ind w:left="0" w:right="0" w:firstLine="463" w:firstLineChars="192"/>
              <w:rPr>
                <w:rFonts w:hint="default" w:ascii="宋体" w:hAnsi="宋体" w:eastAsia="宋体" w:cs="Times New Roman"/>
                <w:b/>
                <w:bCs/>
                <w:color w:val="000000"/>
                <w:sz w:val="24"/>
                <w:highlight w:val="none"/>
                <w:lang w:val="en-US" w:eastAsia="zh-CN"/>
              </w:rPr>
            </w:pPr>
            <w:r>
              <w:rPr>
                <w:rFonts w:hint="eastAsia" w:ascii="宋体" w:hAnsi="宋体" w:eastAsia="宋体" w:cs="Times New Roman"/>
                <w:b/>
                <w:bCs/>
                <w:color w:val="000000"/>
                <w:sz w:val="24"/>
                <w:highlight w:val="none"/>
                <w:lang w:val="en-US" w:eastAsia="zh-CN"/>
              </w:rPr>
              <w:t>4.1土地损毁分析与预测</w:t>
            </w:r>
          </w:p>
          <w:p w14:paraId="396D32F1">
            <w:pPr>
              <w:keepNext w:val="0"/>
              <w:keepLines w:val="0"/>
              <w:suppressLineNumbers w:val="0"/>
              <w:spacing w:before="0" w:beforeAutospacing="0" w:after="0" w:afterAutospacing="0" w:line="440" w:lineRule="exact"/>
              <w:ind w:left="0" w:right="0" w:firstLine="463" w:firstLineChars="192"/>
              <w:rPr>
                <w:rFonts w:ascii="宋体" w:hAnsi="宋体" w:eastAsia="宋体" w:cs="Times New Roman"/>
                <w:color w:val="000000"/>
                <w:sz w:val="24"/>
                <w:highlight w:val="none"/>
              </w:rPr>
            </w:pPr>
            <w:r>
              <w:rPr>
                <w:rFonts w:hint="eastAsia" w:ascii="宋体" w:hAnsi="宋体" w:eastAsia="宋体" w:cs="Times New Roman"/>
                <w:b/>
                <w:bCs/>
                <w:color w:val="000000"/>
                <w:sz w:val="24"/>
                <w:highlight w:val="none"/>
                <w:lang w:val="en-US" w:eastAsia="zh-CN"/>
              </w:rPr>
              <w:t>4.</w:t>
            </w:r>
            <w:r>
              <w:rPr>
                <w:rFonts w:hint="eastAsia" w:ascii="宋体" w:hAnsi="宋体" w:eastAsia="宋体" w:cs="Times New Roman"/>
                <w:b/>
                <w:bCs/>
                <w:color w:val="000000"/>
                <w:sz w:val="24"/>
                <w:highlight w:val="none"/>
              </w:rPr>
              <w:t>1</w:t>
            </w:r>
            <w:r>
              <w:rPr>
                <w:rFonts w:hint="eastAsia" w:ascii="宋体" w:hAnsi="宋体" w:eastAsia="宋体" w:cs="Times New Roman"/>
                <w:b/>
                <w:bCs/>
                <w:color w:val="000000"/>
                <w:sz w:val="24"/>
                <w:highlight w:val="none"/>
                <w:lang w:val="en-US" w:eastAsia="zh-CN"/>
              </w:rPr>
              <w:t>.1</w:t>
            </w:r>
            <w:r>
              <w:rPr>
                <w:rFonts w:hint="eastAsia" w:ascii="宋体" w:hAnsi="宋体" w:eastAsia="宋体" w:cs="Times New Roman"/>
                <w:b/>
                <w:bCs/>
                <w:color w:val="000000"/>
                <w:sz w:val="24"/>
                <w:highlight w:val="none"/>
              </w:rPr>
              <w:t>土地损毁环节与时序</w:t>
            </w:r>
          </w:p>
          <w:p w14:paraId="7B1055FD">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根据项目性质，该项目对土地的损毁环节主要是：</w:t>
            </w:r>
          </w:p>
          <w:p w14:paraId="612ADBE7">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a项目建设期，机械</w:t>
            </w:r>
            <w:r>
              <w:rPr>
                <w:rFonts w:hint="eastAsia" w:ascii="宋体" w:hAnsi="宋体" w:cs="Times New Roman"/>
                <w:color w:val="000000"/>
                <w:sz w:val="24"/>
                <w:highlight w:val="none"/>
                <w:lang w:val="en-US" w:eastAsia="zh-CN"/>
              </w:rPr>
              <w:t>设备及</w:t>
            </w:r>
            <w:r>
              <w:rPr>
                <w:rFonts w:hint="eastAsia" w:ascii="宋体" w:hAnsi="宋体" w:eastAsia="宋体" w:cs="Times New Roman"/>
                <w:color w:val="000000"/>
                <w:sz w:val="24"/>
                <w:highlight w:val="none"/>
                <w:lang w:val="en-US" w:eastAsia="zh-CN"/>
              </w:rPr>
              <w:t>车辆对土地造成的压占损毁。</w:t>
            </w:r>
          </w:p>
          <w:p w14:paraId="111E92F6">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制梁场</w:t>
            </w:r>
            <w:r>
              <w:rPr>
                <w:rFonts w:hint="eastAsia" w:ascii="宋体" w:hAnsi="宋体" w:cs="Times New Roman"/>
                <w:color w:val="000000"/>
                <w:sz w:val="24"/>
                <w:highlight w:val="none"/>
                <w:lang w:val="en-US" w:eastAsia="zh-CN"/>
              </w:rPr>
              <w:t>1</w:t>
            </w:r>
            <w:r>
              <w:rPr>
                <w:rFonts w:hint="eastAsia" w:ascii="宋体" w:hAnsi="宋体" w:eastAsia="宋体" w:cs="Times New Roman"/>
                <w:color w:val="000000"/>
                <w:sz w:val="24"/>
                <w:highlight w:val="none"/>
                <w:lang w:val="en-US" w:eastAsia="zh-CN"/>
              </w:rPr>
              <w:t>：</w:t>
            </w:r>
            <w:r>
              <w:rPr>
                <w:rFonts w:hint="eastAsia" w:ascii="宋体" w:hAnsi="宋体" w:cs="Times New Roman"/>
                <w:color w:val="000000"/>
                <w:sz w:val="24"/>
                <w:highlight w:val="none"/>
                <w:lang w:val="en-US" w:eastAsia="zh-CN"/>
              </w:rPr>
              <w:t>场地</w:t>
            </w:r>
            <w:r>
              <w:rPr>
                <w:rFonts w:hint="eastAsia" w:ascii="宋体" w:hAnsi="宋体" w:eastAsia="宋体" w:cs="Times New Roman"/>
                <w:color w:val="000000"/>
                <w:sz w:val="24"/>
                <w:highlight w:val="none"/>
                <w:lang w:val="en-US" w:eastAsia="zh-CN"/>
              </w:rPr>
              <w:t>无硬化，压占物为机械设备及混凝土制品</w:t>
            </w:r>
            <w:r>
              <w:rPr>
                <w:rFonts w:hint="eastAsia" w:ascii="宋体" w:hAnsi="宋体" w:eastAsia="宋体" w:cs="Times New Roman"/>
                <w:color w:val="auto"/>
                <w:sz w:val="24"/>
                <w:lang w:val="en-US" w:eastAsia="zh-CN"/>
              </w:rPr>
              <w:t>。</w:t>
            </w:r>
          </w:p>
          <w:p w14:paraId="49CE04A4">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制梁场</w:t>
            </w:r>
            <w:r>
              <w:rPr>
                <w:rFonts w:hint="eastAsia" w:ascii="宋体" w:hAnsi="宋体" w:cs="Times New Roman"/>
                <w:color w:val="000000"/>
                <w:sz w:val="24"/>
                <w:highlight w:val="none"/>
                <w:lang w:val="en-US" w:eastAsia="zh-CN"/>
              </w:rPr>
              <w:t>2</w:t>
            </w:r>
            <w:r>
              <w:rPr>
                <w:rFonts w:hint="eastAsia" w:ascii="宋体" w:hAnsi="宋体" w:eastAsia="宋体" w:cs="Times New Roman"/>
                <w:color w:val="000000"/>
                <w:sz w:val="24"/>
                <w:highlight w:val="none"/>
                <w:lang w:val="en-US" w:eastAsia="zh-CN"/>
              </w:rPr>
              <w:t>：</w:t>
            </w:r>
            <w:r>
              <w:rPr>
                <w:rFonts w:hint="eastAsia" w:ascii="宋体" w:hAnsi="宋体" w:cs="Times New Roman"/>
                <w:color w:val="000000"/>
                <w:sz w:val="24"/>
                <w:highlight w:val="none"/>
                <w:lang w:val="en-US" w:eastAsia="zh-CN"/>
              </w:rPr>
              <w:t>场地</w:t>
            </w:r>
            <w:r>
              <w:rPr>
                <w:rFonts w:hint="eastAsia" w:ascii="宋体" w:hAnsi="宋体" w:eastAsia="宋体" w:cs="Times New Roman"/>
                <w:color w:val="000000"/>
                <w:sz w:val="24"/>
                <w:highlight w:val="none"/>
                <w:lang w:val="en-US" w:eastAsia="zh-CN"/>
              </w:rPr>
              <w:t>无硬化，压占物为机械设备及混凝土制品</w:t>
            </w:r>
            <w:r>
              <w:rPr>
                <w:rFonts w:hint="eastAsia" w:ascii="宋体" w:hAnsi="宋体" w:eastAsia="宋体" w:cs="Times New Roman"/>
                <w:color w:val="auto"/>
                <w:sz w:val="24"/>
                <w:lang w:val="en-US" w:eastAsia="zh-CN"/>
              </w:rPr>
              <w:t>。</w:t>
            </w:r>
          </w:p>
          <w:p w14:paraId="3F7D2650">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材料堆场</w:t>
            </w:r>
            <w:r>
              <w:rPr>
                <w:rFonts w:hint="eastAsia" w:ascii="宋体" w:hAnsi="宋体" w:cs="Times New Roman"/>
                <w:color w:val="000000"/>
                <w:sz w:val="24"/>
                <w:highlight w:val="none"/>
                <w:lang w:val="en-US" w:eastAsia="zh-CN"/>
              </w:rPr>
              <w:t>1</w:t>
            </w:r>
            <w:r>
              <w:rPr>
                <w:rFonts w:hint="eastAsia" w:ascii="宋体" w:hAnsi="宋体" w:eastAsia="宋体" w:cs="Times New Roman"/>
                <w:color w:val="000000"/>
                <w:sz w:val="24"/>
                <w:highlight w:val="none"/>
                <w:lang w:val="en-US" w:eastAsia="zh-CN"/>
              </w:rPr>
              <w:t>：</w:t>
            </w:r>
            <w:r>
              <w:rPr>
                <w:rFonts w:hint="eastAsia" w:ascii="宋体" w:hAnsi="宋体" w:cs="Times New Roman"/>
                <w:color w:val="000000"/>
                <w:sz w:val="24"/>
                <w:highlight w:val="none"/>
                <w:lang w:val="en-US" w:eastAsia="zh-CN"/>
              </w:rPr>
              <w:t>场地有小面积</w:t>
            </w:r>
            <w:r>
              <w:rPr>
                <w:rFonts w:hint="eastAsia" w:ascii="宋体" w:hAnsi="宋体" w:eastAsia="宋体" w:cs="Times New Roman"/>
                <w:color w:val="000000"/>
                <w:sz w:val="24"/>
                <w:highlight w:val="none"/>
                <w:lang w:val="en-US" w:eastAsia="zh-CN"/>
              </w:rPr>
              <w:t>硬化</w:t>
            </w:r>
            <w:r>
              <w:rPr>
                <w:rFonts w:hint="eastAsia" w:ascii="宋体" w:hAnsi="宋体" w:cs="Times New Roman"/>
                <w:color w:val="000000"/>
                <w:sz w:val="24"/>
                <w:highlight w:val="none"/>
                <w:lang w:val="en-US" w:eastAsia="zh-CN"/>
              </w:rPr>
              <w:t>，</w:t>
            </w:r>
            <w:r>
              <w:rPr>
                <w:rFonts w:hint="eastAsia" w:ascii="宋体" w:hAnsi="宋体" w:eastAsia="宋体" w:cs="Times New Roman"/>
                <w:color w:val="000000"/>
                <w:sz w:val="24"/>
                <w:highlight w:val="none"/>
                <w:lang w:val="en-US" w:eastAsia="zh-CN"/>
              </w:rPr>
              <w:t>硬化厚度为40cm，压占物为机械设备及建筑材料</w:t>
            </w:r>
            <w:r>
              <w:rPr>
                <w:rFonts w:hint="eastAsia" w:ascii="宋体" w:hAnsi="宋体" w:eastAsia="宋体" w:cs="Times New Roman"/>
                <w:color w:val="auto"/>
                <w:sz w:val="24"/>
                <w:lang w:val="en-US" w:eastAsia="zh-CN"/>
              </w:rPr>
              <w:t>。</w:t>
            </w:r>
          </w:p>
          <w:p w14:paraId="74399B57">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材料堆场</w:t>
            </w:r>
            <w:r>
              <w:rPr>
                <w:rFonts w:hint="eastAsia" w:ascii="宋体" w:hAnsi="宋体" w:cs="Times New Roman"/>
                <w:color w:val="000000"/>
                <w:sz w:val="24"/>
                <w:highlight w:val="none"/>
                <w:lang w:val="en-US" w:eastAsia="zh-CN"/>
              </w:rPr>
              <w:t>2</w:t>
            </w:r>
            <w:r>
              <w:rPr>
                <w:rFonts w:hint="eastAsia" w:ascii="宋体" w:hAnsi="宋体" w:eastAsia="宋体" w:cs="Times New Roman"/>
                <w:color w:val="000000"/>
                <w:sz w:val="24"/>
                <w:highlight w:val="none"/>
                <w:lang w:val="en-US" w:eastAsia="zh-CN"/>
              </w:rPr>
              <w:t>：</w:t>
            </w:r>
            <w:r>
              <w:rPr>
                <w:rFonts w:hint="eastAsia" w:ascii="宋体" w:hAnsi="宋体" w:cs="Times New Roman"/>
                <w:color w:val="000000"/>
                <w:sz w:val="24"/>
                <w:highlight w:val="none"/>
                <w:lang w:val="en-US" w:eastAsia="zh-CN"/>
              </w:rPr>
              <w:t>场地有小面积</w:t>
            </w:r>
            <w:r>
              <w:rPr>
                <w:rFonts w:hint="eastAsia" w:ascii="宋体" w:hAnsi="宋体" w:eastAsia="宋体" w:cs="Times New Roman"/>
                <w:color w:val="000000"/>
                <w:sz w:val="24"/>
                <w:highlight w:val="none"/>
                <w:lang w:val="en-US" w:eastAsia="zh-CN"/>
              </w:rPr>
              <w:t>硬化</w:t>
            </w:r>
            <w:r>
              <w:rPr>
                <w:rFonts w:hint="eastAsia" w:ascii="宋体" w:hAnsi="宋体" w:cs="Times New Roman"/>
                <w:color w:val="000000"/>
                <w:sz w:val="24"/>
                <w:highlight w:val="none"/>
                <w:lang w:val="en-US" w:eastAsia="zh-CN"/>
              </w:rPr>
              <w:t>，</w:t>
            </w:r>
            <w:r>
              <w:rPr>
                <w:rFonts w:hint="eastAsia" w:ascii="宋体" w:hAnsi="宋体" w:eastAsia="宋体" w:cs="Times New Roman"/>
                <w:color w:val="000000"/>
                <w:sz w:val="24"/>
                <w:highlight w:val="none"/>
                <w:lang w:val="en-US" w:eastAsia="zh-CN"/>
              </w:rPr>
              <w:t>硬化厚度为40cm，压占物为机械设备及建筑材料</w:t>
            </w:r>
            <w:r>
              <w:rPr>
                <w:rFonts w:hint="eastAsia" w:ascii="宋体" w:hAnsi="宋体" w:eastAsia="宋体" w:cs="Times New Roman"/>
                <w:color w:val="auto"/>
                <w:sz w:val="24"/>
                <w:lang w:val="en-US" w:eastAsia="zh-CN"/>
              </w:rPr>
              <w:t>。</w:t>
            </w:r>
          </w:p>
          <w:p w14:paraId="04D8BF49">
            <w:pPr>
              <w:keepNext w:val="0"/>
              <w:keepLines w:val="0"/>
              <w:suppressLineNumbers w:val="0"/>
              <w:spacing w:before="0" w:beforeAutospacing="0" w:after="0" w:afterAutospacing="0" w:line="440" w:lineRule="exact"/>
              <w:ind w:left="0" w:right="0" w:firstLine="480" w:firstLineChars="200"/>
              <w:rPr>
                <w:rFonts w:hint="default"/>
                <w:lang w:val="en-US" w:eastAsia="zh-CN"/>
              </w:rPr>
            </w:pPr>
            <w:r>
              <w:rPr>
                <w:rFonts w:hint="eastAsia" w:ascii="宋体" w:hAnsi="宋体" w:eastAsia="宋体" w:cs="Times New Roman"/>
                <w:color w:val="000000"/>
                <w:sz w:val="24"/>
                <w:highlight w:val="none"/>
                <w:lang w:val="en-US" w:eastAsia="zh-CN"/>
              </w:rPr>
              <w:t>钢筋加工厂</w:t>
            </w:r>
            <w:r>
              <w:rPr>
                <w:rFonts w:hint="eastAsia" w:ascii="宋体" w:hAnsi="宋体" w:cs="Times New Roman"/>
                <w:color w:val="000000"/>
                <w:sz w:val="24"/>
                <w:highlight w:val="none"/>
                <w:lang w:val="en-US" w:eastAsia="zh-CN"/>
              </w:rPr>
              <w:t>1</w:t>
            </w:r>
            <w:r>
              <w:rPr>
                <w:rFonts w:hint="eastAsia" w:ascii="宋体" w:hAnsi="宋体" w:eastAsia="宋体" w:cs="Times New Roman"/>
                <w:color w:val="000000"/>
                <w:sz w:val="24"/>
                <w:highlight w:val="none"/>
                <w:lang w:val="en-US" w:eastAsia="zh-CN"/>
              </w:rPr>
              <w:t>：</w:t>
            </w:r>
            <w:r>
              <w:rPr>
                <w:rFonts w:hint="eastAsia" w:ascii="宋体" w:hAnsi="宋体" w:cs="Times New Roman"/>
                <w:color w:val="000000"/>
                <w:sz w:val="24"/>
                <w:highlight w:val="none"/>
                <w:lang w:val="en-US" w:eastAsia="zh-CN"/>
              </w:rPr>
              <w:t>场地</w:t>
            </w:r>
            <w:r>
              <w:rPr>
                <w:rFonts w:hint="eastAsia" w:ascii="宋体" w:hAnsi="宋体" w:eastAsia="宋体" w:cs="Times New Roman"/>
                <w:color w:val="000000"/>
                <w:sz w:val="24"/>
                <w:highlight w:val="none"/>
                <w:lang w:val="en-US" w:eastAsia="zh-CN"/>
              </w:rPr>
              <w:t>无硬化，压占物为机械设备及钢筋等材料。</w:t>
            </w:r>
          </w:p>
          <w:p w14:paraId="12100FD5">
            <w:pPr>
              <w:keepNext w:val="0"/>
              <w:keepLines w:val="0"/>
              <w:suppressLineNumbers w:val="0"/>
              <w:spacing w:before="0" w:beforeAutospacing="0" w:after="0" w:afterAutospacing="0" w:line="440" w:lineRule="exact"/>
              <w:ind w:left="0" w:right="0" w:firstLine="480" w:firstLineChars="200"/>
              <w:rPr>
                <w:rFonts w:hint="default"/>
                <w:lang w:val="en-US" w:eastAsia="zh-CN"/>
              </w:rPr>
            </w:pPr>
            <w:r>
              <w:rPr>
                <w:rFonts w:hint="eastAsia" w:ascii="宋体" w:hAnsi="宋体" w:eastAsia="宋体" w:cs="Times New Roman"/>
                <w:color w:val="000000"/>
                <w:sz w:val="24"/>
                <w:highlight w:val="none"/>
                <w:lang w:val="en-US" w:eastAsia="zh-CN"/>
              </w:rPr>
              <w:t>钢筋加工厂</w:t>
            </w:r>
            <w:r>
              <w:rPr>
                <w:rFonts w:hint="eastAsia" w:ascii="宋体" w:hAnsi="宋体" w:cs="Times New Roman"/>
                <w:color w:val="000000"/>
                <w:sz w:val="24"/>
                <w:highlight w:val="none"/>
                <w:lang w:val="en-US" w:eastAsia="zh-CN"/>
              </w:rPr>
              <w:t>2</w:t>
            </w:r>
            <w:r>
              <w:rPr>
                <w:rFonts w:hint="eastAsia" w:ascii="宋体" w:hAnsi="宋体" w:eastAsia="宋体" w:cs="Times New Roman"/>
                <w:color w:val="000000"/>
                <w:sz w:val="24"/>
                <w:highlight w:val="none"/>
                <w:lang w:val="en-US" w:eastAsia="zh-CN"/>
              </w:rPr>
              <w:t>：</w:t>
            </w:r>
            <w:r>
              <w:rPr>
                <w:rFonts w:hint="eastAsia" w:ascii="宋体" w:hAnsi="宋体" w:cs="Times New Roman"/>
                <w:color w:val="000000"/>
                <w:sz w:val="24"/>
                <w:highlight w:val="none"/>
                <w:lang w:val="en-US" w:eastAsia="zh-CN"/>
              </w:rPr>
              <w:t>场地</w:t>
            </w:r>
            <w:r>
              <w:rPr>
                <w:rFonts w:hint="eastAsia" w:ascii="宋体" w:hAnsi="宋体" w:eastAsia="宋体" w:cs="Times New Roman"/>
                <w:color w:val="000000"/>
                <w:sz w:val="24"/>
                <w:highlight w:val="none"/>
                <w:lang w:val="en-US" w:eastAsia="zh-CN"/>
              </w:rPr>
              <w:t>无硬化，压占物为机械设备及钢筋等材料。</w:t>
            </w:r>
          </w:p>
          <w:p w14:paraId="2C30AB0B">
            <w:pPr>
              <w:keepNext w:val="0"/>
              <w:keepLines w:val="0"/>
              <w:suppressLineNumbers w:val="0"/>
              <w:spacing w:before="0" w:beforeAutospacing="0" w:after="0" w:afterAutospacing="0" w:line="440" w:lineRule="exact"/>
              <w:ind w:left="0" w:right="0" w:firstLine="460" w:firstLineChars="192"/>
              <w:rPr>
                <w:rFonts w:hint="default"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主要损毁时间为临时用地使用期：2025年1月-2026年11月。</w:t>
            </w:r>
          </w:p>
          <w:p w14:paraId="117BDCA3">
            <w:pPr>
              <w:keepNext w:val="0"/>
              <w:keepLines w:val="0"/>
              <w:suppressLineNumbers w:val="0"/>
              <w:spacing w:before="0" w:beforeAutospacing="0" w:after="0" w:afterAutospacing="0" w:line="440" w:lineRule="exact"/>
              <w:ind w:left="0" w:right="0" w:firstLine="463" w:firstLineChars="192"/>
              <w:rPr>
                <w:rFonts w:hint="eastAsia" w:ascii="宋体" w:hAnsi="宋体" w:eastAsia="宋体" w:cs="Times New Roman"/>
                <w:b/>
                <w:bCs/>
                <w:color w:val="000000"/>
                <w:sz w:val="24"/>
                <w:highlight w:val="none"/>
              </w:rPr>
            </w:pPr>
            <w:r>
              <w:rPr>
                <w:rFonts w:hint="eastAsia" w:ascii="宋体" w:hAnsi="宋体" w:eastAsia="宋体" w:cs="Times New Roman"/>
                <w:b/>
                <w:bCs/>
                <w:color w:val="000000"/>
                <w:sz w:val="24"/>
                <w:highlight w:val="none"/>
                <w:lang w:val="en-US" w:eastAsia="zh-CN"/>
              </w:rPr>
              <w:t>4.1.2</w:t>
            </w:r>
            <w:r>
              <w:rPr>
                <w:rFonts w:hint="eastAsia" w:ascii="宋体" w:hAnsi="宋体" w:eastAsia="宋体" w:cs="Times New Roman"/>
                <w:b/>
                <w:bCs/>
                <w:color w:val="000000"/>
                <w:sz w:val="24"/>
                <w:highlight w:val="none"/>
              </w:rPr>
              <w:t>已损毁土地面积</w:t>
            </w:r>
          </w:p>
          <w:p w14:paraId="0220B7B3">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rPr>
              <w:t>该项目为新建项目，目前项目还未开展。根据现场实地调查，本次申请的</w:t>
            </w:r>
            <w:r>
              <w:rPr>
                <w:rFonts w:hint="eastAsia" w:ascii="宋体" w:hAnsi="宋体" w:eastAsia="宋体" w:cs="Times New Roman"/>
                <w:color w:val="000000"/>
                <w:sz w:val="24"/>
                <w:highlight w:val="none"/>
                <w:lang w:val="en-US" w:eastAsia="zh-CN"/>
              </w:rPr>
              <w:t>6宗</w:t>
            </w:r>
            <w:r>
              <w:rPr>
                <w:rFonts w:hint="eastAsia" w:ascii="宋体" w:hAnsi="宋体" w:eastAsia="宋体" w:cs="Times New Roman"/>
                <w:color w:val="000000"/>
                <w:sz w:val="24"/>
                <w:highlight w:val="none"/>
                <w:lang w:eastAsia="zh-CN"/>
              </w:rPr>
              <w:t>临时用地场地内</w:t>
            </w:r>
            <w:r>
              <w:rPr>
                <w:rFonts w:hint="eastAsia" w:ascii="宋体" w:hAnsi="宋体" w:eastAsia="宋体" w:cs="Times New Roman"/>
                <w:color w:val="000000"/>
                <w:sz w:val="24"/>
                <w:highlight w:val="none"/>
                <w:lang w:val="en-US" w:eastAsia="zh-CN"/>
              </w:rPr>
              <w:t>基本</w:t>
            </w:r>
            <w:r>
              <w:rPr>
                <w:rFonts w:hint="eastAsia" w:ascii="宋体" w:hAnsi="宋体" w:eastAsia="宋体" w:cs="Times New Roman"/>
                <w:color w:val="000000"/>
                <w:sz w:val="24"/>
                <w:highlight w:val="none"/>
                <w:lang w:eastAsia="zh-CN"/>
              </w:rPr>
              <w:t>保持原始地形地貌，</w:t>
            </w:r>
            <w:r>
              <w:rPr>
                <w:rFonts w:hint="eastAsia" w:ascii="宋体" w:hAnsi="宋体" w:eastAsia="宋体" w:cs="Times New Roman"/>
                <w:color w:val="000000"/>
                <w:sz w:val="24"/>
                <w:highlight w:val="none"/>
                <w:lang w:val="en-US" w:eastAsia="zh-CN"/>
              </w:rPr>
              <w:t>基本</w:t>
            </w:r>
            <w:r>
              <w:rPr>
                <w:rFonts w:hint="eastAsia" w:ascii="宋体" w:hAnsi="宋体" w:eastAsia="宋体" w:cs="Times New Roman"/>
                <w:color w:val="000000"/>
                <w:sz w:val="24"/>
                <w:highlight w:val="none"/>
                <w:lang w:eastAsia="zh-CN"/>
              </w:rPr>
              <w:t>未受到人为活动损毁。</w:t>
            </w:r>
          </w:p>
          <w:p w14:paraId="08F09AB6">
            <w:pPr>
              <w:keepNext w:val="0"/>
              <w:keepLines w:val="0"/>
              <w:suppressLineNumbers w:val="0"/>
              <w:spacing w:before="0" w:beforeAutospacing="0" w:after="0" w:afterAutospacing="0" w:line="440" w:lineRule="exact"/>
              <w:ind w:left="0" w:right="0" w:firstLine="482" w:firstLineChars="200"/>
              <w:rPr>
                <w:rFonts w:hint="eastAsia" w:ascii="宋体" w:hAnsi="宋体" w:eastAsia="宋体" w:cs="Times New Roman"/>
                <w:b/>
                <w:bCs/>
                <w:color w:val="000000"/>
                <w:sz w:val="24"/>
                <w:highlight w:val="none"/>
              </w:rPr>
            </w:pPr>
            <w:r>
              <w:rPr>
                <w:rFonts w:hint="eastAsia" w:ascii="宋体" w:hAnsi="宋体" w:eastAsia="宋体" w:cs="Times New Roman"/>
                <w:b/>
                <w:bCs/>
                <w:color w:val="000000"/>
                <w:sz w:val="24"/>
                <w:highlight w:val="none"/>
                <w:lang w:val="en-US" w:eastAsia="zh-CN"/>
              </w:rPr>
              <w:t>4.1.3</w:t>
            </w:r>
            <w:r>
              <w:rPr>
                <w:rFonts w:hint="eastAsia" w:ascii="宋体" w:hAnsi="宋体" w:eastAsia="宋体" w:cs="Times New Roman"/>
                <w:b/>
                <w:bCs/>
                <w:color w:val="000000"/>
                <w:sz w:val="24"/>
                <w:highlight w:val="none"/>
              </w:rPr>
              <w:t>拟损毁土地面积</w:t>
            </w:r>
          </w:p>
          <w:p w14:paraId="4431900D">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rPr>
              <w:t>据</w:t>
            </w:r>
            <w:r>
              <w:rPr>
                <w:rFonts w:hint="eastAsia" w:ascii="宋体" w:hAnsi="宋体" w:cs="Times New Roman"/>
                <w:color w:val="000000"/>
                <w:sz w:val="24"/>
                <w:highlight w:val="none"/>
                <w:lang w:val="en-US" w:eastAsia="zh-CN"/>
              </w:rPr>
              <w:t>本</w:t>
            </w:r>
            <w:r>
              <w:rPr>
                <w:rFonts w:hint="eastAsia" w:ascii="宋体" w:hAnsi="宋体" w:eastAsia="宋体" w:cs="Times New Roman"/>
                <w:color w:val="000000"/>
                <w:sz w:val="24"/>
                <w:highlight w:val="none"/>
              </w:rPr>
              <w:t>项目建设计划及现场勘测统计，项目区今后拟损毁</w:t>
            </w:r>
            <w:r>
              <w:rPr>
                <w:rFonts w:hint="eastAsia" w:ascii="宋体" w:hAnsi="宋体" w:cs="Times New Roman"/>
                <w:color w:val="000000"/>
                <w:sz w:val="24"/>
                <w:highlight w:val="none"/>
                <w:lang w:val="en-US" w:eastAsia="zh-CN"/>
              </w:rPr>
              <w:t>区域</w:t>
            </w:r>
            <w:r>
              <w:rPr>
                <w:rFonts w:hint="eastAsia" w:ascii="宋体" w:hAnsi="宋体" w:eastAsia="宋体" w:cs="Times New Roman"/>
                <w:color w:val="000000"/>
                <w:sz w:val="24"/>
                <w:highlight w:val="none"/>
              </w:rPr>
              <w:t>为本次申请</w:t>
            </w:r>
            <w:r>
              <w:rPr>
                <w:rFonts w:hint="eastAsia" w:ascii="宋体" w:hAnsi="宋体" w:cs="Times New Roman"/>
                <w:color w:val="000000"/>
                <w:sz w:val="24"/>
                <w:highlight w:val="none"/>
                <w:lang w:val="en-US" w:eastAsia="zh-CN"/>
              </w:rPr>
              <w:t>的</w:t>
            </w:r>
            <w:r>
              <w:rPr>
                <w:rFonts w:hint="eastAsia" w:ascii="宋体" w:hAnsi="宋体" w:eastAsia="宋体" w:cs="Times New Roman"/>
                <w:color w:val="000000"/>
                <w:sz w:val="24"/>
                <w:highlight w:val="none"/>
                <w:lang w:val="en-US" w:eastAsia="zh-CN"/>
              </w:rPr>
              <w:t>6宗</w:t>
            </w:r>
            <w:r>
              <w:rPr>
                <w:rFonts w:hint="eastAsia" w:ascii="宋体" w:hAnsi="宋体" w:eastAsia="宋体" w:cs="Times New Roman"/>
                <w:color w:val="000000"/>
                <w:sz w:val="24"/>
                <w:highlight w:val="none"/>
                <w:lang w:eastAsia="zh-CN"/>
              </w:rPr>
              <w:t>临时用地，</w:t>
            </w:r>
            <w:r>
              <w:rPr>
                <w:rFonts w:hint="eastAsia" w:ascii="宋体" w:hAnsi="宋体" w:eastAsia="宋体" w:cs="Times New Roman"/>
                <w:color w:val="000000"/>
                <w:sz w:val="24"/>
                <w:highlight w:val="none"/>
                <w:lang w:val="en-US" w:eastAsia="zh-CN"/>
              </w:rPr>
              <w:t>面积</w:t>
            </w:r>
            <w:r>
              <w:rPr>
                <w:rFonts w:hint="eastAsia" w:ascii="宋体" w:hAnsi="宋体" w:eastAsia="宋体" w:cs="Times New Roman"/>
                <w:color w:val="000000"/>
                <w:sz w:val="24"/>
                <w:highlight w:val="none"/>
              </w:rPr>
              <w:t>合计</w:t>
            </w:r>
            <w:r>
              <w:rPr>
                <w:rFonts w:hint="eastAsia" w:ascii="宋体" w:hAnsi="宋体" w:eastAsia="宋体" w:cs="Times New Roman"/>
                <w:color w:val="000000"/>
                <w:sz w:val="24"/>
                <w:highlight w:val="none"/>
                <w:lang w:val="en-US" w:eastAsia="zh-CN"/>
              </w:rPr>
              <w:t>3.6828</w:t>
            </w:r>
            <w:r>
              <w:rPr>
                <w:rFonts w:hint="eastAsia" w:ascii="宋体" w:hAnsi="宋体" w:eastAsia="宋体" w:cs="Times New Roman"/>
                <w:color w:val="000000"/>
                <w:sz w:val="24"/>
                <w:highlight w:val="none"/>
              </w:rPr>
              <w:t>公顷。其中</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lang w:val="en-US" w:eastAsia="zh-CN"/>
              </w:rPr>
              <w:t>裸岩石砾地面积合计2.4620公顷，占比66.85%；盐田及采矿用地面积合计1.2208公顷，占比33.15%。均为压占，材料堆</w:t>
            </w:r>
            <w:r>
              <w:rPr>
                <w:rFonts w:hint="eastAsia" w:ascii="宋体" w:hAnsi="宋体" w:eastAsia="宋体" w:cs="Times New Roman"/>
                <w:b w:val="0"/>
                <w:bCs w:val="0"/>
                <w:color w:val="000000"/>
                <w:sz w:val="24"/>
                <w:highlight w:val="none"/>
                <w:lang w:val="en-US" w:eastAsia="zh-CN"/>
              </w:rPr>
              <w:drawing>
                <wp:anchor distT="0" distB="0" distL="114300" distR="114300" simplePos="0" relativeHeight="251662336" behindDoc="0" locked="0" layoutInCell="1" allowOverlap="1">
                  <wp:simplePos x="0" y="0"/>
                  <wp:positionH relativeFrom="column">
                    <wp:posOffset>17780</wp:posOffset>
                  </wp:positionH>
                  <wp:positionV relativeFrom="paragraph">
                    <wp:posOffset>321310</wp:posOffset>
                  </wp:positionV>
                  <wp:extent cx="5462270" cy="2436495"/>
                  <wp:effectExtent l="0" t="0" r="8890" b="1905"/>
                  <wp:wrapSquare wrapText="bothSides"/>
                  <wp:docPr id="4" name="图片 317" descr="微信图片_2024122718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17" descr="微信图片_20241227180116"/>
                          <pic:cNvPicPr>
                            <a:picLocks noChangeAspect="1"/>
                          </pic:cNvPicPr>
                        </pic:nvPicPr>
                        <pic:blipFill>
                          <a:blip r:embed="rId11"/>
                          <a:srcRect t="16894"/>
                          <a:stretch>
                            <a:fillRect/>
                          </a:stretch>
                        </pic:blipFill>
                        <pic:spPr>
                          <a:xfrm>
                            <a:off x="0" y="0"/>
                            <a:ext cx="5462270" cy="2436495"/>
                          </a:xfrm>
                          <a:prstGeom prst="rect">
                            <a:avLst/>
                          </a:prstGeom>
                          <a:noFill/>
                          <a:ln>
                            <a:noFill/>
                          </a:ln>
                        </pic:spPr>
                      </pic:pic>
                    </a:graphicData>
                  </a:graphic>
                </wp:anchor>
              </w:drawing>
            </w:r>
            <w:r>
              <w:rPr>
                <w:rFonts w:hint="eastAsia" w:ascii="宋体" w:hAnsi="宋体" w:eastAsia="宋体" w:cs="Times New Roman"/>
                <w:color w:val="000000"/>
                <w:sz w:val="24"/>
                <w:highlight w:val="none"/>
                <w:lang w:val="en-US" w:eastAsia="zh-CN"/>
              </w:rPr>
              <w:t>场1硬化面积0.0088公顷，材料堆场2硬化面积0.0370公顷，硬化厚度均为40cm。</w:t>
            </w:r>
          </w:p>
          <w:p w14:paraId="58FF648B">
            <w:pPr>
              <w:keepNext w:val="0"/>
              <w:keepLines w:val="0"/>
              <w:suppressLineNumbers w:val="0"/>
              <w:bidi w:val="0"/>
              <w:spacing w:before="0" w:beforeAutospacing="0" w:after="0" w:afterAutospacing="0"/>
              <w:ind w:left="0" w:right="0"/>
              <w:jc w:val="center"/>
              <w:rPr>
                <w:rFonts w:hint="eastAsia" w:ascii="宋体" w:hAnsi="宋体" w:eastAsia="宋体" w:cs="Times New Roman"/>
                <w:b w:val="0"/>
                <w:bCs w:val="0"/>
                <w:color w:val="000000"/>
                <w:sz w:val="24"/>
                <w:highlight w:val="none"/>
                <w:lang w:val="en-US" w:eastAsia="zh-CN"/>
              </w:rPr>
            </w:pPr>
            <w:r>
              <w:rPr>
                <w:rFonts w:hint="eastAsia" w:ascii="宋体" w:hAnsi="宋体" w:eastAsia="宋体" w:cs="Times New Roman"/>
                <w:b w:val="0"/>
                <w:bCs w:val="0"/>
                <w:color w:val="000000"/>
                <w:sz w:val="24"/>
                <w:highlight w:val="none"/>
                <w:lang w:val="en-US" w:eastAsia="zh-CN"/>
              </w:rPr>
              <w:t>照片4-1 临时用地现状</w:t>
            </w:r>
          </w:p>
          <w:p w14:paraId="76C95650">
            <w:pPr>
              <w:keepNext w:val="0"/>
              <w:keepLines w:val="0"/>
              <w:suppressLineNumbers w:val="0"/>
              <w:bidi w:val="0"/>
              <w:spacing w:before="0" w:beforeAutospacing="0" w:after="0" w:afterAutospacing="0"/>
              <w:ind w:left="0" w:right="0"/>
              <w:jc w:val="center"/>
              <w:rPr>
                <w:rFonts w:hint="eastAsia"/>
                <w:lang w:val="en-US" w:eastAsia="zh-CN"/>
              </w:rPr>
            </w:pPr>
            <w:r>
              <w:rPr>
                <w:rFonts w:hint="eastAsia"/>
                <w:lang w:val="en-US" w:eastAsia="zh-CN"/>
              </w:rPr>
              <w:drawing>
                <wp:inline distT="0" distB="0" distL="114300" distR="114300">
                  <wp:extent cx="4752975" cy="5774690"/>
                  <wp:effectExtent l="0" t="0" r="1905" b="1270"/>
                  <wp:docPr id="8" name="图片 8" descr="1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现状图"/>
                          <pic:cNvPicPr>
                            <a:picLocks noChangeAspect="1"/>
                          </pic:cNvPicPr>
                        </pic:nvPicPr>
                        <pic:blipFill>
                          <a:blip r:embed="rId12"/>
                          <a:stretch>
                            <a:fillRect/>
                          </a:stretch>
                        </pic:blipFill>
                        <pic:spPr>
                          <a:xfrm>
                            <a:off x="0" y="0"/>
                            <a:ext cx="4752975" cy="5774690"/>
                          </a:xfrm>
                          <a:prstGeom prst="rect">
                            <a:avLst/>
                          </a:prstGeom>
                        </pic:spPr>
                      </pic:pic>
                    </a:graphicData>
                  </a:graphic>
                </wp:inline>
              </w:drawing>
            </w:r>
          </w:p>
          <w:p w14:paraId="47DC97ED">
            <w:pPr>
              <w:pStyle w:val="2"/>
              <w:keepNext w:val="0"/>
              <w:keepLines w:val="0"/>
              <w:suppressLineNumbers w:val="0"/>
              <w:spacing w:before="0" w:beforeAutospacing="0" w:afterAutospacing="0"/>
              <w:ind w:right="0"/>
              <w:jc w:val="center"/>
              <w:rPr>
                <w:rFonts w:hint="default"/>
                <w:lang w:val="en-US" w:eastAsia="zh-CN"/>
              </w:rPr>
            </w:pPr>
            <w:r>
              <w:rPr>
                <w:rFonts w:hint="eastAsia" w:ascii="宋体" w:hAnsi="宋体" w:cs="宋体"/>
                <w:color w:val="000000"/>
                <w:sz w:val="24"/>
                <w:szCs w:val="24"/>
                <w:highlight w:val="none"/>
                <w:lang w:val="en-US" w:eastAsia="zh-CN"/>
              </w:rPr>
              <w:t>图4-1  临时用地分布示意图</w:t>
            </w:r>
          </w:p>
          <w:p w14:paraId="7AFEE3FB">
            <w:pPr>
              <w:keepNext w:val="0"/>
              <w:keepLines w:val="0"/>
              <w:suppressLineNumbers w:val="0"/>
              <w:spacing w:before="0" w:beforeAutospacing="0" w:after="0" w:afterAutospacing="0" w:line="440" w:lineRule="exact"/>
              <w:ind w:left="0" w:right="0" w:firstLine="482" w:firstLineChars="200"/>
              <w:rPr>
                <w:rFonts w:ascii="宋体" w:hAnsi="宋体" w:eastAsia="宋体" w:cs="Times New Roman"/>
                <w:b/>
                <w:bCs/>
                <w:color w:val="000000"/>
                <w:sz w:val="24"/>
                <w:highlight w:val="none"/>
              </w:rPr>
            </w:pPr>
            <w:r>
              <w:rPr>
                <w:rFonts w:hint="eastAsia" w:ascii="宋体" w:hAnsi="宋体" w:eastAsia="宋体" w:cs="Times New Roman"/>
                <w:b/>
                <w:bCs/>
                <w:color w:val="000000"/>
                <w:sz w:val="24"/>
                <w:highlight w:val="none"/>
                <w:lang w:val="en-US" w:eastAsia="zh-CN"/>
              </w:rPr>
              <w:t>4.1.4</w:t>
            </w:r>
            <w:r>
              <w:rPr>
                <w:rFonts w:hint="eastAsia" w:ascii="宋体" w:hAnsi="宋体" w:eastAsia="宋体" w:cs="Times New Roman"/>
                <w:b/>
                <w:bCs/>
                <w:color w:val="000000"/>
                <w:sz w:val="24"/>
                <w:highlight w:val="none"/>
              </w:rPr>
              <w:t>土地损毁程度分析</w:t>
            </w:r>
          </w:p>
          <w:p w14:paraId="022CB5A8">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参照《中华人民共和国土地管理法》和《土地复垦方案编制规程》和《土地复垦技术标准（试行）》的复垦要求，将该项目临时用地土地损毁程度划分3级标准（表4-</w:t>
            </w:r>
            <w:r>
              <w:rPr>
                <w:rFonts w:hint="eastAsia" w:ascii="宋体" w:hAnsi="宋体" w:eastAsia="宋体" w:cs="Times New Roman"/>
                <w:color w:val="000000"/>
                <w:sz w:val="24"/>
                <w:highlight w:val="none"/>
                <w:lang w:val="en-US" w:eastAsia="zh-CN"/>
              </w:rPr>
              <w:t>2</w:t>
            </w:r>
            <w:r>
              <w:rPr>
                <w:rFonts w:hint="eastAsia" w:ascii="宋体" w:hAnsi="宋体" w:eastAsia="宋体" w:cs="Times New Roman"/>
                <w:color w:val="000000"/>
                <w:sz w:val="24"/>
                <w:highlight w:val="none"/>
              </w:rPr>
              <w:t>），分别定为一级</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轻度损毁</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、二级</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中度损毁</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、三级</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重度损毁</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。根据标准，</w:t>
            </w:r>
            <w:r>
              <w:rPr>
                <w:rFonts w:hint="eastAsia" w:ascii="宋体" w:hAnsi="宋体" w:eastAsia="宋体" w:cs="Times New Roman"/>
                <w:color w:val="000000"/>
                <w:sz w:val="24"/>
                <w:highlight w:val="none"/>
                <w:lang w:eastAsia="zh-CN"/>
              </w:rPr>
              <w:t>中交一公局集团有限公司G331线至三塘湖火车站道路建设项目临时用地</w:t>
            </w:r>
            <w:r>
              <w:rPr>
                <w:rFonts w:hint="eastAsia" w:ascii="宋体" w:hAnsi="宋体" w:eastAsia="宋体" w:cs="Times New Roman"/>
                <w:color w:val="000000"/>
                <w:sz w:val="24"/>
                <w:highlight w:val="none"/>
              </w:rPr>
              <w:t>损毁方主要为</w:t>
            </w:r>
            <w:r>
              <w:rPr>
                <w:rFonts w:hint="eastAsia" w:ascii="宋体" w:hAnsi="宋体" w:eastAsia="宋体" w:cs="Times New Roman"/>
                <w:color w:val="000000"/>
                <w:sz w:val="24"/>
                <w:highlight w:val="none"/>
                <w:lang w:val="en-US" w:eastAsia="zh-CN"/>
              </w:rPr>
              <w:t>压占</w:t>
            </w:r>
            <w:r>
              <w:rPr>
                <w:rFonts w:hint="eastAsia" w:ascii="宋体" w:hAnsi="宋体" w:eastAsia="宋体" w:cs="Times New Roman"/>
                <w:color w:val="000000"/>
                <w:sz w:val="24"/>
                <w:highlight w:val="none"/>
              </w:rPr>
              <w:t>。</w:t>
            </w:r>
          </w:p>
          <w:p w14:paraId="3C3F3961">
            <w:pPr>
              <w:keepNext w:val="0"/>
              <w:keepLines w:val="0"/>
              <w:suppressLineNumbers w:val="0"/>
              <w:spacing w:before="0" w:beforeAutospacing="0" w:after="0" w:afterAutospacing="0" w:line="440" w:lineRule="exact"/>
              <w:ind w:left="0" w:right="0"/>
              <w:jc w:val="center"/>
              <w:rPr>
                <w:rFonts w:hint="eastAsia" w:ascii="宋体" w:hAnsi="宋体" w:eastAsia="宋体" w:cs="Times New Roman"/>
                <w:b/>
                <w:bCs/>
                <w:color w:val="000000"/>
                <w:szCs w:val="21"/>
                <w:highlight w:val="none"/>
              </w:rPr>
            </w:pPr>
            <w:r>
              <w:rPr>
                <w:rFonts w:hint="eastAsia" w:ascii="宋体" w:hAnsi="宋体" w:eastAsia="宋体" w:cs="Times New Roman"/>
                <w:b/>
                <w:bCs/>
                <w:color w:val="000000"/>
                <w:szCs w:val="21"/>
                <w:highlight w:val="none"/>
              </w:rPr>
              <w:t>表4-</w:t>
            </w:r>
            <w:r>
              <w:rPr>
                <w:rFonts w:hint="eastAsia" w:ascii="宋体" w:hAnsi="宋体" w:eastAsia="宋体" w:cs="Times New Roman"/>
                <w:b/>
                <w:bCs/>
                <w:color w:val="000000"/>
                <w:szCs w:val="21"/>
                <w:highlight w:val="none"/>
                <w:lang w:val="en-US" w:eastAsia="zh-CN"/>
              </w:rPr>
              <w:t xml:space="preserve">1 </w:t>
            </w:r>
            <w:r>
              <w:rPr>
                <w:rFonts w:hint="eastAsia" w:ascii="宋体" w:hAnsi="宋体" w:eastAsia="宋体" w:cs="Times New Roman"/>
                <w:b/>
                <w:bCs/>
                <w:color w:val="000000"/>
                <w:szCs w:val="21"/>
                <w:highlight w:val="none"/>
                <w:lang w:eastAsia="zh-CN"/>
              </w:rPr>
              <w:t>损毁</w:t>
            </w:r>
            <w:r>
              <w:rPr>
                <w:rFonts w:hint="eastAsia" w:ascii="宋体" w:hAnsi="宋体" w:eastAsia="宋体" w:cs="Times New Roman"/>
                <w:b/>
                <w:bCs/>
                <w:color w:val="000000"/>
                <w:szCs w:val="21"/>
                <w:highlight w:val="none"/>
              </w:rPr>
              <w:t>程度评价因素及等级标准表</w:t>
            </w:r>
          </w:p>
          <w:tbl>
            <w:tblPr>
              <w:tblStyle w:val="19"/>
              <w:tblW w:w="8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316"/>
              <w:gridCol w:w="1331"/>
              <w:gridCol w:w="1877"/>
              <w:gridCol w:w="1960"/>
            </w:tblGrid>
            <w:tr w14:paraId="663B6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jc w:val="center"/>
              </w:trPr>
              <w:tc>
                <w:tcPr>
                  <w:tcW w:w="956" w:type="dxa"/>
                  <w:vMerge w:val="restart"/>
                  <w:noWrap w:val="0"/>
                  <w:vAlign w:val="center"/>
                </w:tcPr>
                <w:p w14:paraId="3262381B">
                  <w:pPr>
                    <w:pStyle w:val="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textAlignment w:val="auto"/>
                    <w:rPr>
                      <w:rFonts w:hint="eastAsia" w:ascii="宋体" w:hAnsi="宋体" w:eastAsia="宋体" w:cs="宋体"/>
                      <w:color w:val="000000"/>
                      <w:highlight w:val="none"/>
                    </w:rPr>
                  </w:pPr>
                </w:p>
              </w:tc>
              <w:tc>
                <w:tcPr>
                  <w:tcW w:w="2316" w:type="dxa"/>
                  <w:vMerge w:val="restart"/>
                  <w:noWrap w:val="0"/>
                  <w:vAlign w:val="center"/>
                </w:tcPr>
                <w:p w14:paraId="0D20B3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评价因子</w:t>
                  </w:r>
                </w:p>
              </w:tc>
              <w:tc>
                <w:tcPr>
                  <w:tcW w:w="5168" w:type="dxa"/>
                  <w:gridSpan w:val="3"/>
                  <w:noWrap w:val="0"/>
                  <w:vAlign w:val="center"/>
                </w:tcPr>
                <w:p w14:paraId="762B15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土地损毁程度</w:t>
                  </w:r>
                </w:p>
              </w:tc>
            </w:tr>
            <w:tr w14:paraId="340B0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956" w:type="dxa"/>
                  <w:vMerge w:val="continue"/>
                  <w:noWrap w:val="0"/>
                  <w:vAlign w:val="center"/>
                </w:tcPr>
                <w:p w14:paraId="7E99BC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p>
              </w:tc>
              <w:tc>
                <w:tcPr>
                  <w:tcW w:w="2316" w:type="dxa"/>
                  <w:vMerge w:val="continue"/>
                  <w:noWrap w:val="0"/>
                  <w:vAlign w:val="center"/>
                </w:tcPr>
                <w:p w14:paraId="6C5FCF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p>
              </w:tc>
              <w:tc>
                <w:tcPr>
                  <w:tcW w:w="1331" w:type="dxa"/>
                  <w:noWrap w:val="0"/>
                  <w:vAlign w:val="center"/>
                </w:tcPr>
                <w:p w14:paraId="7C14BC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轻度</w:t>
                  </w:r>
                </w:p>
              </w:tc>
              <w:tc>
                <w:tcPr>
                  <w:tcW w:w="1877" w:type="dxa"/>
                  <w:noWrap w:val="0"/>
                  <w:vAlign w:val="center"/>
                </w:tcPr>
                <w:p w14:paraId="6294CD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中度</w:t>
                  </w:r>
                </w:p>
              </w:tc>
              <w:tc>
                <w:tcPr>
                  <w:tcW w:w="1960" w:type="dxa"/>
                  <w:noWrap w:val="0"/>
                  <w:vAlign w:val="center"/>
                </w:tcPr>
                <w:p w14:paraId="2E3400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重度</w:t>
                  </w:r>
                </w:p>
              </w:tc>
            </w:tr>
            <w:tr w14:paraId="0F1F3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56" w:type="dxa"/>
                  <w:vMerge w:val="restart"/>
                  <w:noWrap w:val="0"/>
                  <w:vAlign w:val="center"/>
                </w:tcPr>
                <w:p w14:paraId="7C169F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压占</w:t>
                  </w:r>
                </w:p>
              </w:tc>
              <w:tc>
                <w:tcPr>
                  <w:tcW w:w="2316" w:type="dxa"/>
                  <w:noWrap w:val="0"/>
                  <w:vAlign w:val="center"/>
                </w:tcPr>
                <w:p w14:paraId="0353B3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表土层损毁厚度</w:t>
                  </w:r>
                </w:p>
              </w:tc>
              <w:tc>
                <w:tcPr>
                  <w:tcW w:w="1331" w:type="dxa"/>
                  <w:noWrap w:val="0"/>
                  <w:vAlign w:val="center"/>
                </w:tcPr>
                <w:p w14:paraId="589949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＜10厘米</w:t>
                  </w:r>
                </w:p>
              </w:tc>
              <w:tc>
                <w:tcPr>
                  <w:tcW w:w="1877" w:type="dxa"/>
                  <w:noWrap w:val="0"/>
                  <w:vAlign w:val="center"/>
                </w:tcPr>
                <w:p w14:paraId="132F2E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10</w:t>
                  </w: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rPr>
                    <w:t>20厘米</w:t>
                  </w:r>
                </w:p>
              </w:tc>
              <w:tc>
                <w:tcPr>
                  <w:tcW w:w="1960" w:type="dxa"/>
                  <w:noWrap w:val="0"/>
                  <w:vAlign w:val="center"/>
                </w:tcPr>
                <w:p w14:paraId="797A1A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＞20厘米</w:t>
                  </w:r>
                </w:p>
              </w:tc>
            </w:tr>
            <w:tr w14:paraId="7AD56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56" w:type="dxa"/>
                  <w:vMerge w:val="continue"/>
                  <w:noWrap w:val="0"/>
                  <w:vAlign w:val="center"/>
                </w:tcPr>
                <w:p w14:paraId="2D25D5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p>
              </w:tc>
              <w:tc>
                <w:tcPr>
                  <w:tcW w:w="2316" w:type="dxa"/>
                  <w:noWrap w:val="0"/>
                  <w:vAlign w:val="center"/>
                </w:tcPr>
                <w:p w14:paraId="27D750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坡度</w:t>
                  </w:r>
                </w:p>
              </w:tc>
              <w:tc>
                <w:tcPr>
                  <w:tcW w:w="1331" w:type="dxa"/>
                  <w:noWrap w:val="0"/>
                  <w:vAlign w:val="center"/>
                </w:tcPr>
                <w:p w14:paraId="3CC5F4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＜6°</w:t>
                  </w:r>
                </w:p>
              </w:tc>
              <w:tc>
                <w:tcPr>
                  <w:tcW w:w="1877" w:type="dxa"/>
                  <w:noWrap w:val="0"/>
                  <w:vAlign w:val="center"/>
                </w:tcPr>
                <w:p w14:paraId="7497BB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6-15°</w:t>
                  </w:r>
                </w:p>
              </w:tc>
              <w:tc>
                <w:tcPr>
                  <w:tcW w:w="1960" w:type="dxa"/>
                  <w:noWrap w:val="0"/>
                  <w:vAlign w:val="center"/>
                </w:tcPr>
                <w:p w14:paraId="37DE13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＞15°</w:t>
                  </w:r>
                </w:p>
              </w:tc>
            </w:tr>
            <w:tr w14:paraId="7D60B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56" w:type="dxa"/>
                  <w:vMerge w:val="continue"/>
                  <w:noWrap w:val="0"/>
                  <w:vAlign w:val="center"/>
                </w:tcPr>
                <w:p w14:paraId="4072EF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p>
              </w:tc>
              <w:tc>
                <w:tcPr>
                  <w:tcW w:w="2316" w:type="dxa"/>
                  <w:noWrap w:val="0"/>
                  <w:vAlign w:val="center"/>
                </w:tcPr>
                <w:p w14:paraId="6608F3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压占物</w:t>
                  </w:r>
                </w:p>
              </w:tc>
              <w:tc>
                <w:tcPr>
                  <w:tcW w:w="1331" w:type="dxa"/>
                  <w:noWrap w:val="0"/>
                  <w:vAlign w:val="center"/>
                </w:tcPr>
                <w:p w14:paraId="55C620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原始土壤</w:t>
                  </w:r>
                </w:p>
              </w:tc>
              <w:tc>
                <w:tcPr>
                  <w:tcW w:w="1877" w:type="dxa"/>
                  <w:noWrap w:val="0"/>
                  <w:vAlign w:val="center"/>
                </w:tcPr>
                <w:p w14:paraId="345F76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原始土壤和岩石混合物</w:t>
                  </w:r>
                </w:p>
              </w:tc>
              <w:tc>
                <w:tcPr>
                  <w:tcW w:w="1960" w:type="dxa"/>
                  <w:noWrap w:val="0"/>
                  <w:vAlign w:val="center"/>
                </w:tcPr>
                <w:p w14:paraId="2FFEB8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岩土、砾石、建筑物、建筑垃圾</w:t>
                  </w:r>
                </w:p>
              </w:tc>
            </w:tr>
            <w:tr w14:paraId="53999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56" w:type="dxa"/>
                  <w:vMerge w:val="restart"/>
                  <w:noWrap w:val="0"/>
                  <w:vAlign w:val="center"/>
                </w:tcPr>
                <w:p w14:paraId="204FFE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挖损</w:t>
                  </w:r>
                </w:p>
              </w:tc>
              <w:tc>
                <w:tcPr>
                  <w:tcW w:w="2316" w:type="dxa"/>
                  <w:noWrap w:val="0"/>
                  <w:vAlign w:val="center"/>
                </w:tcPr>
                <w:p w14:paraId="625919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表土层损毁厚度</w:t>
                  </w:r>
                </w:p>
              </w:tc>
              <w:tc>
                <w:tcPr>
                  <w:tcW w:w="1331" w:type="dxa"/>
                  <w:noWrap w:val="0"/>
                  <w:vAlign w:val="center"/>
                </w:tcPr>
                <w:p w14:paraId="669AA4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＜10厘米</w:t>
                  </w:r>
                </w:p>
              </w:tc>
              <w:tc>
                <w:tcPr>
                  <w:tcW w:w="1877" w:type="dxa"/>
                  <w:noWrap w:val="0"/>
                  <w:vAlign w:val="center"/>
                </w:tcPr>
                <w:p w14:paraId="41E7FC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10</w:t>
                  </w: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rPr>
                    <w:t>20厘米</w:t>
                  </w:r>
                </w:p>
              </w:tc>
              <w:tc>
                <w:tcPr>
                  <w:tcW w:w="1960" w:type="dxa"/>
                  <w:noWrap w:val="0"/>
                  <w:vAlign w:val="center"/>
                </w:tcPr>
                <w:p w14:paraId="386C4C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＞20厘米</w:t>
                  </w:r>
                </w:p>
              </w:tc>
            </w:tr>
            <w:tr w14:paraId="3E18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56" w:type="dxa"/>
                  <w:vMerge w:val="continue"/>
                  <w:noWrap w:val="0"/>
                  <w:vAlign w:val="center"/>
                </w:tcPr>
                <w:p w14:paraId="7BFDAE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p>
              </w:tc>
              <w:tc>
                <w:tcPr>
                  <w:tcW w:w="2316" w:type="dxa"/>
                  <w:noWrap w:val="0"/>
                  <w:vAlign w:val="center"/>
                </w:tcPr>
                <w:p w14:paraId="6B8348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开挖深度</w:t>
                  </w:r>
                </w:p>
              </w:tc>
              <w:tc>
                <w:tcPr>
                  <w:tcW w:w="1331" w:type="dxa"/>
                  <w:noWrap w:val="0"/>
                  <w:vAlign w:val="center"/>
                </w:tcPr>
                <w:p w14:paraId="48520C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＜2米</w:t>
                  </w:r>
                </w:p>
              </w:tc>
              <w:tc>
                <w:tcPr>
                  <w:tcW w:w="1877" w:type="dxa"/>
                  <w:noWrap w:val="0"/>
                  <w:vAlign w:val="center"/>
                </w:tcPr>
                <w:p w14:paraId="5CD438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2</w:t>
                  </w: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rPr>
                    <w:t>4米</w:t>
                  </w:r>
                </w:p>
              </w:tc>
              <w:tc>
                <w:tcPr>
                  <w:tcW w:w="1960" w:type="dxa"/>
                  <w:noWrap w:val="0"/>
                  <w:vAlign w:val="center"/>
                </w:tcPr>
                <w:p w14:paraId="2CBB8F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＞4米</w:t>
                  </w:r>
                </w:p>
              </w:tc>
            </w:tr>
            <w:tr w14:paraId="5FD5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956" w:type="dxa"/>
                  <w:vMerge w:val="continue"/>
                  <w:noWrap w:val="0"/>
                  <w:vAlign w:val="center"/>
                </w:tcPr>
                <w:p w14:paraId="7A0345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p>
              </w:tc>
              <w:tc>
                <w:tcPr>
                  <w:tcW w:w="2316" w:type="dxa"/>
                  <w:noWrap w:val="0"/>
                  <w:vAlign w:val="center"/>
                </w:tcPr>
                <w:p w14:paraId="136223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挖损边坡坡度</w:t>
                  </w:r>
                </w:p>
              </w:tc>
              <w:tc>
                <w:tcPr>
                  <w:tcW w:w="1331" w:type="dxa"/>
                  <w:noWrap w:val="0"/>
                  <w:vAlign w:val="center"/>
                </w:tcPr>
                <w:p w14:paraId="1DFAD8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＜6°</w:t>
                  </w:r>
                </w:p>
              </w:tc>
              <w:tc>
                <w:tcPr>
                  <w:tcW w:w="1877" w:type="dxa"/>
                  <w:noWrap w:val="0"/>
                  <w:vAlign w:val="center"/>
                </w:tcPr>
                <w:p w14:paraId="1930CB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6-15°</w:t>
                  </w:r>
                </w:p>
              </w:tc>
              <w:tc>
                <w:tcPr>
                  <w:tcW w:w="1960" w:type="dxa"/>
                  <w:noWrap w:val="0"/>
                  <w:vAlign w:val="center"/>
                </w:tcPr>
                <w:p w14:paraId="06268D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＞15°</w:t>
                  </w:r>
                </w:p>
              </w:tc>
            </w:tr>
          </w:tbl>
          <w:p w14:paraId="1A2C05BA">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本项目申请的6宗临时用地</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lang w:val="en-US" w:eastAsia="zh-CN"/>
              </w:rPr>
              <w:t>主要为</w:t>
            </w:r>
            <w:r>
              <w:rPr>
                <w:rFonts w:hint="eastAsia" w:ascii="宋体" w:hAnsi="宋体" w:cs="Times New Roman"/>
                <w:color w:val="000000"/>
                <w:sz w:val="24"/>
                <w:highlight w:val="none"/>
                <w:lang w:val="en-US" w:eastAsia="zh-CN"/>
              </w:rPr>
              <w:t>2宗</w:t>
            </w:r>
            <w:r>
              <w:rPr>
                <w:rFonts w:hint="eastAsia" w:ascii="宋体" w:hAnsi="宋体" w:eastAsia="宋体" w:cs="Times New Roman"/>
                <w:color w:val="000000"/>
                <w:sz w:val="24"/>
                <w:highlight w:val="none"/>
                <w:lang w:val="en-US" w:eastAsia="zh-CN"/>
              </w:rPr>
              <w:t>制梁场</w:t>
            </w:r>
            <w:r>
              <w:rPr>
                <w:rFonts w:hint="eastAsia" w:ascii="宋体" w:hAnsi="宋体" w:cs="Times New Roman"/>
                <w:color w:val="000000"/>
                <w:sz w:val="24"/>
                <w:highlight w:val="none"/>
                <w:lang w:val="en-US" w:eastAsia="zh-CN"/>
              </w:rPr>
              <w:t>、2宗</w:t>
            </w:r>
            <w:r>
              <w:rPr>
                <w:rFonts w:hint="eastAsia" w:ascii="宋体" w:hAnsi="宋体" w:eastAsia="宋体" w:cs="Times New Roman"/>
                <w:color w:val="000000"/>
                <w:sz w:val="24"/>
                <w:highlight w:val="none"/>
                <w:lang w:val="en-US" w:eastAsia="zh-CN"/>
              </w:rPr>
              <w:t>材料堆场</w:t>
            </w:r>
            <w:r>
              <w:rPr>
                <w:rFonts w:hint="eastAsia" w:ascii="宋体" w:hAnsi="宋体" w:cs="Times New Roman"/>
                <w:color w:val="000000"/>
                <w:sz w:val="24"/>
                <w:highlight w:val="none"/>
                <w:lang w:val="en-US" w:eastAsia="zh-CN"/>
              </w:rPr>
              <w:t>和2宗</w:t>
            </w:r>
            <w:r>
              <w:rPr>
                <w:rFonts w:hint="eastAsia" w:ascii="宋体" w:hAnsi="宋体" w:eastAsia="宋体" w:cs="Times New Roman"/>
                <w:color w:val="000000"/>
                <w:sz w:val="24"/>
                <w:highlight w:val="none"/>
                <w:lang w:val="en-US" w:eastAsia="zh-CN"/>
              </w:rPr>
              <w:t>钢筋加工厂，服务于</w:t>
            </w:r>
            <w:r>
              <w:rPr>
                <w:rFonts w:hint="eastAsia" w:ascii="宋体" w:hAnsi="宋体" w:eastAsia="宋体" w:cs="Times New Roman"/>
                <w:color w:val="000000"/>
                <w:sz w:val="24"/>
                <w:highlight w:val="none"/>
                <w:lang w:eastAsia="zh-CN"/>
              </w:rPr>
              <w:t>中交一公局集团有限公司G331线至三塘湖火车站道路建设项目</w:t>
            </w:r>
            <w:r>
              <w:rPr>
                <w:rFonts w:hint="eastAsia" w:ascii="宋体" w:hAnsi="宋体" w:eastAsia="宋体" w:cs="Times New Roman"/>
                <w:color w:val="000000"/>
                <w:sz w:val="24"/>
                <w:highlight w:val="none"/>
                <w:lang w:val="en-US" w:eastAsia="zh-CN"/>
              </w:rPr>
              <w:t>。</w:t>
            </w:r>
          </w:p>
          <w:p w14:paraId="41BEC57B">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制梁场1：损毁土地面积0.3553公顷，</w:t>
            </w:r>
            <w:r>
              <w:rPr>
                <w:rFonts w:hint="eastAsia" w:ascii="宋体" w:hAnsi="宋体" w:eastAsia="宋体" w:cs="Times New Roman"/>
                <w:color w:val="auto"/>
                <w:sz w:val="24"/>
                <w:lang w:val="en-US" w:eastAsia="zh-CN"/>
              </w:rPr>
              <w:t>场地基本平坦，</w:t>
            </w:r>
            <w:r>
              <w:rPr>
                <w:rFonts w:hint="eastAsia" w:ascii="宋体" w:hAnsi="宋体" w:eastAsia="宋体" w:cs="Times New Roman"/>
                <w:color w:val="000000"/>
                <w:sz w:val="24"/>
                <w:highlight w:val="none"/>
                <w:lang w:val="en-US" w:eastAsia="zh-CN"/>
              </w:rPr>
              <w:t>无硬化，压占物为机械设备及混凝土制品</w:t>
            </w:r>
            <w:r>
              <w:rPr>
                <w:rFonts w:hint="eastAsia" w:ascii="宋体" w:hAnsi="宋体" w:eastAsia="宋体" w:cs="Times New Roman"/>
                <w:color w:val="auto"/>
                <w:sz w:val="24"/>
                <w:lang w:val="en-US" w:eastAsia="zh-CN"/>
              </w:rPr>
              <w:t>。</w:t>
            </w:r>
            <w:r>
              <w:rPr>
                <w:rFonts w:hint="eastAsia" w:ascii="宋体" w:hAnsi="宋体" w:eastAsia="宋体" w:cs="Times New Roman"/>
                <w:color w:val="000000"/>
                <w:sz w:val="24"/>
                <w:highlight w:val="none"/>
                <w:lang w:val="en-US" w:eastAsia="zh-CN"/>
              </w:rPr>
              <w:t>表土层损毁厚度约20cm；原始地形坡度约3°，占地类型为裸岩石砾地。因此，确定制梁场1土地损毁程度为重度损毁。</w:t>
            </w:r>
          </w:p>
          <w:p w14:paraId="6D90B0BF">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制梁场2：损毁土地面积0.3904公顷，</w:t>
            </w:r>
            <w:r>
              <w:rPr>
                <w:rFonts w:hint="eastAsia" w:ascii="宋体" w:hAnsi="宋体" w:eastAsia="宋体" w:cs="Times New Roman"/>
                <w:color w:val="auto"/>
                <w:sz w:val="24"/>
                <w:lang w:val="en-US" w:eastAsia="zh-CN"/>
              </w:rPr>
              <w:t>场地基本平坦，</w:t>
            </w:r>
            <w:r>
              <w:rPr>
                <w:rFonts w:hint="eastAsia" w:ascii="宋体" w:hAnsi="宋体" w:eastAsia="宋体" w:cs="Times New Roman"/>
                <w:color w:val="000000"/>
                <w:sz w:val="24"/>
                <w:highlight w:val="none"/>
                <w:lang w:val="en-US" w:eastAsia="zh-CN"/>
              </w:rPr>
              <w:t>无硬化，压占物为机械设备及混凝土制品。表土层损毁厚度约20cm；原始地形坡度约3°，占地类型为盐田及采矿用地。因此，确定制梁场2土地损毁程度为重度损毁。</w:t>
            </w:r>
          </w:p>
          <w:p w14:paraId="4E003715">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材料堆场1：损毁土地面积0.4295公顷，</w:t>
            </w:r>
            <w:r>
              <w:rPr>
                <w:rFonts w:hint="eastAsia" w:ascii="宋体" w:hAnsi="宋体" w:eastAsia="宋体" w:cs="Times New Roman"/>
                <w:color w:val="auto"/>
                <w:sz w:val="24"/>
                <w:lang w:val="en-US" w:eastAsia="zh-CN"/>
              </w:rPr>
              <w:t>场地基本平坦，</w:t>
            </w:r>
            <w:r>
              <w:rPr>
                <w:rFonts w:hint="eastAsia" w:ascii="宋体" w:hAnsi="宋体" w:eastAsia="宋体" w:cs="Times New Roman"/>
                <w:color w:val="000000"/>
                <w:sz w:val="24"/>
                <w:highlight w:val="none"/>
                <w:lang w:val="en-US" w:eastAsia="zh-CN"/>
              </w:rPr>
              <w:t>硬化面积0.0088公顷</w:t>
            </w:r>
            <w:r>
              <w:rPr>
                <w:rFonts w:hint="eastAsia" w:ascii="宋体" w:hAnsi="宋体" w:cs="Times New Roman"/>
                <w:color w:val="000000"/>
                <w:sz w:val="24"/>
                <w:highlight w:val="none"/>
                <w:lang w:val="en-US" w:eastAsia="zh-CN"/>
              </w:rPr>
              <w:t>，</w:t>
            </w:r>
            <w:r>
              <w:rPr>
                <w:rFonts w:hint="eastAsia" w:ascii="宋体" w:hAnsi="宋体" w:eastAsia="宋体" w:cs="Times New Roman"/>
                <w:color w:val="000000"/>
                <w:sz w:val="24"/>
                <w:highlight w:val="none"/>
                <w:lang w:val="en-US" w:eastAsia="zh-CN"/>
              </w:rPr>
              <w:t>硬化厚度为40cm，压占物为机械设备及建筑材料</w:t>
            </w:r>
            <w:r>
              <w:rPr>
                <w:rFonts w:hint="eastAsia" w:ascii="宋体" w:hAnsi="宋体" w:eastAsia="宋体" w:cs="Times New Roman"/>
                <w:color w:val="auto"/>
                <w:sz w:val="24"/>
                <w:lang w:val="en-US" w:eastAsia="zh-CN"/>
              </w:rPr>
              <w:t>。</w:t>
            </w:r>
            <w:r>
              <w:rPr>
                <w:rFonts w:hint="eastAsia" w:ascii="宋体" w:hAnsi="宋体" w:eastAsia="宋体" w:cs="Times New Roman"/>
                <w:color w:val="000000"/>
                <w:sz w:val="24"/>
                <w:highlight w:val="none"/>
                <w:lang w:val="en-US" w:eastAsia="zh-CN"/>
              </w:rPr>
              <w:t>表土层损毁厚度约20cm；原始地形坡度约3°，占地类型为裸岩石砾地。因此，确定材料堆场1土地损毁程度为重度损毁。</w:t>
            </w:r>
          </w:p>
          <w:p w14:paraId="6ABA642C">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材料堆场2：损毁土地面积1.5636公顷，</w:t>
            </w:r>
            <w:r>
              <w:rPr>
                <w:rFonts w:hint="eastAsia" w:ascii="宋体" w:hAnsi="宋体" w:eastAsia="宋体" w:cs="Times New Roman"/>
                <w:color w:val="auto"/>
                <w:sz w:val="24"/>
                <w:lang w:val="en-US" w:eastAsia="zh-CN"/>
              </w:rPr>
              <w:t>场地基本平坦，</w:t>
            </w:r>
            <w:r>
              <w:rPr>
                <w:rFonts w:hint="eastAsia" w:ascii="宋体" w:hAnsi="宋体" w:eastAsia="宋体" w:cs="Times New Roman"/>
                <w:color w:val="000000"/>
                <w:sz w:val="24"/>
                <w:highlight w:val="none"/>
                <w:lang w:val="en-US" w:eastAsia="zh-CN"/>
              </w:rPr>
              <w:t>硬化面积0.0370公顷</w:t>
            </w:r>
            <w:r>
              <w:rPr>
                <w:rFonts w:hint="eastAsia" w:ascii="宋体" w:hAnsi="宋体" w:cs="Times New Roman"/>
                <w:color w:val="000000"/>
                <w:sz w:val="24"/>
                <w:highlight w:val="none"/>
                <w:lang w:val="en-US" w:eastAsia="zh-CN"/>
              </w:rPr>
              <w:t>，</w:t>
            </w:r>
            <w:r>
              <w:rPr>
                <w:rFonts w:hint="eastAsia" w:ascii="宋体" w:hAnsi="宋体" w:eastAsia="宋体" w:cs="Times New Roman"/>
                <w:color w:val="000000"/>
                <w:sz w:val="24"/>
                <w:highlight w:val="none"/>
                <w:lang w:val="en-US" w:eastAsia="zh-CN"/>
              </w:rPr>
              <w:t>硬化厚度为40cm，压占物为机械设备及建筑材料</w:t>
            </w:r>
            <w:r>
              <w:rPr>
                <w:rFonts w:hint="eastAsia" w:ascii="宋体" w:hAnsi="宋体" w:eastAsia="宋体" w:cs="Times New Roman"/>
                <w:color w:val="auto"/>
                <w:sz w:val="24"/>
                <w:lang w:val="en-US" w:eastAsia="zh-CN"/>
              </w:rPr>
              <w:t>。</w:t>
            </w:r>
            <w:r>
              <w:rPr>
                <w:rFonts w:hint="eastAsia" w:ascii="宋体" w:hAnsi="宋体" w:eastAsia="宋体" w:cs="Times New Roman"/>
                <w:color w:val="000000"/>
                <w:sz w:val="24"/>
                <w:highlight w:val="none"/>
                <w:lang w:val="en-US" w:eastAsia="zh-CN"/>
              </w:rPr>
              <w:t>表土层损毁厚度约20cm；原始地形坡度约3°，占地类型为裸岩石砾地（0.9702公顷）和盐田及采矿用地（0.5934公顷）。因此，确定材料堆场2土地损毁程度为重度损毁。</w:t>
            </w:r>
          </w:p>
          <w:p w14:paraId="733ACE40">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钢筋加工厂1：损毁土地面积0.3824公顷，</w:t>
            </w:r>
            <w:r>
              <w:rPr>
                <w:rFonts w:hint="eastAsia" w:ascii="宋体" w:hAnsi="宋体" w:eastAsia="宋体" w:cs="Times New Roman"/>
                <w:color w:val="auto"/>
                <w:sz w:val="24"/>
                <w:lang w:val="en-US" w:eastAsia="zh-CN"/>
              </w:rPr>
              <w:t>场地基本平坦，</w:t>
            </w:r>
            <w:r>
              <w:rPr>
                <w:rFonts w:hint="eastAsia" w:ascii="宋体" w:hAnsi="宋体" w:eastAsia="宋体" w:cs="Times New Roman"/>
                <w:color w:val="000000"/>
                <w:sz w:val="24"/>
                <w:highlight w:val="none"/>
                <w:lang w:val="en-US" w:eastAsia="zh-CN"/>
              </w:rPr>
              <w:t>无硬化，压占物为机械设备及钢筋等材料</w:t>
            </w:r>
            <w:r>
              <w:rPr>
                <w:rFonts w:hint="eastAsia" w:ascii="宋体" w:hAnsi="宋体" w:eastAsia="宋体" w:cs="Times New Roman"/>
                <w:color w:val="auto"/>
                <w:sz w:val="24"/>
                <w:lang w:val="en-US" w:eastAsia="zh-CN"/>
              </w:rPr>
              <w:t>。</w:t>
            </w:r>
            <w:r>
              <w:rPr>
                <w:rFonts w:hint="eastAsia" w:ascii="宋体" w:hAnsi="宋体" w:eastAsia="宋体" w:cs="Times New Roman"/>
                <w:color w:val="000000"/>
                <w:sz w:val="24"/>
                <w:highlight w:val="none"/>
                <w:lang w:val="en-US" w:eastAsia="zh-CN"/>
              </w:rPr>
              <w:t>表土层损毁厚度约20cm；原始地形坡度约3°，占地类型为裸岩石砾地。因此，确定钢筋加工厂1土地损毁程度为重度损毁。</w:t>
            </w:r>
          </w:p>
          <w:p w14:paraId="0E6CD6BF">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钢筋加工厂2：损毁土地面积0.5616公顷，</w:t>
            </w:r>
            <w:r>
              <w:rPr>
                <w:rFonts w:hint="eastAsia" w:ascii="宋体" w:hAnsi="宋体" w:eastAsia="宋体" w:cs="Times New Roman"/>
                <w:color w:val="auto"/>
                <w:sz w:val="24"/>
                <w:lang w:val="en-US" w:eastAsia="zh-CN"/>
              </w:rPr>
              <w:t>场地基本平坦，</w:t>
            </w:r>
            <w:r>
              <w:rPr>
                <w:rFonts w:hint="eastAsia" w:ascii="宋体" w:hAnsi="宋体" w:eastAsia="宋体" w:cs="Times New Roman"/>
                <w:color w:val="000000"/>
                <w:sz w:val="24"/>
                <w:highlight w:val="none"/>
                <w:lang w:val="en-US" w:eastAsia="zh-CN"/>
              </w:rPr>
              <w:t>无硬化，压占物为机械设备及钢筋等材料</w:t>
            </w:r>
            <w:r>
              <w:rPr>
                <w:rFonts w:hint="eastAsia" w:ascii="宋体" w:hAnsi="宋体" w:eastAsia="宋体" w:cs="Times New Roman"/>
                <w:color w:val="auto"/>
                <w:sz w:val="24"/>
                <w:lang w:val="en-US" w:eastAsia="zh-CN"/>
              </w:rPr>
              <w:t>。</w:t>
            </w:r>
            <w:r>
              <w:rPr>
                <w:rFonts w:hint="eastAsia" w:ascii="宋体" w:hAnsi="宋体" w:eastAsia="宋体" w:cs="Times New Roman"/>
                <w:color w:val="000000"/>
                <w:sz w:val="24"/>
                <w:highlight w:val="none"/>
                <w:lang w:val="en-US" w:eastAsia="zh-CN"/>
              </w:rPr>
              <w:t>表土层损毁厚度约20cm；原始地形坡度约3°，占地类型为裸岩石砾地（0.3246公顷）和盐田及采矿用地（0.2370公顷）。因此，确定钢筋加工厂2土地损毁程度为重度损毁。</w:t>
            </w:r>
          </w:p>
          <w:p w14:paraId="74099841">
            <w:pPr>
              <w:keepNext w:val="0"/>
              <w:keepLines w:val="0"/>
              <w:suppressLineNumbers w:val="0"/>
              <w:spacing w:before="0" w:beforeAutospacing="0" w:after="0" w:afterAutospacing="0" w:line="440" w:lineRule="exact"/>
              <w:ind w:left="0" w:right="0"/>
              <w:jc w:val="center"/>
              <w:rPr>
                <w:rFonts w:hint="eastAsia" w:ascii="宋体" w:hAnsi="宋体" w:eastAsia="宋体" w:cs="Times New Roman"/>
                <w:b/>
                <w:bCs/>
                <w:color w:val="000000"/>
                <w:szCs w:val="21"/>
                <w:highlight w:val="none"/>
                <w:lang w:val="en-US" w:eastAsia="zh-CN"/>
              </w:rPr>
            </w:pPr>
            <w:r>
              <w:rPr>
                <w:rFonts w:hint="eastAsia" w:ascii="宋体" w:hAnsi="宋体" w:eastAsia="宋体" w:cs="Times New Roman"/>
                <w:b/>
                <w:bCs/>
                <w:color w:val="000000"/>
                <w:szCs w:val="21"/>
                <w:highlight w:val="none"/>
                <w:lang w:val="en-US" w:eastAsia="zh-CN"/>
              </w:rPr>
              <w:t>表4-2 预测土地损毁情况一览表</w:t>
            </w:r>
          </w:p>
          <w:tbl>
            <w:tblPr>
              <w:tblStyle w:val="19"/>
              <w:tblW w:w="8560" w:type="dxa"/>
              <w:tblInd w:w="-12" w:type="dxa"/>
              <w:tblLayout w:type="fixed"/>
              <w:tblCellMar>
                <w:top w:w="0" w:type="dxa"/>
                <w:left w:w="0" w:type="dxa"/>
                <w:bottom w:w="0" w:type="dxa"/>
                <w:right w:w="0" w:type="dxa"/>
              </w:tblCellMar>
            </w:tblPr>
            <w:tblGrid>
              <w:gridCol w:w="1427"/>
              <w:gridCol w:w="1284"/>
              <w:gridCol w:w="1784"/>
              <w:gridCol w:w="1034"/>
              <w:gridCol w:w="1034"/>
              <w:gridCol w:w="980"/>
              <w:gridCol w:w="1017"/>
            </w:tblGrid>
            <w:tr w14:paraId="79840D69">
              <w:tblPrEx>
                <w:tblCellMar>
                  <w:top w:w="0" w:type="dxa"/>
                  <w:left w:w="0" w:type="dxa"/>
                  <w:bottom w:w="0" w:type="dxa"/>
                  <w:right w:w="0" w:type="dxa"/>
                </w:tblCellMar>
              </w:tblPrEx>
              <w:trPr>
                <w:trHeight w:val="364" w:hRule="atLeast"/>
              </w:trPr>
              <w:tc>
                <w:tcPr>
                  <w:tcW w:w="1427"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4FECA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宗地名称</w:t>
                  </w:r>
                </w:p>
              </w:tc>
              <w:tc>
                <w:tcPr>
                  <w:tcW w:w="1284"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8CBE8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权属</w:t>
                  </w:r>
                </w:p>
              </w:tc>
              <w:tc>
                <w:tcPr>
                  <w:tcW w:w="1784"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6D319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地类</w:t>
                  </w:r>
                </w:p>
              </w:tc>
              <w:tc>
                <w:tcPr>
                  <w:tcW w:w="2068"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4A80B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损毁方式</w:t>
                  </w:r>
                </w:p>
              </w:tc>
              <w:tc>
                <w:tcPr>
                  <w:tcW w:w="980" w:type="dxa"/>
                  <w:tcBorders>
                    <w:top w:val="single" w:color="000000" w:sz="4" w:space="0"/>
                    <w:left w:val="single" w:color="000000" w:sz="4" w:space="0"/>
                    <w:bottom w:val="nil"/>
                    <w:right w:val="single" w:color="000000" w:sz="4" w:space="0"/>
                  </w:tcBorders>
                  <w:noWrap w:val="0"/>
                  <w:tcMar>
                    <w:top w:w="12" w:type="dxa"/>
                    <w:left w:w="12" w:type="dxa"/>
                    <w:right w:w="12" w:type="dxa"/>
                  </w:tcMar>
                  <w:vAlign w:val="center"/>
                </w:tcPr>
                <w:p w14:paraId="03681D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面积</w:t>
                  </w:r>
                </w:p>
              </w:tc>
              <w:tc>
                <w:tcPr>
                  <w:tcW w:w="1017"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9B88F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损毁程度</w:t>
                  </w:r>
                </w:p>
              </w:tc>
            </w:tr>
            <w:tr w14:paraId="1EBE95E3">
              <w:tblPrEx>
                <w:tblCellMar>
                  <w:top w:w="0" w:type="dxa"/>
                  <w:left w:w="0" w:type="dxa"/>
                  <w:bottom w:w="0" w:type="dxa"/>
                  <w:right w:w="0" w:type="dxa"/>
                </w:tblCellMar>
              </w:tblPrEx>
              <w:trPr>
                <w:trHeight w:val="364" w:hRule="atLeast"/>
              </w:trPr>
              <w:tc>
                <w:tcPr>
                  <w:tcW w:w="142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020E6D9">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438655F">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78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D0BE9D3">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40B8E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压占</w:t>
                  </w: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DF0BC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挖损</w:t>
                  </w:r>
                </w:p>
              </w:tc>
              <w:tc>
                <w:tcPr>
                  <w:tcW w:w="980" w:type="dxa"/>
                  <w:tcBorders>
                    <w:top w:val="nil"/>
                    <w:left w:val="single" w:color="000000" w:sz="4" w:space="0"/>
                    <w:bottom w:val="single" w:color="000000" w:sz="4" w:space="0"/>
                    <w:right w:val="single" w:color="000000" w:sz="4" w:space="0"/>
                  </w:tcBorders>
                  <w:noWrap w:val="0"/>
                  <w:tcMar>
                    <w:top w:w="12" w:type="dxa"/>
                    <w:left w:w="12" w:type="dxa"/>
                    <w:right w:w="12" w:type="dxa"/>
                  </w:tcMar>
                  <w:vAlign w:val="center"/>
                </w:tcPr>
                <w:p w14:paraId="28A19B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(公顷)</w:t>
                  </w:r>
                </w:p>
              </w:tc>
              <w:tc>
                <w:tcPr>
                  <w:tcW w:w="101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00CB828">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r>
            <w:tr w14:paraId="2B67C632">
              <w:tblPrEx>
                <w:tblCellMar>
                  <w:top w:w="0" w:type="dxa"/>
                  <w:left w:w="0" w:type="dxa"/>
                  <w:bottom w:w="0" w:type="dxa"/>
                  <w:right w:w="0" w:type="dxa"/>
                </w:tblCellMar>
              </w:tblPrEx>
              <w:trPr>
                <w:trHeight w:val="364" w:hRule="atLeast"/>
              </w:trPr>
              <w:tc>
                <w:tcPr>
                  <w:tcW w:w="142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59CC9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制梁场1</w:t>
                  </w:r>
                </w:p>
              </w:tc>
              <w:tc>
                <w:tcPr>
                  <w:tcW w:w="1284"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88553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巴里坤哈萨克自治县三塘湖镇国有</w:t>
                  </w:r>
                </w:p>
              </w:tc>
              <w:tc>
                <w:tcPr>
                  <w:tcW w:w="178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073BC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裸岩石砾地</w:t>
                  </w: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E0241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0.3553</w:t>
                  </w: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0825F5F">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9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C9902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0.3553</w:t>
                  </w:r>
                </w:p>
              </w:tc>
              <w:tc>
                <w:tcPr>
                  <w:tcW w:w="10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07903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重度</w:t>
                  </w:r>
                </w:p>
              </w:tc>
            </w:tr>
            <w:tr w14:paraId="1DDB6971">
              <w:tblPrEx>
                <w:tblCellMar>
                  <w:top w:w="0" w:type="dxa"/>
                  <w:left w:w="0" w:type="dxa"/>
                  <w:bottom w:w="0" w:type="dxa"/>
                  <w:right w:w="0" w:type="dxa"/>
                </w:tblCellMar>
              </w:tblPrEx>
              <w:trPr>
                <w:trHeight w:val="364" w:hRule="atLeast"/>
              </w:trPr>
              <w:tc>
                <w:tcPr>
                  <w:tcW w:w="142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3E455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制梁场2</w:t>
                  </w:r>
                </w:p>
              </w:tc>
              <w:tc>
                <w:tcPr>
                  <w:tcW w:w="128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CDBFE41">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78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347E1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盐田及采矿用地</w:t>
                  </w: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0DD7A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0.3904</w:t>
                  </w: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DD832EE">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9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325DE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0.3904</w:t>
                  </w:r>
                </w:p>
              </w:tc>
              <w:tc>
                <w:tcPr>
                  <w:tcW w:w="10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74AED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重度</w:t>
                  </w:r>
                </w:p>
              </w:tc>
            </w:tr>
            <w:tr w14:paraId="24C2D69C">
              <w:tblPrEx>
                <w:tblCellMar>
                  <w:top w:w="0" w:type="dxa"/>
                  <w:left w:w="0" w:type="dxa"/>
                  <w:bottom w:w="0" w:type="dxa"/>
                  <w:right w:w="0" w:type="dxa"/>
                </w:tblCellMar>
              </w:tblPrEx>
              <w:trPr>
                <w:trHeight w:val="364" w:hRule="atLeast"/>
              </w:trPr>
              <w:tc>
                <w:tcPr>
                  <w:tcW w:w="142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92BAD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材料堆场1</w:t>
                  </w:r>
                </w:p>
              </w:tc>
              <w:tc>
                <w:tcPr>
                  <w:tcW w:w="128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FE567EA">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78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E72AD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裸岩石砾地</w:t>
                  </w: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C6554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0.4295</w:t>
                  </w: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EEAD82F">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9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2A8F0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0.4295</w:t>
                  </w:r>
                </w:p>
              </w:tc>
              <w:tc>
                <w:tcPr>
                  <w:tcW w:w="10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058A9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重度</w:t>
                  </w:r>
                </w:p>
              </w:tc>
            </w:tr>
            <w:tr w14:paraId="37788F20">
              <w:tblPrEx>
                <w:tblCellMar>
                  <w:top w:w="0" w:type="dxa"/>
                  <w:left w:w="0" w:type="dxa"/>
                  <w:bottom w:w="0" w:type="dxa"/>
                  <w:right w:w="0" w:type="dxa"/>
                </w:tblCellMar>
              </w:tblPrEx>
              <w:trPr>
                <w:trHeight w:val="364" w:hRule="atLeast"/>
              </w:trPr>
              <w:tc>
                <w:tcPr>
                  <w:tcW w:w="1427"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5E2B8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材料堆场2</w:t>
                  </w:r>
                </w:p>
              </w:tc>
              <w:tc>
                <w:tcPr>
                  <w:tcW w:w="128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2407B0C">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78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1683E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裸岩石砾地</w:t>
                  </w: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0702C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0.9702</w:t>
                  </w: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7EEB0D4">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9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78C84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0.9702</w:t>
                  </w:r>
                </w:p>
              </w:tc>
              <w:tc>
                <w:tcPr>
                  <w:tcW w:w="10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66F16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重度</w:t>
                  </w:r>
                </w:p>
              </w:tc>
            </w:tr>
            <w:tr w14:paraId="3F6369C1">
              <w:tblPrEx>
                <w:tblCellMar>
                  <w:top w:w="0" w:type="dxa"/>
                  <w:left w:w="0" w:type="dxa"/>
                  <w:bottom w:w="0" w:type="dxa"/>
                  <w:right w:w="0" w:type="dxa"/>
                </w:tblCellMar>
              </w:tblPrEx>
              <w:trPr>
                <w:trHeight w:val="364" w:hRule="atLeast"/>
              </w:trPr>
              <w:tc>
                <w:tcPr>
                  <w:tcW w:w="142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09C638E">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3B08BC1">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78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6D679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盐田及采矿用地</w:t>
                  </w: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46604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0.5934</w:t>
                  </w: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211C548">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9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E283E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0.5934</w:t>
                  </w:r>
                </w:p>
              </w:tc>
              <w:tc>
                <w:tcPr>
                  <w:tcW w:w="10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52143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重度</w:t>
                  </w:r>
                </w:p>
              </w:tc>
            </w:tr>
            <w:tr w14:paraId="4CB4E5B7">
              <w:tblPrEx>
                <w:tblCellMar>
                  <w:top w:w="0" w:type="dxa"/>
                  <w:left w:w="0" w:type="dxa"/>
                  <w:bottom w:w="0" w:type="dxa"/>
                  <w:right w:w="0" w:type="dxa"/>
                </w:tblCellMar>
              </w:tblPrEx>
              <w:trPr>
                <w:trHeight w:val="364" w:hRule="atLeast"/>
              </w:trPr>
              <w:tc>
                <w:tcPr>
                  <w:tcW w:w="142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5DF23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钢筋加工厂1</w:t>
                  </w:r>
                </w:p>
              </w:tc>
              <w:tc>
                <w:tcPr>
                  <w:tcW w:w="128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109A353">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78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0ADBB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裸岩石砾地</w:t>
                  </w: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0B432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0.3824</w:t>
                  </w: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463B5A9">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9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2BBB0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0.3824</w:t>
                  </w:r>
                </w:p>
              </w:tc>
              <w:tc>
                <w:tcPr>
                  <w:tcW w:w="10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513DC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重度</w:t>
                  </w:r>
                </w:p>
              </w:tc>
            </w:tr>
            <w:tr w14:paraId="0DF6FFA0">
              <w:tblPrEx>
                <w:tblCellMar>
                  <w:top w:w="0" w:type="dxa"/>
                  <w:left w:w="0" w:type="dxa"/>
                  <w:bottom w:w="0" w:type="dxa"/>
                  <w:right w:w="0" w:type="dxa"/>
                </w:tblCellMar>
              </w:tblPrEx>
              <w:trPr>
                <w:trHeight w:val="364" w:hRule="atLeast"/>
              </w:trPr>
              <w:tc>
                <w:tcPr>
                  <w:tcW w:w="1427"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AD532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钢筋加工厂2</w:t>
                  </w:r>
                </w:p>
              </w:tc>
              <w:tc>
                <w:tcPr>
                  <w:tcW w:w="128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AE0E031">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78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0F519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裸岩石砾地</w:t>
                  </w: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2CEE5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0.3246</w:t>
                  </w: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061217F">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9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49DD9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0.3246</w:t>
                  </w:r>
                </w:p>
              </w:tc>
              <w:tc>
                <w:tcPr>
                  <w:tcW w:w="10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CBF4C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重度</w:t>
                  </w:r>
                </w:p>
              </w:tc>
            </w:tr>
            <w:tr w14:paraId="5E7DCCF6">
              <w:tblPrEx>
                <w:tblCellMar>
                  <w:top w:w="0" w:type="dxa"/>
                  <w:left w:w="0" w:type="dxa"/>
                  <w:bottom w:w="0" w:type="dxa"/>
                  <w:right w:w="0" w:type="dxa"/>
                </w:tblCellMar>
              </w:tblPrEx>
              <w:trPr>
                <w:trHeight w:val="364" w:hRule="atLeast"/>
              </w:trPr>
              <w:tc>
                <w:tcPr>
                  <w:tcW w:w="142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4CE1652">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68A1A41">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78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730A0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盐田及采矿用地</w:t>
                  </w: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B81B68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0.2370</w:t>
                  </w: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B1F7DB0">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9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1CF2A2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color w:val="000000"/>
                      <w:kern w:val="0"/>
                      <w:sz w:val="21"/>
                      <w:szCs w:val="21"/>
                      <w:u w:val="none"/>
                      <w:lang w:val="en-US" w:eastAsia="zh-CN" w:bidi="ar"/>
                    </w:rPr>
                    <w:t>0.2370</w:t>
                  </w:r>
                </w:p>
              </w:tc>
              <w:tc>
                <w:tcPr>
                  <w:tcW w:w="10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8043C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重度</w:t>
                  </w:r>
                </w:p>
              </w:tc>
            </w:tr>
            <w:tr w14:paraId="05DE340F">
              <w:tblPrEx>
                <w:tblCellMar>
                  <w:top w:w="0" w:type="dxa"/>
                  <w:left w:w="0" w:type="dxa"/>
                  <w:bottom w:w="0" w:type="dxa"/>
                  <w:right w:w="0" w:type="dxa"/>
                </w:tblCellMar>
              </w:tblPrEx>
              <w:trPr>
                <w:trHeight w:val="364" w:hRule="atLeast"/>
              </w:trPr>
              <w:tc>
                <w:tcPr>
                  <w:tcW w:w="2711" w:type="dxa"/>
                  <w:gridSpan w:val="2"/>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14:paraId="7EA7F5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合计</w:t>
                  </w:r>
                </w:p>
              </w:tc>
              <w:tc>
                <w:tcPr>
                  <w:tcW w:w="178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481B4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裸岩石砾地</w:t>
                  </w: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F11C34C">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4395935">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9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10F1E8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color w:val="000000"/>
                      <w:kern w:val="0"/>
                      <w:sz w:val="21"/>
                      <w:szCs w:val="21"/>
                      <w:u w:val="none"/>
                      <w:lang w:val="en-US" w:eastAsia="zh-CN" w:bidi="ar"/>
                    </w:rPr>
                    <w:t>2.4620</w:t>
                  </w:r>
                </w:p>
              </w:tc>
              <w:tc>
                <w:tcPr>
                  <w:tcW w:w="10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00ABF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p>
              </w:tc>
            </w:tr>
            <w:tr w14:paraId="67DA92D3">
              <w:tblPrEx>
                <w:tblCellMar>
                  <w:top w:w="0" w:type="dxa"/>
                  <w:left w:w="0" w:type="dxa"/>
                  <w:bottom w:w="0" w:type="dxa"/>
                  <w:right w:w="0" w:type="dxa"/>
                </w:tblCellMar>
              </w:tblPrEx>
              <w:trPr>
                <w:trHeight w:val="364" w:hRule="atLeast"/>
              </w:trPr>
              <w:tc>
                <w:tcPr>
                  <w:tcW w:w="2711" w:type="dxa"/>
                  <w:gridSpan w:val="2"/>
                  <w:vMerge w:val="continue"/>
                  <w:tcBorders>
                    <w:left w:val="single" w:color="000000" w:sz="4" w:space="0"/>
                    <w:right w:val="single" w:color="000000" w:sz="4" w:space="0"/>
                  </w:tcBorders>
                  <w:noWrap w:val="0"/>
                  <w:tcMar>
                    <w:top w:w="12" w:type="dxa"/>
                    <w:left w:w="12" w:type="dxa"/>
                    <w:right w:w="12" w:type="dxa"/>
                  </w:tcMar>
                  <w:vAlign w:val="center"/>
                </w:tcPr>
                <w:p w14:paraId="6BE660EC">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78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11139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盐田及采矿用地</w:t>
                  </w: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F472537">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295E56F">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9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17ED2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1.2208</w:t>
                  </w:r>
                </w:p>
              </w:tc>
              <w:tc>
                <w:tcPr>
                  <w:tcW w:w="10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61985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p>
              </w:tc>
            </w:tr>
            <w:tr w14:paraId="1BA70B8D">
              <w:tblPrEx>
                <w:tblCellMar>
                  <w:top w:w="0" w:type="dxa"/>
                  <w:left w:w="0" w:type="dxa"/>
                  <w:bottom w:w="0" w:type="dxa"/>
                  <w:right w:w="0" w:type="dxa"/>
                </w:tblCellMar>
              </w:tblPrEx>
              <w:trPr>
                <w:trHeight w:val="375" w:hRule="atLeast"/>
              </w:trPr>
              <w:tc>
                <w:tcPr>
                  <w:tcW w:w="2711" w:type="dxa"/>
                  <w:gridSpan w:val="2"/>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14:paraId="62A1A56B">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78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5A8EF3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合计</w:t>
                  </w: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CBF7A6A">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0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01BDA2E">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9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ACC339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3.6828</w:t>
                  </w:r>
                </w:p>
              </w:tc>
              <w:tc>
                <w:tcPr>
                  <w:tcW w:w="10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46C47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p>
              </w:tc>
            </w:tr>
          </w:tbl>
          <w:p w14:paraId="4E71B287">
            <w:pPr>
              <w:pStyle w:val="6"/>
              <w:suppressLineNumbers w:val="0"/>
              <w:spacing w:before="0" w:beforeAutospacing="0" w:after="0" w:afterAutospacing="0"/>
              <w:ind w:left="0" w:leftChars="0" w:right="0" w:firstLine="482" w:firstLineChars="200"/>
              <w:outlineLvl w:val="3"/>
              <w:rPr>
                <w:rFonts w:hint="eastAsia" w:ascii="宋体" w:hAnsi="宋体" w:eastAsia="宋体" w:cs="Times New Roman"/>
                <w:b/>
                <w:bCs/>
                <w:color w:val="000000"/>
                <w:sz w:val="24"/>
                <w:highlight w:val="none"/>
              </w:rPr>
            </w:pPr>
            <w:r>
              <w:rPr>
                <w:rFonts w:hint="eastAsia" w:ascii="宋体" w:hAnsi="宋体" w:eastAsia="宋体" w:cs="Times New Roman"/>
                <w:b/>
                <w:bCs/>
                <w:color w:val="000000"/>
                <w:sz w:val="24"/>
                <w:highlight w:val="none"/>
                <w:lang w:val="en-US" w:eastAsia="zh-CN"/>
              </w:rPr>
              <w:t>4.1.5</w:t>
            </w:r>
            <w:r>
              <w:rPr>
                <w:rFonts w:hint="eastAsia" w:ascii="宋体" w:hAnsi="宋体" w:eastAsia="宋体" w:cs="Times New Roman"/>
                <w:b/>
                <w:bCs/>
                <w:color w:val="000000"/>
                <w:sz w:val="24"/>
                <w:highlight w:val="none"/>
              </w:rPr>
              <w:t>复垦</w:t>
            </w:r>
            <w:r>
              <w:rPr>
                <w:rFonts w:hint="eastAsia" w:ascii="宋体" w:hAnsi="宋体" w:eastAsia="宋体" w:cs="Times New Roman"/>
                <w:b/>
                <w:bCs/>
                <w:color w:val="000000"/>
                <w:sz w:val="24"/>
                <w:highlight w:val="none"/>
                <w:lang w:eastAsia="zh-CN"/>
              </w:rPr>
              <w:t>区域</w:t>
            </w:r>
            <w:r>
              <w:rPr>
                <w:rFonts w:hint="eastAsia" w:ascii="宋体" w:hAnsi="宋体" w:eastAsia="宋体" w:cs="Times New Roman"/>
                <w:b/>
                <w:bCs/>
                <w:color w:val="000000"/>
                <w:sz w:val="24"/>
                <w:highlight w:val="none"/>
              </w:rPr>
              <w:t>复垦责任范围确定</w:t>
            </w:r>
          </w:p>
          <w:p w14:paraId="51BC57DE">
            <w:pPr>
              <w:pStyle w:val="6"/>
              <w:suppressLineNumbers w:val="0"/>
              <w:spacing w:before="0" w:beforeAutospacing="0" w:after="0" w:afterAutospacing="0"/>
              <w:ind w:left="0" w:right="0" w:firstLine="480" w:firstLineChars="200"/>
              <w:outlineLvl w:val="3"/>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4.1.5.1</w:t>
            </w:r>
            <w:r>
              <w:rPr>
                <w:rFonts w:hint="eastAsia" w:ascii="宋体" w:hAnsi="宋体" w:eastAsia="宋体" w:cs="宋体"/>
                <w:color w:val="000000"/>
                <w:sz w:val="24"/>
                <w:szCs w:val="24"/>
                <w:highlight w:val="none"/>
              </w:rPr>
              <w:t>复垦区</w:t>
            </w:r>
          </w:p>
          <w:p w14:paraId="04A5E1ED">
            <w:pPr>
              <w:keepNext w:val="0"/>
              <w:keepLines w:val="0"/>
              <w:suppressLineNumbers w:val="0"/>
              <w:spacing w:before="0" w:beforeAutospacing="0" w:after="0" w:afterAutospacing="0" w:line="440" w:lineRule="exact"/>
              <w:ind w:left="0" w:right="0"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依据土地损毁分析结果，结合项目区土地利用现状，本方案复垦区面积为临时用地土地损毁区域，即本方案复垦区=临时用地损毁土地面=</w:t>
            </w:r>
            <w:r>
              <w:rPr>
                <w:rFonts w:hint="eastAsia" w:ascii="宋体" w:hAnsi="宋体" w:eastAsia="宋体" w:cs="Times New Roman"/>
                <w:color w:val="000000"/>
                <w:sz w:val="24"/>
                <w:highlight w:val="none"/>
                <w:lang w:val="en-US" w:eastAsia="zh-CN"/>
              </w:rPr>
              <w:t>3.6828</w:t>
            </w:r>
            <w:r>
              <w:rPr>
                <w:rFonts w:hint="eastAsia" w:ascii="宋体" w:hAnsi="宋体" w:eastAsia="宋体" w:cs="Times New Roman"/>
                <w:color w:val="000000"/>
                <w:sz w:val="24"/>
                <w:highlight w:val="none"/>
              </w:rPr>
              <w:t>公顷</w:t>
            </w:r>
            <w:r>
              <w:rPr>
                <w:rFonts w:ascii="宋体" w:hAnsi="宋体" w:eastAsia="宋体" w:cs="Times New Roman"/>
                <w:color w:val="000000"/>
                <w:sz w:val="24"/>
                <w:highlight w:val="none"/>
              </w:rPr>
              <w:t>。</w:t>
            </w:r>
          </w:p>
          <w:p w14:paraId="53A21016">
            <w:pPr>
              <w:keepNext w:val="0"/>
              <w:keepLines w:val="0"/>
              <w:suppressLineNumbers w:val="0"/>
              <w:spacing w:before="0" w:beforeAutospacing="0" w:after="0" w:afterAutospacing="0" w:line="440" w:lineRule="exact"/>
              <w:ind w:left="0" w:right="0"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本项目损毁土地为</w:t>
            </w:r>
            <w:r>
              <w:rPr>
                <w:rFonts w:hint="eastAsia" w:ascii="宋体" w:hAnsi="宋体" w:eastAsia="宋体" w:cs="Times New Roman"/>
                <w:color w:val="000000"/>
                <w:sz w:val="24"/>
                <w:highlight w:val="none"/>
                <w:lang w:val="en-US" w:eastAsia="zh-CN"/>
              </w:rPr>
              <w:t>6宗，</w:t>
            </w:r>
            <w:r>
              <w:rPr>
                <w:rFonts w:ascii="宋体" w:hAnsi="宋体" w:eastAsia="宋体" w:cs="Times New Roman"/>
                <w:color w:val="000000"/>
                <w:sz w:val="24"/>
                <w:highlight w:val="none"/>
              </w:rPr>
              <w:t>临时用地损毁土地面积</w:t>
            </w:r>
            <w:r>
              <w:rPr>
                <w:rFonts w:hint="eastAsia" w:ascii="宋体" w:hAnsi="宋体" w:eastAsia="宋体" w:cs="Times New Roman"/>
                <w:color w:val="000000"/>
                <w:sz w:val="24"/>
                <w:highlight w:val="none"/>
                <w:lang w:val="en-US" w:eastAsia="zh-CN"/>
              </w:rPr>
              <w:t>3.6828</w:t>
            </w:r>
            <w:r>
              <w:rPr>
                <w:rFonts w:hint="eastAsia" w:ascii="宋体" w:hAnsi="宋体" w:eastAsia="宋体" w:cs="Times New Roman"/>
                <w:color w:val="000000"/>
                <w:sz w:val="24"/>
                <w:highlight w:val="none"/>
              </w:rPr>
              <w:t>公顷</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lang w:val="en-US" w:eastAsia="zh-CN"/>
              </w:rPr>
              <w:t>土地类型为裸岩石砾地（2.4620公顷）和盐田及采矿用地（1.2208公顷）</w:t>
            </w:r>
            <w:r>
              <w:rPr>
                <w:rFonts w:ascii="宋体" w:hAnsi="宋体" w:eastAsia="宋体" w:cs="Times New Roman"/>
                <w:color w:val="000000"/>
                <w:sz w:val="24"/>
                <w:highlight w:val="none"/>
              </w:rPr>
              <w:t>。</w:t>
            </w:r>
          </w:p>
          <w:p w14:paraId="34497E2E">
            <w:pPr>
              <w:keepNext w:val="0"/>
              <w:keepLines w:val="0"/>
              <w:suppressLineNumbers w:val="0"/>
              <w:spacing w:before="0" w:beforeAutospacing="0" w:after="0" w:afterAutospacing="0" w:line="440" w:lineRule="exact"/>
              <w:ind w:left="0" w:right="0"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4.1.5.2</w:t>
            </w:r>
            <w:r>
              <w:rPr>
                <w:rFonts w:ascii="宋体" w:hAnsi="宋体" w:eastAsia="宋体" w:cs="Times New Roman"/>
                <w:color w:val="000000"/>
                <w:sz w:val="24"/>
                <w:highlight w:val="none"/>
              </w:rPr>
              <w:t>复垦责任范围</w:t>
            </w:r>
          </w:p>
          <w:p w14:paraId="572EE9BC">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b/>
                <w:bCs/>
                <w:color w:val="000000"/>
                <w:sz w:val="24"/>
                <w:highlight w:val="none"/>
                <w:lang w:val="en-US" w:eastAsia="zh-CN"/>
              </w:rPr>
            </w:pPr>
            <w:r>
              <w:rPr>
                <w:rFonts w:ascii="宋体" w:hAnsi="宋体" w:eastAsia="宋体" w:cs="Times New Roman"/>
                <w:color w:val="000000"/>
                <w:sz w:val="24"/>
                <w:highlight w:val="none"/>
              </w:rPr>
              <w:t>复垦责任范围为复垦区域损毁土地面积，本项目复垦责任范围为临时用地损毁区域。确定本方案复垦责任范围为</w:t>
            </w:r>
            <w:r>
              <w:rPr>
                <w:rFonts w:hint="eastAsia" w:ascii="宋体" w:hAnsi="宋体" w:eastAsia="宋体" w:cs="Times New Roman"/>
                <w:color w:val="000000"/>
                <w:sz w:val="24"/>
                <w:highlight w:val="none"/>
                <w:lang w:val="en-US" w:eastAsia="zh-CN"/>
              </w:rPr>
              <w:t>3.6828</w:t>
            </w:r>
            <w:r>
              <w:rPr>
                <w:rFonts w:hint="eastAsia" w:ascii="宋体" w:hAnsi="宋体" w:eastAsia="宋体" w:cs="Times New Roman"/>
                <w:color w:val="000000"/>
                <w:sz w:val="24"/>
                <w:highlight w:val="none"/>
              </w:rPr>
              <w:t>公顷</w:t>
            </w:r>
            <w:r>
              <w:rPr>
                <w:rFonts w:ascii="宋体" w:hAnsi="宋体" w:eastAsia="宋体" w:cs="Times New Roman"/>
                <w:color w:val="000000"/>
                <w:sz w:val="24"/>
                <w:highlight w:val="none"/>
              </w:rPr>
              <w:t>。</w:t>
            </w:r>
          </w:p>
          <w:p w14:paraId="62B3B72C">
            <w:pPr>
              <w:pStyle w:val="6"/>
              <w:suppressLineNumbers w:val="0"/>
              <w:spacing w:before="0" w:beforeAutospacing="0" w:after="0" w:afterAutospacing="0"/>
              <w:ind w:left="0" w:leftChars="0" w:right="0" w:firstLine="482" w:firstLineChars="200"/>
              <w:outlineLvl w:val="3"/>
              <w:rPr>
                <w:rFonts w:hint="eastAsia" w:ascii="宋体" w:hAnsi="宋体" w:eastAsia="宋体" w:cs="Times New Roman"/>
                <w:color w:val="000000"/>
                <w:sz w:val="24"/>
                <w:highlight w:val="none"/>
                <w:lang w:eastAsia="zh-CN"/>
              </w:rPr>
            </w:pPr>
            <w:r>
              <w:rPr>
                <w:rFonts w:hint="eastAsia" w:ascii="宋体" w:hAnsi="宋体" w:eastAsia="宋体" w:cs="Times New Roman"/>
                <w:b/>
                <w:bCs/>
                <w:color w:val="000000"/>
                <w:sz w:val="24"/>
                <w:highlight w:val="none"/>
                <w:lang w:val="en-US" w:eastAsia="zh-CN"/>
              </w:rPr>
              <w:t>4.2</w:t>
            </w:r>
            <w:r>
              <w:rPr>
                <w:rFonts w:hint="eastAsia" w:ascii="宋体" w:hAnsi="宋体" w:eastAsia="宋体" w:cs="Times New Roman"/>
                <w:b/>
                <w:bCs/>
                <w:color w:val="000000"/>
                <w:sz w:val="24"/>
                <w:highlight w:val="none"/>
              </w:rPr>
              <w:t>复垦区土地利用</w:t>
            </w:r>
            <w:r>
              <w:rPr>
                <w:rFonts w:hint="eastAsia" w:ascii="宋体" w:hAnsi="宋体" w:eastAsia="宋体" w:cs="Times New Roman"/>
                <w:b/>
                <w:bCs/>
                <w:color w:val="000000"/>
                <w:sz w:val="24"/>
                <w:highlight w:val="none"/>
                <w:lang w:val="en-US" w:eastAsia="zh-CN"/>
              </w:rPr>
              <w:t>状况</w:t>
            </w:r>
          </w:p>
          <w:p w14:paraId="7A09D2FF">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Times New Roman"/>
                <w:color w:val="000000"/>
                <w:sz w:val="24"/>
                <w:highlight w:val="none"/>
                <w:lang w:eastAsia="zh-CN"/>
              </w:rPr>
            </w:pPr>
            <w:r>
              <w:rPr>
                <w:rFonts w:ascii="宋体" w:hAnsi="宋体" w:eastAsia="宋体" w:cs="Times New Roman"/>
                <w:color w:val="000000"/>
                <w:sz w:val="24"/>
                <w:highlight w:val="none"/>
              </w:rPr>
              <w:t>根据</w:t>
            </w:r>
            <w:r>
              <w:rPr>
                <w:rFonts w:hint="eastAsia" w:ascii="宋体" w:hAnsi="宋体" w:eastAsia="宋体" w:cs="Times New Roman"/>
                <w:color w:val="000000"/>
                <w:sz w:val="24"/>
                <w:highlight w:val="none"/>
                <w:lang w:eastAsia="zh-CN"/>
              </w:rPr>
              <w:t>新疆臻图工程测绘有限公司</w:t>
            </w:r>
            <w:r>
              <w:rPr>
                <w:rFonts w:ascii="宋体" w:hAnsi="宋体" w:eastAsia="宋体" w:cs="Times New Roman"/>
                <w:color w:val="000000"/>
                <w:sz w:val="24"/>
                <w:highlight w:val="none"/>
              </w:rPr>
              <w:t>编制的《</w:t>
            </w:r>
            <w:r>
              <w:rPr>
                <w:rFonts w:hint="eastAsia" w:ascii="宋体" w:hAnsi="宋体" w:eastAsia="宋体" w:cs="Times New Roman"/>
                <w:color w:val="000000"/>
                <w:sz w:val="24"/>
                <w:highlight w:val="none"/>
                <w:lang w:eastAsia="zh-CN"/>
              </w:rPr>
              <w:t>中交一公局集团有限公司G331线至三塘湖火车站道路建设项目临时用地勘测定界</w:t>
            </w:r>
            <w:r>
              <w:rPr>
                <w:rFonts w:hint="eastAsia" w:ascii="宋体" w:hAnsi="宋体" w:eastAsia="宋体" w:cs="Times New Roman"/>
                <w:color w:val="000000"/>
                <w:sz w:val="24"/>
                <w:highlight w:val="none"/>
                <w:lang w:val="en-US" w:eastAsia="zh-CN"/>
              </w:rPr>
              <w:t>技术报告书</w:t>
            </w:r>
            <w:r>
              <w:rPr>
                <w:rFonts w:ascii="宋体" w:hAnsi="宋体" w:eastAsia="宋体" w:cs="Times New Roman"/>
                <w:color w:val="000000"/>
                <w:sz w:val="24"/>
                <w:highlight w:val="none"/>
              </w:rPr>
              <w:t>》</w:t>
            </w:r>
            <w:r>
              <w:rPr>
                <w:rFonts w:hint="eastAsia" w:ascii="宋体" w:hAnsi="宋体" w:eastAsia="宋体" w:cs="Times New Roman"/>
                <w:color w:val="000000"/>
                <w:sz w:val="24"/>
                <w:highlight w:val="none"/>
              </w:rPr>
              <w:t>，</w:t>
            </w:r>
            <w:r>
              <w:rPr>
                <w:rFonts w:ascii="宋体" w:hAnsi="宋体" w:eastAsia="宋体" w:cs="Times New Roman"/>
                <w:color w:val="000000"/>
                <w:sz w:val="24"/>
                <w:highlight w:val="none"/>
              </w:rPr>
              <w:t>项目区土地利用类型为</w:t>
            </w:r>
            <w:r>
              <w:rPr>
                <w:rFonts w:hint="eastAsia" w:ascii="宋体" w:hAnsi="宋体" w:eastAsia="宋体" w:cs="Times New Roman"/>
                <w:color w:val="000000"/>
                <w:sz w:val="24"/>
                <w:highlight w:val="none"/>
                <w:lang w:val="en-US" w:eastAsia="zh-CN"/>
              </w:rPr>
              <w:t>裸岩石砾地和盐田及采矿用地</w:t>
            </w:r>
            <w:r>
              <w:rPr>
                <w:rFonts w:ascii="宋体" w:hAnsi="宋体" w:eastAsia="宋体" w:cs="Times New Roman"/>
                <w:color w:val="000000"/>
                <w:sz w:val="24"/>
                <w:highlight w:val="none"/>
              </w:rPr>
              <w:t>。复垦责任范围土地利用现状见表4-</w:t>
            </w:r>
            <w:r>
              <w:rPr>
                <w:rFonts w:hint="eastAsia" w:ascii="宋体" w:hAnsi="宋体" w:eastAsia="宋体" w:cs="Times New Roman"/>
                <w:color w:val="000000"/>
                <w:sz w:val="24"/>
                <w:highlight w:val="none"/>
                <w:lang w:val="en-US" w:eastAsia="zh-CN"/>
              </w:rPr>
              <w:t>3：</w:t>
            </w:r>
          </w:p>
          <w:p w14:paraId="76DDB74F">
            <w:pPr>
              <w:keepNext/>
              <w:keepLines w:val="0"/>
              <w:suppressLineNumbers w:val="0"/>
              <w:spacing w:before="0" w:beforeAutospacing="0" w:after="0" w:afterAutospacing="0"/>
              <w:ind w:left="0" w:right="0"/>
              <w:jc w:val="center"/>
              <w:rPr>
                <w:rFonts w:hint="eastAsia" w:ascii="宋体" w:hAnsi="宋体" w:eastAsia="宋体" w:cs="宋体"/>
                <w:b/>
                <w:bCs/>
                <w:color w:val="000000"/>
                <w:kern w:val="0"/>
                <w:szCs w:val="21"/>
                <w:highlight w:val="none"/>
              </w:rPr>
            </w:pPr>
            <w:r>
              <w:rPr>
                <w:rFonts w:hint="eastAsia" w:ascii="宋体" w:hAnsi="宋体" w:eastAsia="宋体" w:cs="宋体"/>
                <w:b/>
                <w:bCs/>
                <w:color w:val="000000"/>
                <w:kern w:val="0"/>
                <w:szCs w:val="21"/>
                <w:highlight w:val="none"/>
              </w:rPr>
              <w:t>表4-</w:t>
            </w:r>
            <w:r>
              <w:rPr>
                <w:rFonts w:hint="eastAsia" w:ascii="宋体" w:hAnsi="宋体" w:eastAsia="宋体" w:cs="宋体"/>
                <w:b/>
                <w:bCs/>
                <w:color w:val="000000"/>
                <w:kern w:val="0"/>
                <w:szCs w:val="21"/>
                <w:highlight w:val="none"/>
                <w:lang w:val="en-US" w:eastAsia="zh-CN"/>
              </w:rPr>
              <w:t xml:space="preserve">3  </w:t>
            </w:r>
            <w:r>
              <w:rPr>
                <w:rFonts w:hint="eastAsia" w:ascii="宋体" w:hAnsi="宋体" w:eastAsia="宋体" w:cs="宋体"/>
                <w:b/>
                <w:bCs/>
                <w:color w:val="000000"/>
                <w:kern w:val="0"/>
                <w:szCs w:val="21"/>
                <w:highlight w:val="none"/>
              </w:rPr>
              <w:t>复垦责任范围土地利用现状表</w:t>
            </w:r>
          </w:p>
          <w:tbl>
            <w:tblPr>
              <w:tblStyle w:val="19"/>
              <w:tblW w:w="8420" w:type="dxa"/>
              <w:jc w:val="center"/>
              <w:tblLayout w:type="fixed"/>
              <w:tblCellMar>
                <w:top w:w="0" w:type="dxa"/>
                <w:left w:w="0" w:type="dxa"/>
                <w:bottom w:w="0" w:type="dxa"/>
                <w:right w:w="0" w:type="dxa"/>
              </w:tblCellMar>
            </w:tblPr>
            <w:tblGrid>
              <w:gridCol w:w="1605"/>
              <w:gridCol w:w="1709"/>
              <w:gridCol w:w="2001"/>
              <w:gridCol w:w="1480"/>
              <w:gridCol w:w="1625"/>
            </w:tblGrid>
            <w:tr w14:paraId="7ED4B4C1">
              <w:tblPrEx>
                <w:tblCellMar>
                  <w:top w:w="0" w:type="dxa"/>
                  <w:left w:w="0" w:type="dxa"/>
                  <w:bottom w:w="0" w:type="dxa"/>
                  <w:right w:w="0" w:type="dxa"/>
                </w:tblCellMar>
              </w:tblPrEx>
              <w:trPr>
                <w:trHeight w:val="234" w:hRule="atLeast"/>
                <w:jc w:val="center"/>
              </w:trPr>
              <w:tc>
                <w:tcPr>
                  <w:tcW w:w="160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414BAE4">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宗地名称</w:t>
                  </w:r>
                </w:p>
              </w:tc>
              <w:tc>
                <w:tcPr>
                  <w:tcW w:w="1709"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D18242D">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权属</w:t>
                  </w:r>
                </w:p>
              </w:tc>
              <w:tc>
                <w:tcPr>
                  <w:tcW w:w="2001"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E53EC3C">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地类</w:t>
                  </w:r>
                </w:p>
              </w:tc>
              <w:tc>
                <w:tcPr>
                  <w:tcW w:w="310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7E34DB4">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复垦责任区</w:t>
                  </w:r>
                </w:p>
              </w:tc>
            </w:tr>
            <w:tr w14:paraId="6F166FEA">
              <w:tblPrEx>
                <w:tblCellMar>
                  <w:top w:w="0" w:type="dxa"/>
                  <w:left w:w="0" w:type="dxa"/>
                  <w:bottom w:w="0" w:type="dxa"/>
                  <w:right w:w="0" w:type="dxa"/>
                </w:tblCellMar>
              </w:tblPrEx>
              <w:trPr>
                <w:trHeight w:val="193" w:hRule="atLeast"/>
                <w:jc w:val="center"/>
              </w:trPr>
              <w:tc>
                <w:tcPr>
                  <w:tcW w:w="160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61AA02B">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p>
              </w:tc>
              <w:tc>
                <w:tcPr>
                  <w:tcW w:w="1709"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97B1FCB">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p>
              </w:tc>
              <w:tc>
                <w:tcPr>
                  <w:tcW w:w="200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CBBCD8D">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p>
              </w:tc>
              <w:tc>
                <w:tcPr>
                  <w:tcW w:w="1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DEFBFD8">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面积(公顷)</w:t>
                  </w:r>
                </w:p>
              </w:tc>
              <w:tc>
                <w:tcPr>
                  <w:tcW w:w="162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9264041">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面积占比(%)</w:t>
                  </w:r>
                </w:p>
              </w:tc>
            </w:tr>
            <w:tr w14:paraId="4ECBD3D7">
              <w:tblPrEx>
                <w:tblCellMar>
                  <w:top w:w="0" w:type="dxa"/>
                  <w:left w:w="0" w:type="dxa"/>
                  <w:bottom w:w="0" w:type="dxa"/>
                  <w:right w:w="0" w:type="dxa"/>
                </w:tblCellMar>
              </w:tblPrEx>
              <w:trPr>
                <w:trHeight w:val="193" w:hRule="atLeast"/>
                <w:jc w:val="center"/>
              </w:trPr>
              <w:tc>
                <w:tcPr>
                  <w:tcW w:w="160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FA2711D">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制梁场1</w:t>
                  </w:r>
                </w:p>
              </w:tc>
              <w:tc>
                <w:tcPr>
                  <w:tcW w:w="1709"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42063E0">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巴里坤哈萨克自治县三塘湖镇国有</w:t>
                  </w:r>
                </w:p>
              </w:tc>
              <w:tc>
                <w:tcPr>
                  <w:tcW w:w="200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07511D6">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裸岩石砾地</w:t>
                  </w:r>
                </w:p>
              </w:tc>
              <w:tc>
                <w:tcPr>
                  <w:tcW w:w="1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0ECB059">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0.3553</w:t>
                  </w:r>
                </w:p>
              </w:tc>
              <w:tc>
                <w:tcPr>
                  <w:tcW w:w="162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9E359C8">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9.65</w:t>
                  </w:r>
                </w:p>
              </w:tc>
            </w:tr>
            <w:tr w14:paraId="2C653AE7">
              <w:tblPrEx>
                <w:tblCellMar>
                  <w:top w:w="0" w:type="dxa"/>
                  <w:left w:w="0" w:type="dxa"/>
                  <w:bottom w:w="0" w:type="dxa"/>
                  <w:right w:w="0" w:type="dxa"/>
                </w:tblCellMar>
              </w:tblPrEx>
              <w:trPr>
                <w:trHeight w:val="193" w:hRule="atLeast"/>
                <w:jc w:val="center"/>
              </w:trPr>
              <w:tc>
                <w:tcPr>
                  <w:tcW w:w="160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C029081">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制梁场2</w:t>
                  </w:r>
                </w:p>
              </w:tc>
              <w:tc>
                <w:tcPr>
                  <w:tcW w:w="1709"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5F269AB">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p>
              </w:tc>
              <w:tc>
                <w:tcPr>
                  <w:tcW w:w="200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1456FE1">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盐田及采矿用地</w:t>
                  </w:r>
                </w:p>
              </w:tc>
              <w:tc>
                <w:tcPr>
                  <w:tcW w:w="1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5B68A61">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0.3904</w:t>
                  </w:r>
                </w:p>
              </w:tc>
              <w:tc>
                <w:tcPr>
                  <w:tcW w:w="162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F2246E1">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10.60</w:t>
                  </w:r>
                </w:p>
              </w:tc>
            </w:tr>
            <w:tr w14:paraId="58CF1B9B">
              <w:tblPrEx>
                <w:tblCellMar>
                  <w:top w:w="0" w:type="dxa"/>
                  <w:left w:w="0" w:type="dxa"/>
                  <w:bottom w:w="0" w:type="dxa"/>
                  <w:right w:w="0" w:type="dxa"/>
                </w:tblCellMar>
              </w:tblPrEx>
              <w:trPr>
                <w:trHeight w:val="193" w:hRule="atLeast"/>
                <w:jc w:val="center"/>
              </w:trPr>
              <w:tc>
                <w:tcPr>
                  <w:tcW w:w="160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565E655">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材料堆场1</w:t>
                  </w:r>
                </w:p>
              </w:tc>
              <w:tc>
                <w:tcPr>
                  <w:tcW w:w="1709"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F4E844A">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p>
              </w:tc>
              <w:tc>
                <w:tcPr>
                  <w:tcW w:w="200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F28B251">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裸岩石砾地</w:t>
                  </w:r>
                </w:p>
              </w:tc>
              <w:tc>
                <w:tcPr>
                  <w:tcW w:w="1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4C26B39">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0.4295</w:t>
                  </w:r>
                </w:p>
              </w:tc>
              <w:tc>
                <w:tcPr>
                  <w:tcW w:w="162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1C08EC2">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11.66</w:t>
                  </w:r>
                </w:p>
              </w:tc>
            </w:tr>
            <w:tr w14:paraId="63340284">
              <w:tblPrEx>
                <w:tblCellMar>
                  <w:top w:w="0" w:type="dxa"/>
                  <w:left w:w="0" w:type="dxa"/>
                  <w:bottom w:w="0" w:type="dxa"/>
                  <w:right w:w="0" w:type="dxa"/>
                </w:tblCellMar>
              </w:tblPrEx>
              <w:trPr>
                <w:trHeight w:val="193" w:hRule="atLeast"/>
                <w:jc w:val="center"/>
              </w:trPr>
              <w:tc>
                <w:tcPr>
                  <w:tcW w:w="160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6ACB433">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材料堆场2</w:t>
                  </w:r>
                </w:p>
              </w:tc>
              <w:tc>
                <w:tcPr>
                  <w:tcW w:w="1709"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AE39283">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p>
              </w:tc>
              <w:tc>
                <w:tcPr>
                  <w:tcW w:w="200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F5B51C9">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裸岩石砾地</w:t>
                  </w:r>
                </w:p>
              </w:tc>
              <w:tc>
                <w:tcPr>
                  <w:tcW w:w="1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030CAB8">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0.9702</w:t>
                  </w:r>
                </w:p>
              </w:tc>
              <w:tc>
                <w:tcPr>
                  <w:tcW w:w="162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018F11E">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26.34</w:t>
                  </w:r>
                </w:p>
              </w:tc>
            </w:tr>
            <w:tr w14:paraId="2CE3B11E">
              <w:tblPrEx>
                <w:tblCellMar>
                  <w:top w:w="0" w:type="dxa"/>
                  <w:left w:w="0" w:type="dxa"/>
                  <w:bottom w:w="0" w:type="dxa"/>
                  <w:right w:w="0" w:type="dxa"/>
                </w:tblCellMar>
              </w:tblPrEx>
              <w:trPr>
                <w:trHeight w:val="193" w:hRule="atLeast"/>
                <w:jc w:val="center"/>
              </w:trPr>
              <w:tc>
                <w:tcPr>
                  <w:tcW w:w="160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3B77AE7">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p>
              </w:tc>
              <w:tc>
                <w:tcPr>
                  <w:tcW w:w="1709"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556984C">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p>
              </w:tc>
              <w:tc>
                <w:tcPr>
                  <w:tcW w:w="200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4C8512E">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盐田及采矿用地</w:t>
                  </w:r>
                </w:p>
              </w:tc>
              <w:tc>
                <w:tcPr>
                  <w:tcW w:w="1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60C5E97">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0.5934</w:t>
                  </w:r>
                </w:p>
              </w:tc>
              <w:tc>
                <w:tcPr>
                  <w:tcW w:w="162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6C8B25F">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16.11</w:t>
                  </w:r>
                </w:p>
              </w:tc>
            </w:tr>
            <w:tr w14:paraId="7D16EE9E">
              <w:tblPrEx>
                <w:tblCellMar>
                  <w:top w:w="0" w:type="dxa"/>
                  <w:left w:w="0" w:type="dxa"/>
                  <w:bottom w:w="0" w:type="dxa"/>
                  <w:right w:w="0" w:type="dxa"/>
                </w:tblCellMar>
              </w:tblPrEx>
              <w:trPr>
                <w:trHeight w:val="193" w:hRule="atLeast"/>
                <w:jc w:val="center"/>
              </w:trPr>
              <w:tc>
                <w:tcPr>
                  <w:tcW w:w="160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95E8D43">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钢筋加工厂1</w:t>
                  </w:r>
                </w:p>
              </w:tc>
              <w:tc>
                <w:tcPr>
                  <w:tcW w:w="1709"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2776EA4">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p>
              </w:tc>
              <w:tc>
                <w:tcPr>
                  <w:tcW w:w="200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BACF2FA">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裸岩石砾地</w:t>
                  </w:r>
                </w:p>
              </w:tc>
              <w:tc>
                <w:tcPr>
                  <w:tcW w:w="1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2E04607">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0.3824</w:t>
                  </w:r>
                </w:p>
              </w:tc>
              <w:tc>
                <w:tcPr>
                  <w:tcW w:w="162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EC4AB1E">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10.38</w:t>
                  </w:r>
                </w:p>
              </w:tc>
            </w:tr>
            <w:tr w14:paraId="28CC26FC">
              <w:tblPrEx>
                <w:tblCellMar>
                  <w:top w:w="0" w:type="dxa"/>
                  <w:left w:w="0" w:type="dxa"/>
                  <w:bottom w:w="0" w:type="dxa"/>
                  <w:right w:w="0" w:type="dxa"/>
                </w:tblCellMar>
              </w:tblPrEx>
              <w:trPr>
                <w:trHeight w:val="193" w:hRule="atLeast"/>
                <w:jc w:val="center"/>
              </w:trPr>
              <w:tc>
                <w:tcPr>
                  <w:tcW w:w="160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1238A03">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钢筋加工厂2</w:t>
                  </w:r>
                </w:p>
              </w:tc>
              <w:tc>
                <w:tcPr>
                  <w:tcW w:w="1709"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7D0C0BF">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p>
              </w:tc>
              <w:tc>
                <w:tcPr>
                  <w:tcW w:w="200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4C95F00">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裸岩石砾地</w:t>
                  </w:r>
                </w:p>
              </w:tc>
              <w:tc>
                <w:tcPr>
                  <w:tcW w:w="1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186B550">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0.3246</w:t>
                  </w:r>
                </w:p>
              </w:tc>
              <w:tc>
                <w:tcPr>
                  <w:tcW w:w="162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2BB8A22">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8.81</w:t>
                  </w:r>
                </w:p>
              </w:tc>
            </w:tr>
            <w:tr w14:paraId="68411B8A">
              <w:tblPrEx>
                <w:tblCellMar>
                  <w:top w:w="0" w:type="dxa"/>
                  <w:left w:w="0" w:type="dxa"/>
                  <w:bottom w:w="0" w:type="dxa"/>
                  <w:right w:w="0" w:type="dxa"/>
                </w:tblCellMar>
              </w:tblPrEx>
              <w:trPr>
                <w:trHeight w:val="193" w:hRule="atLeast"/>
                <w:jc w:val="center"/>
              </w:trPr>
              <w:tc>
                <w:tcPr>
                  <w:tcW w:w="160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4E99FFB">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p>
              </w:tc>
              <w:tc>
                <w:tcPr>
                  <w:tcW w:w="1709"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28AEBB0">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p>
              </w:tc>
              <w:tc>
                <w:tcPr>
                  <w:tcW w:w="200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0F6FA0A">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盐田及采矿用地</w:t>
                  </w:r>
                </w:p>
              </w:tc>
              <w:tc>
                <w:tcPr>
                  <w:tcW w:w="1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34C82FC">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0.237</w:t>
                  </w:r>
                </w:p>
              </w:tc>
              <w:tc>
                <w:tcPr>
                  <w:tcW w:w="162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360623C">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6.44</w:t>
                  </w:r>
                </w:p>
              </w:tc>
            </w:tr>
            <w:tr w14:paraId="746B8888">
              <w:tblPrEx>
                <w:tblCellMar>
                  <w:top w:w="0" w:type="dxa"/>
                  <w:left w:w="0" w:type="dxa"/>
                  <w:bottom w:w="0" w:type="dxa"/>
                  <w:right w:w="0" w:type="dxa"/>
                </w:tblCellMar>
              </w:tblPrEx>
              <w:trPr>
                <w:trHeight w:val="193" w:hRule="atLeast"/>
                <w:jc w:val="center"/>
              </w:trPr>
              <w:tc>
                <w:tcPr>
                  <w:tcW w:w="3314" w:type="dxa"/>
                  <w:gridSpan w:val="2"/>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8F76818">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合计</w:t>
                  </w:r>
                </w:p>
              </w:tc>
              <w:tc>
                <w:tcPr>
                  <w:tcW w:w="200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C67D50F">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裸岩石砾地</w:t>
                  </w:r>
                </w:p>
              </w:tc>
              <w:tc>
                <w:tcPr>
                  <w:tcW w:w="1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482EBD0">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2.462</w:t>
                  </w:r>
                </w:p>
              </w:tc>
              <w:tc>
                <w:tcPr>
                  <w:tcW w:w="162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949C426">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66.85</w:t>
                  </w:r>
                </w:p>
              </w:tc>
            </w:tr>
            <w:tr w14:paraId="7299814A">
              <w:tblPrEx>
                <w:tblCellMar>
                  <w:top w:w="0" w:type="dxa"/>
                  <w:left w:w="0" w:type="dxa"/>
                  <w:bottom w:w="0" w:type="dxa"/>
                  <w:right w:w="0" w:type="dxa"/>
                </w:tblCellMar>
              </w:tblPrEx>
              <w:trPr>
                <w:trHeight w:val="193" w:hRule="atLeast"/>
                <w:jc w:val="center"/>
              </w:trPr>
              <w:tc>
                <w:tcPr>
                  <w:tcW w:w="3314" w:type="dxa"/>
                  <w:gridSpan w:val="2"/>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687BF41">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p>
              </w:tc>
              <w:tc>
                <w:tcPr>
                  <w:tcW w:w="200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C59EB2C">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盐田及采矿用地</w:t>
                  </w:r>
                </w:p>
              </w:tc>
              <w:tc>
                <w:tcPr>
                  <w:tcW w:w="1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3ED4AC6">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1.2208</w:t>
                  </w:r>
                </w:p>
              </w:tc>
              <w:tc>
                <w:tcPr>
                  <w:tcW w:w="162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9F412C3">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33.15</w:t>
                  </w:r>
                </w:p>
              </w:tc>
            </w:tr>
            <w:tr w14:paraId="660A25BB">
              <w:tblPrEx>
                <w:tblCellMar>
                  <w:top w:w="0" w:type="dxa"/>
                  <w:left w:w="0" w:type="dxa"/>
                  <w:bottom w:w="0" w:type="dxa"/>
                  <w:right w:w="0" w:type="dxa"/>
                </w:tblCellMar>
              </w:tblPrEx>
              <w:trPr>
                <w:trHeight w:val="198" w:hRule="atLeast"/>
                <w:jc w:val="center"/>
              </w:trPr>
              <w:tc>
                <w:tcPr>
                  <w:tcW w:w="3314" w:type="dxa"/>
                  <w:gridSpan w:val="2"/>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F60ED43">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p>
              </w:tc>
              <w:tc>
                <w:tcPr>
                  <w:tcW w:w="200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52C7F1A">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合计</w:t>
                  </w:r>
                </w:p>
              </w:tc>
              <w:tc>
                <w:tcPr>
                  <w:tcW w:w="1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CDA6FE1">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3.6828</w:t>
                  </w:r>
                </w:p>
              </w:tc>
              <w:tc>
                <w:tcPr>
                  <w:tcW w:w="162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DA49C4C">
                  <w:pPr>
                    <w:keepNext w:val="0"/>
                    <w:keepLines w:val="0"/>
                    <w:suppressLineNumbers w:val="0"/>
                    <w:bidi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p>
              </w:tc>
            </w:tr>
          </w:tbl>
          <w:p w14:paraId="48DC7DF8">
            <w:pPr>
              <w:pStyle w:val="6"/>
              <w:suppressLineNumbers w:val="0"/>
              <w:spacing w:before="0" w:beforeAutospacing="0" w:after="0" w:afterAutospacing="0" w:line="360" w:lineRule="auto"/>
              <w:ind w:left="0" w:right="0" w:firstLine="482" w:firstLineChars="200"/>
              <w:outlineLvl w:val="3"/>
              <w:rPr>
                <w:rFonts w:ascii="宋体" w:hAnsi="宋体" w:eastAsia="宋体" w:cs="Times New Roman"/>
                <w:color w:val="000000"/>
                <w:sz w:val="24"/>
                <w:highlight w:val="none"/>
              </w:rPr>
            </w:pPr>
            <w:r>
              <w:rPr>
                <w:rFonts w:hint="eastAsia" w:ascii="宋体" w:hAnsi="宋体" w:eastAsia="宋体" w:cs="Times New Roman"/>
                <w:b/>
                <w:bCs/>
                <w:color w:val="000000"/>
                <w:sz w:val="24"/>
                <w:highlight w:val="none"/>
                <w:lang w:val="en-US" w:eastAsia="zh-CN"/>
              </w:rPr>
              <w:t>4.3</w:t>
            </w:r>
            <w:r>
              <w:rPr>
                <w:rFonts w:hint="eastAsia" w:ascii="宋体" w:hAnsi="宋体" w:eastAsia="宋体" w:cs="Times New Roman"/>
                <w:b/>
                <w:bCs/>
                <w:color w:val="000000"/>
                <w:sz w:val="24"/>
                <w:highlight w:val="none"/>
              </w:rPr>
              <w:t>土地复垦适宜性评价</w:t>
            </w:r>
          </w:p>
          <w:p w14:paraId="7B411A73">
            <w:pPr>
              <w:keepNext w:val="0"/>
              <w:keepLines w:val="0"/>
              <w:suppressLineNumbers w:val="0"/>
              <w:spacing w:before="0" w:beforeAutospacing="0" w:after="0" w:afterAutospacing="0" w:line="360" w:lineRule="auto"/>
              <w:ind w:left="0" w:right="0"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土地复垦适宜性评价以特定复垦方向为前提，对被损毁土地的适宜程度所作出的判断分析，离开了复垦方向，土地复垦适宜性评价就失去了意义。结合复垦区的自然环境条件、地区社会经济状况、相关规划，当地复垦经验进行复垦土地适宜性评价的定性分析，确定土地复垦的初步方向。</w:t>
            </w:r>
          </w:p>
          <w:p w14:paraId="4FE19128">
            <w:pPr>
              <w:keepNext w:val="0"/>
              <w:keepLines w:val="0"/>
              <w:suppressLineNumbers w:val="0"/>
              <w:spacing w:before="0" w:beforeAutospacing="0" w:after="0" w:afterAutospacing="0" w:line="360" w:lineRule="auto"/>
              <w:ind w:left="0" w:right="0"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a）自然环境分析</w:t>
            </w:r>
          </w:p>
          <w:p w14:paraId="3F6132C4">
            <w:pPr>
              <w:keepNext w:val="0"/>
              <w:keepLines w:val="0"/>
              <w:suppressLineNumbers w:val="0"/>
              <w:spacing w:before="0" w:beforeAutospacing="0" w:after="0" w:afterAutospacing="0" w:line="360" w:lineRule="auto"/>
              <w:ind w:left="0" w:right="0"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根据项目区土地利用现状及生态环境特征分析</w:t>
            </w:r>
            <w:r>
              <w:rPr>
                <w:rFonts w:hint="eastAsia" w:ascii="宋体" w:hAnsi="宋体" w:eastAsia="宋体" w:cs="Times New Roman"/>
                <w:color w:val="000000"/>
                <w:sz w:val="24"/>
                <w:highlight w:val="none"/>
                <w:lang w:eastAsia="zh-CN"/>
              </w:rPr>
              <w:t>，</w:t>
            </w:r>
            <w:r>
              <w:rPr>
                <w:rFonts w:ascii="宋体" w:hAnsi="宋体" w:eastAsia="宋体" w:cs="Times New Roman"/>
                <w:color w:val="000000"/>
                <w:sz w:val="24"/>
                <w:highlight w:val="none"/>
              </w:rPr>
              <w:t>综合考虑经济效益与生态效益，并结合评价单元损毁特征，初步确定损毁土地的复垦方向以恢复原有土地类型为主。</w:t>
            </w:r>
          </w:p>
          <w:p w14:paraId="2248FA4C">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气象：年平均气温10.5℃，夏季极端最高气温42.2℃，冬季极端最低气温-26.1℃。最冷月一月平均气温-12.7℃，最热月七月平均气温28.1℃，</w:t>
            </w:r>
            <w:r>
              <w:rPr>
                <w:rFonts w:hint="eastAsia" w:ascii="宋体" w:hAnsi="宋体" w:cs="Times New Roman"/>
                <w:color w:val="000000"/>
                <w:sz w:val="24"/>
                <w:highlight w:val="none"/>
                <w:lang w:val="en-US" w:eastAsia="zh-CN"/>
              </w:rPr>
              <w:t>年温差为</w:t>
            </w:r>
            <w:r>
              <w:rPr>
                <w:rFonts w:hint="eastAsia" w:ascii="宋体" w:hAnsi="宋体" w:eastAsia="宋体" w:cs="Times New Roman"/>
                <w:color w:val="000000"/>
                <w:sz w:val="24"/>
                <w:highlight w:val="none"/>
                <w:lang w:val="en-US" w:eastAsia="zh-CN"/>
              </w:rPr>
              <w:t>43.6℃。三塘湖镇</w:t>
            </w:r>
            <w:r>
              <w:rPr>
                <w:rFonts w:hint="eastAsia" w:ascii="宋体" w:hAnsi="宋体" w:cs="Times New Roman"/>
                <w:color w:val="000000"/>
                <w:sz w:val="24"/>
                <w:highlight w:val="none"/>
                <w:lang w:val="en-US" w:eastAsia="zh-CN"/>
              </w:rPr>
              <w:t>干旱</w:t>
            </w:r>
            <w:r>
              <w:rPr>
                <w:rFonts w:hint="eastAsia" w:ascii="宋体" w:hAnsi="宋体" w:eastAsia="宋体" w:cs="Times New Roman"/>
                <w:color w:val="000000"/>
                <w:sz w:val="24"/>
                <w:highlight w:val="none"/>
                <w:lang w:val="en-US" w:eastAsia="zh-CN"/>
              </w:rPr>
              <w:t>少雨，蒸发量大，年降雨量26.0mm，年蒸发量高达4377mm，是降雨量的381倍。</w:t>
            </w:r>
          </w:p>
          <w:p w14:paraId="4458FB4F">
            <w:pPr>
              <w:keepNext w:val="0"/>
              <w:keepLines w:val="0"/>
              <w:widowControl/>
              <w:suppressLineNumbers w:val="0"/>
              <w:kinsoku w:val="0"/>
              <w:autoSpaceDE w:val="0"/>
              <w:autoSpaceDN w:val="0"/>
              <w:adjustRightInd w:val="0"/>
              <w:snapToGrid w:val="0"/>
              <w:spacing w:before="78" w:beforeAutospacing="0" w:after="0" w:afterAutospacing="0" w:line="360" w:lineRule="auto"/>
              <w:ind w:left="114" w:right="137" w:firstLine="479"/>
              <w:jc w:val="both"/>
              <w:textAlignment w:val="baseline"/>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水文：三塘湖镇大气年降水量比较稀少，分布不均衡，季节性变化大。总降水趋势是高山区大于中山区，而中山地带又大于低山区。它的变化是由南向北，由西向东递减。本项目所在区域距离地表水较远且无水力联系，工程区内无地表径流。项目区地下水位约13.4～13.5m，该地下水类型为潜水，流向与地势一致，地下水以基岩裂隙水及大气降水补给，排泄途径为大气蒸发和地表下渗。</w:t>
            </w:r>
          </w:p>
          <w:p w14:paraId="0AB3E638">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植被：根据实地调查，中交一公局集团有限公司G331线至三塘湖火车站道路建设项目临时用地范围内无植被生长。</w:t>
            </w:r>
          </w:p>
          <w:p w14:paraId="72B86CC3">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宋体"/>
                <w:color w:val="auto"/>
                <w:sz w:val="24"/>
                <w:szCs w:val="24"/>
                <w:lang w:val="en-US" w:eastAsia="zh-CN"/>
              </w:rPr>
            </w:pPr>
            <w:r>
              <w:rPr>
                <w:rFonts w:hint="eastAsia" w:ascii="宋体" w:hAnsi="宋体" w:eastAsia="宋体" w:cs="Times New Roman"/>
                <w:color w:val="000000"/>
                <w:sz w:val="24"/>
                <w:highlight w:val="none"/>
                <w:lang w:val="en-US" w:eastAsia="zh-CN"/>
              </w:rPr>
              <w:t>土壤：</w:t>
            </w:r>
            <w:r>
              <w:rPr>
                <w:rFonts w:hint="eastAsia" w:ascii="宋体" w:hAnsi="宋体" w:eastAsia="宋体" w:cs="宋体"/>
                <w:color w:val="auto"/>
                <w:sz w:val="24"/>
                <w:szCs w:val="24"/>
                <w:lang w:val="en-US" w:eastAsia="zh-CN"/>
              </w:rPr>
              <w:t xml:space="preserve">依据土壤类型分类和野外实地调查，项目土壤土种主要是棕钙砾土类，土壤母质主要为冲、洪积物，质地粗及砾石含量高。 </w:t>
            </w:r>
          </w:p>
          <w:p w14:paraId="72617564">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宋体"/>
                <w:color w:val="auto"/>
                <w:sz w:val="24"/>
                <w:szCs w:val="24"/>
                <w:lang w:val="en-US" w:eastAsia="zh-CN"/>
              </w:rPr>
              <w:t>根据实地调查及收集土地利用现状资料，土壤母质由砾石组成，含量30-40%，砾石粒径粗，磨圆度较差，向下颗粒逐渐变细、磨度逐渐变好，颗粒间由砂（含量30-40%）、土（含量约20%）充填，该层厚度大于5米。上层有效土壤厚度约20cm。土壤</w:t>
            </w:r>
            <w:r>
              <w:rPr>
                <w:rFonts w:hint="eastAsia" w:ascii="宋体" w:hAnsi="宋体" w:eastAsia="宋体" w:cs="宋体"/>
                <w:sz w:val="24"/>
                <w:szCs w:val="24"/>
                <w:lang w:val="en-US" w:eastAsia="zh-CN"/>
              </w:rPr>
              <w:t>盐碱化程度高，局部固结，</w:t>
            </w:r>
            <w:r>
              <w:rPr>
                <w:rFonts w:hint="eastAsia" w:ascii="宋体" w:hAnsi="宋体" w:eastAsia="宋体" w:cs="宋体"/>
                <w:color w:val="auto"/>
                <w:sz w:val="24"/>
                <w:szCs w:val="24"/>
                <w:lang w:val="en-US" w:eastAsia="zh-CN"/>
              </w:rPr>
              <w:t>有机质很低。</w:t>
            </w:r>
            <w:r>
              <w:rPr>
                <w:rFonts w:hint="eastAsia" w:ascii="宋体" w:hAnsi="宋体" w:eastAsia="宋体" w:cs="Times New Roman"/>
                <w:color w:val="000000"/>
                <w:sz w:val="24"/>
                <w:highlight w:val="none"/>
                <w:lang w:val="en-US" w:eastAsia="zh-CN"/>
              </w:rPr>
              <w:t>根据现场调查，区地表局部呈白色盐碱壳状，胶结成块。最大冻土深度1.60米。</w:t>
            </w:r>
          </w:p>
          <w:p w14:paraId="7CD633A0">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主要环境保护对象：</w:t>
            </w:r>
          </w:p>
          <w:p w14:paraId="0EF231AB">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场址区地处欧亚大陆腹地，为中温带干旱大陆性气候区，拟建项目区域为典型的暖温带大陆性极</w:t>
            </w:r>
            <w:r>
              <w:rPr>
                <w:rFonts w:hint="eastAsia" w:ascii="宋体" w:hAnsi="宋体" w:cs="Times New Roman"/>
                <w:color w:val="000000"/>
                <w:sz w:val="24"/>
                <w:highlight w:val="none"/>
                <w:lang w:val="en-US" w:eastAsia="zh-CN"/>
              </w:rPr>
              <w:t>干旱</w:t>
            </w:r>
            <w:r>
              <w:rPr>
                <w:rFonts w:hint="eastAsia" w:ascii="宋体" w:hAnsi="宋体" w:eastAsia="宋体" w:cs="Times New Roman"/>
                <w:color w:val="000000"/>
                <w:sz w:val="24"/>
                <w:highlight w:val="none"/>
                <w:lang w:val="en-US" w:eastAsia="zh-CN"/>
              </w:rPr>
              <w:t>气候区。气候变化激烈，生态环境脆弱。特殊的地理位置形成了大面积的戈壁滩地貌、强劲的风力和少而集中的降水等脆弱自然生态环境特征，容易受风蚀、水蚀和人为活动的强烈影响。因此生态环境为重点保护对象（水土流失重点防护区）。</w:t>
            </w:r>
          </w:p>
          <w:p w14:paraId="41A7D292">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水土流失影响</w:t>
            </w:r>
          </w:p>
          <w:p w14:paraId="0165F656">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根据水土流失分区原则，将项目区划分为制梁场防治区。该项目工程选址在裸地（荒漠戈壁），最大限度地减少扰动破坏植被。本方案从占地类型、占地面积、开挖土石方量等水土保持角度分析，符合水土保持法律、法规的要求。</w:t>
            </w:r>
          </w:p>
          <w:p w14:paraId="4791C4BE">
            <w:pPr>
              <w:keepNext w:val="0"/>
              <w:keepLines w:val="0"/>
              <w:suppressLineNumbers w:val="0"/>
              <w:spacing w:before="0" w:beforeAutospacing="0" w:after="0" w:afterAutospacing="0" w:line="360" w:lineRule="auto"/>
              <w:ind w:left="0" w:right="0"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b）社会经济条件分析</w:t>
            </w:r>
          </w:p>
          <w:p w14:paraId="381AF601">
            <w:pPr>
              <w:keepNext w:val="0"/>
              <w:keepLines w:val="0"/>
              <w:suppressLineNumbers w:val="0"/>
              <w:spacing w:before="0" w:beforeAutospacing="0" w:after="0" w:afterAutospacing="0" w:line="360" w:lineRule="auto"/>
              <w:ind w:left="0" w:right="0"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项目区位于</w:t>
            </w:r>
            <w:r>
              <w:rPr>
                <w:rFonts w:hint="eastAsia" w:ascii="宋体" w:hAnsi="宋体" w:eastAsia="宋体" w:cs="Times New Roman"/>
                <w:color w:val="000000"/>
                <w:sz w:val="24"/>
                <w:highlight w:val="none"/>
                <w:lang w:val="en-US" w:eastAsia="zh-CN"/>
              </w:rPr>
              <w:t>中交一公局集团有限公司G331线至三塘湖火车站道路建设项目临时用地区</w:t>
            </w:r>
            <w:r>
              <w:rPr>
                <w:rFonts w:ascii="宋体" w:hAnsi="宋体" w:eastAsia="宋体" w:cs="Times New Roman"/>
                <w:color w:val="000000"/>
                <w:sz w:val="24"/>
                <w:highlight w:val="none"/>
              </w:rPr>
              <w:t>内，根据现场调查，项目区周围人类活动较少，因此从社会经济条件分析，损毁土地复垦时宜采取土地整治措施恢复，并注重社会效益、生态效益和经济效益的统一发挥。</w:t>
            </w:r>
          </w:p>
          <w:p w14:paraId="67460A8E">
            <w:pPr>
              <w:keepNext w:val="0"/>
              <w:keepLines w:val="0"/>
              <w:suppressLineNumbers w:val="0"/>
              <w:spacing w:before="0" w:beforeAutospacing="0" w:after="0" w:afterAutospacing="0" w:line="360" w:lineRule="auto"/>
              <w:ind w:left="0" w:right="0"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c）国家政策与地方规划分析</w:t>
            </w:r>
          </w:p>
          <w:p w14:paraId="18DA1981">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color w:val="000000"/>
                <w:sz w:val="24"/>
                <w:highlight w:val="none"/>
                <w:lang w:eastAsia="zh-CN"/>
              </w:rPr>
            </w:pPr>
            <w:r>
              <w:rPr>
                <w:rFonts w:ascii="宋体" w:hAnsi="宋体" w:eastAsia="宋体" w:cs="Times New Roman"/>
                <w:color w:val="000000"/>
                <w:sz w:val="24"/>
                <w:highlight w:val="none"/>
              </w:rPr>
              <w:t>根据本项目复垦适宜性评价单元与《新疆维吾尔自治区国土空间规划</w:t>
            </w:r>
            <w:r>
              <w:rPr>
                <w:rFonts w:hint="eastAsia" w:ascii="宋体" w:hAnsi="宋体" w:eastAsia="宋体" w:cs="Times New Roman"/>
                <w:color w:val="000000"/>
                <w:sz w:val="24"/>
                <w:highlight w:val="none"/>
                <w:lang w:eastAsia="zh-CN"/>
              </w:rPr>
              <w:t>（</w:t>
            </w:r>
            <w:r>
              <w:rPr>
                <w:rFonts w:ascii="宋体" w:hAnsi="宋体" w:eastAsia="宋体" w:cs="Times New Roman"/>
                <w:color w:val="000000"/>
                <w:sz w:val="24"/>
                <w:highlight w:val="none"/>
              </w:rPr>
              <w:t>2021</w:t>
            </w:r>
            <w:r>
              <w:rPr>
                <w:rFonts w:hint="eastAsia" w:ascii="宋体" w:hAnsi="宋体" w:eastAsia="宋体" w:cs="Times New Roman"/>
                <w:color w:val="000000"/>
                <w:sz w:val="24"/>
                <w:highlight w:val="none"/>
                <w:lang w:eastAsia="zh-CN"/>
              </w:rPr>
              <w:t>—</w:t>
            </w:r>
            <w:r>
              <w:rPr>
                <w:rFonts w:ascii="宋体" w:hAnsi="宋体" w:eastAsia="宋体" w:cs="Times New Roman"/>
                <w:color w:val="000000"/>
                <w:sz w:val="24"/>
                <w:highlight w:val="none"/>
              </w:rPr>
              <w:t>2035年</w:t>
            </w:r>
            <w:r>
              <w:rPr>
                <w:rFonts w:hint="eastAsia" w:ascii="宋体" w:hAnsi="宋体" w:eastAsia="宋体" w:cs="Times New Roman"/>
                <w:color w:val="000000"/>
                <w:sz w:val="24"/>
                <w:highlight w:val="none"/>
                <w:lang w:eastAsia="zh-CN"/>
              </w:rPr>
              <w:t>）</w:t>
            </w:r>
            <w:r>
              <w:rPr>
                <w:rFonts w:ascii="宋体" w:hAnsi="宋体" w:eastAsia="宋体" w:cs="Times New Roman"/>
                <w:color w:val="000000"/>
                <w:sz w:val="24"/>
                <w:highlight w:val="none"/>
              </w:rPr>
              <w:t>》（2021年7月）进行叠加分析，同时根据《新疆维吾尔自治区生态功能区划》复垦区损毁土地在复垦时，应综合考虑待复垦区周边土地利用类型，以恢复原地类为首选复垦方向</w:t>
            </w:r>
            <w:r>
              <w:rPr>
                <w:rFonts w:hint="eastAsia" w:ascii="宋体" w:hAnsi="宋体" w:eastAsia="宋体" w:cs="Times New Roman"/>
                <w:color w:val="000000"/>
                <w:sz w:val="24"/>
                <w:highlight w:val="none"/>
                <w:lang w:eastAsia="zh-CN"/>
              </w:rPr>
              <w:t>。</w:t>
            </w:r>
          </w:p>
          <w:p w14:paraId="55943C89">
            <w:pPr>
              <w:keepNext w:val="0"/>
              <w:keepLines w:val="0"/>
              <w:suppressLineNumbers w:val="0"/>
              <w:spacing w:before="0" w:beforeAutospacing="0" w:after="0" w:afterAutospacing="0" w:line="360" w:lineRule="auto"/>
              <w:ind w:left="0" w:right="0"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d</w:t>
            </w:r>
            <w:r>
              <w:rPr>
                <w:rFonts w:ascii="宋体" w:hAnsi="宋体" w:eastAsia="宋体" w:cs="Times New Roman"/>
                <w:color w:val="000000"/>
                <w:sz w:val="24"/>
                <w:highlight w:val="none"/>
              </w:rPr>
              <w:t>）复垦方向的初步确定</w:t>
            </w:r>
          </w:p>
          <w:p w14:paraId="0DE73C8C">
            <w:pPr>
              <w:keepNext w:val="0"/>
              <w:keepLines w:val="0"/>
              <w:suppressLineNumbers w:val="0"/>
              <w:spacing w:before="0" w:beforeAutospacing="0" w:after="0" w:afterAutospacing="0" w:line="360" w:lineRule="auto"/>
              <w:ind w:left="0" w:right="0"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综合以上区域自然环境条件、社会经济条件、区域地方规划和土地权利人意愿分析，初步确定待复垦土地的宜恢复原土地利用类型方向为主，</w:t>
            </w:r>
            <w:r>
              <w:rPr>
                <w:rFonts w:hint="eastAsia" w:ascii="宋体" w:hAnsi="宋体" w:eastAsia="宋体" w:cs="Times New Roman"/>
                <w:color w:val="000000"/>
                <w:sz w:val="24"/>
                <w:highlight w:val="none"/>
                <w:lang w:val="en-US" w:eastAsia="zh-CN"/>
              </w:rPr>
              <w:t>原土地类型为裸岩石砾地和盐田及采矿用地。</w:t>
            </w:r>
            <w:r>
              <w:rPr>
                <w:rFonts w:ascii="宋体" w:hAnsi="宋体" w:eastAsia="宋体" w:cs="Times New Roman"/>
                <w:color w:val="000000"/>
                <w:sz w:val="24"/>
                <w:highlight w:val="none"/>
              </w:rPr>
              <w:t>复垦方向符合项目所在地土地利用总体规划确定的用途方向。</w:t>
            </w:r>
          </w:p>
          <w:p w14:paraId="71919424">
            <w:pPr>
              <w:pStyle w:val="6"/>
              <w:suppressLineNumbers w:val="0"/>
              <w:spacing w:before="0" w:beforeAutospacing="0" w:after="0" w:afterAutospacing="0" w:line="360" w:lineRule="auto"/>
              <w:ind w:left="0" w:leftChars="0" w:right="0" w:firstLine="482" w:firstLineChars="200"/>
              <w:outlineLvl w:val="3"/>
              <w:rPr>
                <w:rFonts w:hint="default" w:ascii="宋体" w:hAnsi="宋体" w:eastAsia="宋体" w:cs="Times New Roman"/>
                <w:color w:val="000000"/>
                <w:sz w:val="24"/>
                <w:highlight w:val="none"/>
                <w:lang w:val="en-US" w:eastAsia="zh-CN"/>
              </w:rPr>
            </w:pPr>
            <w:r>
              <w:rPr>
                <w:rFonts w:hint="eastAsia" w:ascii="宋体" w:hAnsi="宋体" w:eastAsia="宋体" w:cs="Times New Roman"/>
                <w:b/>
                <w:bCs/>
                <w:color w:val="000000"/>
                <w:sz w:val="24"/>
                <w:highlight w:val="none"/>
                <w:lang w:val="en-US" w:eastAsia="zh-CN"/>
              </w:rPr>
              <w:t>4.4水土资源平衡分析</w:t>
            </w:r>
          </w:p>
          <w:p w14:paraId="152ADF36">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表土供需平衡分析</w:t>
            </w:r>
          </w:p>
          <w:p w14:paraId="10DEB502">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临时用地范围内场地无硬化，表土层损毁厚度约20cm。项目结束后对临时用地范围就地推平平整无需外借土方。本项目土地复垦表土需方满足供方，不需要外借土方。</w:t>
            </w:r>
          </w:p>
          <w:p w14:paraId="57F97B98">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水资源平衡分析</w:t>
            </w:r>
          </w:p>
          <w:p w14:paraId="5DE879CB">
            <w:pPr>
              <w:keepNext w:val="0"/>
              <w:keepLines w:val="0"/>
              <w:suppressLineNumbers w:val="0"/>
              <w:spacing w:before="0" w:beforeAutospacing="0" w:after="0" w:afterAutospacing="0" w:line="360" w:lineRule="auto"/>
              <w:ind w:left="0" w:right="0" w:firstLine="480" w:firstLineChars="2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本项目施工建设时，三塘湖镇供水系统可作为生活用水。项目结束后，复垦工作不涉及灌溉工程。生活污水处理后，用于道路洒水降尘。</w:t>
            </w:r>
          </w:p>
          <w:p w14:paraId="19ECBE95">
            <w:pPr>
              <w:pStyle w:val="6"/>
              <w:suppressLineNumbers w:val="0"/>
              <w:spacing w:before="0" w:beforeAutospacing="0" w:after="0" w:afterAutospacing="0" w:line="360" w:lineRule="auto"/>
              <w:ind w:left="0" w:right="0" w:firstLine="482" w:firstLineChars="200"/>
              <w:outlineLvl w:val="3"/>
              <w:rPr>
                <w:rFonts w:ascii="宋体" w:hAnsi="宋体" w:eastAsia="宋体" w:cs="Times New Roman"/>
                <w:color w:val="000000"/>
                <w:sz w:val="24"/>
                <w:highlight w:val="none"/>
              </w:rPr>
            </w:pPr>
            <w:r>
              <w:rPr>
                <w:rFonts w:hint="eastAsia" w:ascii="宋体" w:hAnsi="宋体" w:eastAsia="宋体" w:cs="Times New Roman"/>
                <w:b/>
                <w:bCs/>
                <w:color w:val="000000"/>
                <w:sz w:val="24"/>
                <w:highlight w:val="none"/>
                <w:lang w:val="en-US" w:eastAsia="zh-CN"/>
              </w:rPr>
              <w:t>4.5</w:t>
            </w:r>
            <w:r>
              <w:rPr>
                <w:rFonts w:hint="eastAsia" w:ascii="宋体" w:hAnsi="宋体" w:eastAsia="宋体" w:cs="Times New Roman"/>
                <w:b/>
                <w:bCs/>
                <w:color w:val="000000"/>
                <w:sz w:val="24"/>
                <w:highlight w:val="none"/>
              </w:rPr>
              <w:t>复垦的目标任务</w:t>
            </w:r>
          </w:p>
          <w:p w14:paraId="1E7943C9">
            <w:pPr>
              <w:keepNext w:val="0"/>
              <w:keepLines w:val="0"/>
              <w:suppressLineNumbers w:val="0"/>
              <w:spacing w:before="0" w:beforeAutospacing="0" w:after="0" w:afterAutospacing="0" w:line="360" w:lineRule="auto"/>
              <w:ind w:left="0" w:right="0"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在尽量确保复垦方向与周边土地利用类型相适应、与土地利用总体规划保持一致的情况下，根据土地复垦适宜性评价分析结果，结合项目区自然环境特征，确定项目区最终的复垦方向、复垦面积及土地复垦率。本方案复垦责任范围</w:t>
            </w:r>
            <w:r>
              <w:rPr>
                <w:rFonts w:hint="eastAsia" w:ascii="宋体" w:hAnsi="宋体" w:eastAsia="宋体" w:cs="Times New Roman"/>
                <w:color w:val="000000"/>
                <w:sz w:val="24"/>
                <w:highlight w:val="none"/>
                <w:lang w:val="en-US" w:eastAsia="zh-CN"/>
              </w:rPr>
              <w:t>土地面积3.6828公顷，土地类型为裸岩石砾地（2.4620公顷）和盐田及采矿用地（1.2208公顷）。</w:t>
            </w:r>
            <w:r>
              <w:rPr>
                <w:rFonts w:ascii="宋体" w:hAnsi="宋体" w:eastAsia="宋体" w:cs="Times New Roman"/>
                <w:color w:val="000000"/>
                <w:sz w:val="24"/>
                <w:highlight w:val="none"/>
              </w:rPr>
              <w:t>维持原土地利用方向，实际复垦土地面积</w:t>
            </w:r>
            <w:r>
              <w:rPr>
                <w:rFonts w:hint="eastAsia" w:ascii="宋体" w:hAnsi="宋体" w:eastAsia="宋体" w:cs="Times New Roman"/>
                <w:color w:val="000000"/>
                <w:sz w:val="24"/>
                <w:highlight w:val="none"/>
                <w:lang w:val="en-US" w:eastAsia="zh-CN"/>
              </w:rPr>
              <w:t>3.6828</w:t>
            </w:r>
            <w:r>
              <w:rPr>
                <w:rFonts w:hint="eastAsia" w:ascii="宋体" w:hAnsi="宋体" w:eastAsia="宋体" w:cs="Times New Roman"/>
                <w:color w:val="000000"/>
                <w:sz w:val="24"/>
                <w:highlight w:val="none"/>
              </w:rPr>
              <w:t>公顷</w:t>
            </w:r>
            <w:r>
              <w:rPr>
                <w:rFonts w:ascii="宋体" w:hAnsi="宋体" w:eastAsia="宋体" w:cs="Times New Roman"/>
                <w:color w:val="000000"/>
                <w:sz w:val="24"/>
                <w:highlight w:val="none"/>
              </w:rPr>
              <w:t>，土地复垦率为100%。</w:t>
            </w:r>
          </w:p>
          <w:p w14:paraId="4C1F38C0">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color w:val="000000"/>
                <w:sz w:val="24"/>
                <w:highlight w:val="none"/>
              </w:rPr>
            </w:pPr>
            <w:r>
              <w:rPr>
                <w:rFonts w:ascii="宋体" w:hAnsi="宋体" w:eastAsia="宋体" w:cs="Times New Roman"/>
                <w:color w:val="000000"/>
                <w:sz w:val="24"/>
                <w:highlight w:val="none"/>
              </w:rPr>
              <w:t>本方案土地复垦前后土地利用结构调整状况见表4-</w:t>
            </w:r>
            <w:r>
              <w:rPr>
                <w:rFonts w:hint="eastAsia" w:ascii="宋体" w:hAnsi="宋体" w:eastAsia="宋体" w:cs="Times New Roman"/>
                <w:color w:val="000000"/>
                <w:sz w:val="24"/>
                <w:highlight w:val="none"/>
                <w:lang w:val="en-US" w:eastAsia="zh-CN"/>
              </w:rPr>
              <w:t>4</w:t>
            </w:r>
            <w:r>
              <w:rPr>
                <w:rFonts w:ascii="宋体" w:hAnsi="宋体" w:eastAsia="宋体" w:cs="Times New Roman"/>
                <w:color w:val="000000"/>
                <w:sz w:val="24"/>
                <w:highlight w:val="none"/>
              </w:rPr>
              <w:t>。</w:t>
            </w:r>
          </w:p>
          <w:p w14:paraId="3AAFE61D">
            <w:pPr>
              <w:keepNext/>
              <w:keepLines w:val="0"/>
              <w:suppressLineNumbers w:val="0"/>
              <w:adjustRightInd w:val="0"/>
              <w:spacing w:before="0" w:beforeAutospacing="0" w:after="0" w:afterAutospacing="0" w:line="360" w:lineRule="auto"/>
              <w:ind w:left="0" w:right="0"/>
              <w:jc w:val="center"/>
              <w:rPr>
                <w:rFonts w:hint="eastAsia" w:ascii="宋体" w:hAnsi="宋体" w:eastAsia="宋体" w:cs="宋体"/>
                <w:b/>
                <w:bCs w:val="0"/>
                <w:color w:val="000000"/>
                <w:kern w:val="0"/>
                <w:highlight w:val="none"/>
              </w:rPr>
            </w:pPr>
            <w:r>
              <w:rPr>
                <w:rFonts w:hint="eastAsia" w:ascii="宋体" w:hAnsi="宋体" w:eastAsia="宋体" w:cs="宋体"/>
                <w:b/>
                <w:bCs w:val="0"/>
                <w:color w:val="000000"/>
                <w:kern w:val="0"/>
                <w:highlight w:val="none"/>
              </w:rPr>
              <w:t>表4-</w:t>
            </w:r>
            <w:r>
              <w:rPr>
                <w:rFonts w:hint="eastAsia" w:ascii="宋体" w:hAnsi="宋体" w:eastAsia="宋体" w:cs="宋体"/>
                <w:b/>
                <w:bCs w:val="0"/>
                <w:color w:val="000000"/>
                <w:kern w:val="0"/>
                <w:highlight w:val="none"/>
                <w:lang w:val="en-US" w:eastAsia="zh-CN"/>
              </w:rPr>
              <w:t xml:space="preserve">4 </w:t>
            </w:r>
            <w:r>
              <w:rPr>
                <w:rFonts w:hint="eastAsia" w:ascii="宋体" w:hAnsi="宋体" w:eastAsia="宋体" w:cs="宋体"/>
                <w:b/>
                <w:bCs w:val="0"/>
                <w:color w:val="000000"/>
                <w:kern w:val="0"/>
                <w:highlight w:val="none"/>
              </w:rPr>
              <w:t>复垦前后土地利用结构调整表</w:t>
            </w:r>
          </w:p>
          <w:tbl>
            <w:tblPr>
              <w:tblStyle w:val="19"/>
              <w:tblW w:w="8540" w:type="dxa"/>
              <w:jc w:val="center"/>
              <w:tblLayout w:type="fixed"/>
              <w:tblCellMar>
                <w:top w:w="0" w:type="dxa"/>
                <w:left w:w="0" w:type="dxa"/>
                <w:bottom w:w="0" w:type="dxa"/>
                <w:right w:w="0" w:type="dxa"/>
              </w:tblCellMar>
            </w:tblPr>
            <w:tblGrid>
              <w:gridCol w:w="1455"/>
              <w:gridCol w:w="1224"/>
              <w:gridCol w:w="1814"/>
              <w:gridCol w:w="1671"/>
              <w:gridCol w:w="1670"/>
              <w:gridCol w:w="706"/>
            </w:tblGrid>
            <w:tr w14:paraId="0E35BB95">
              <w:tblPrEx>
                <w:tblCellMar>
                  <w:top w:w="0" w:type="dxa"/>
                  <w:left w:w="0" w:type="dxa"/>
                  <w:bottom w:w="0" w:type="dxa"/>
                  <w:right w:w="0" w:type="dxa"/>
                </w:tblCellMar>
              </w:tblPrEx>
              <w:trPr>
                <w:trHeight w:val="283" w:hRule="atLeast"/>
                <w:jc w:val="center"/>
              </w:trPr>
              <w:tc>
                <w:tcPr>
                  <w:tcW w:w="145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093D3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宗地名称</w:t>
                  </w:r>
                </w:p>
              </w:tc>
              <w:tc>
                <w:tcPr>
                  <w:tcW w:w="1224"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DE691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权属</w:t>
                  </w:r>
                </w:p>
              </w:tc>
              <w:tc>
                <w:tcPr>
                  <w:tcW w:w="1814"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A55F4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地类</w:t>
                  </w:r>
                </w:p>
              </w:tc>
              <w:tc>
                <w:tcPr>
                  <w:tcW w:w="3341"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FF36F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复垦责任区</w:t>
                  </w:r>
                </w:p>
              </w:tc>
              <w:tc>
                <w:tcPr>
                  <w:tcW w:w="706"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05F7E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变幅</w:t>
                  </w:r>
                </w:p>
              </w:tc>
            </w:tr>
            <w:tr w14:paraId="7DD2A1CE">
              <w:tblPrEx>
                <w:tblCellMar>
                  <w:top w:w="0" w:type="dxa"/>
                  <w:left w:w="0" w:type="dxa"/>
                  <w:bottom w:w="0" w:type="dxa"/>
                  <w:right w:w="0" w:type="dxa"/>
                </w:tblCellMar>
              </w:tblPrEx>
              <w:trPr>
                <w:trHeight w:val="283" w:hRule="atLeast"/>
                <w:jc w:val="center"/>
              </w:trPr>
              <w:tc>
                <w:tcPr>
                  <w:tcW w:w="145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8737C37">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22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853CEC3">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81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5DD2BFE">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6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447CF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复垦前（hm</w:t>
                  </w:r>
                  <w:r>
                    <w:rPr>
                      <w:rFonts w:hint="eastAsia" w:ascii="宋体" w:hAnsi="宋体" w:eastAsia="宋体" w:cs="宋体"/>
                      <w:i w:val="0"/>
                      <w:color w:val="000000"/>
                      <w:kern w:val="0"/>
                      <w:sz w:val="21"/>
                      <w:szCs w:val="21"/>
                      <w:u w:val="none"/>
                      <w:vertAlign w:val="superscript"/>
                      <w:lang w:val="en-US" w:eastAsia="zh-CN" w:bidi="ar"/>
                    </w:rPr>
                    <w:t>2</w:t>
                  </w:r>
                  <w:r>
                    <w:rPr>
                      <w:rFonts w:hint="eastAsia" w:ascii="宋体" w:hAnsi="宋体" w:eastAsia="宋体" w:cs="宋体"/>
                      <w:i w:val="0"/>
                      <w:color w:val="000000"/>
                      <w:kern w:val="0"/>
                      <w:sz w:val="21"/>
                      <w:szCs w:val="21"/>
                      <w:u w:val="none"/>
                      <w:lang w:val="en-US" w:eastAsia="zh-CN" w:bidi="ar"/>
                    </w:rPr>
                    <w:t>）</w:t>
                  </w:r>
                </w:p>
              </w:tc>
              <w:tc>
                <w:tcPr>
                  <w:tcW w:w="167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DE8E6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复垦后（hm</w:t>
                  </w:r>
                  <w:r>
                    <w:rPr>
                      <w:rFonts w:hint="eastAsia" w:ascii="宋体" w:hAnsi="宋体" w:eastAsia="宋体" w:cs="宋体"/>
                      <w:i w:val="0"/>
                      <w:color w:val="000000"/>
                      <w:kern w:val="0"/>
                      <w:sz w:val="21"/>
                      <w:szCs w:val="21"/>
                      <w:u w:val="none"/>
                      <w:vertAlign w:val="superscript"/>
                      <w:lang w:val="en-US" w:eastAsia="zh-CN" w:bidi="ar"/>
                    </w:rPr>
                    <w:t>2</w:t>
                  </w:r>
                  <w:r>
                    <w:rPr>
                      <w:rFonts w:hint="eastAsia" w:ascii="宋体" w:hAnsi="宋体" w:eastAsia="宋体" w:cs="宋体"/>
                      <w:i w:val="0"/>
                      <w:color w:val="000000"/>
                      <w:kern w:val="0"/>
                      <w:sz w:val="21"/>
                      <w:szCs w:val="21"/>
                      <w:u w:val="none"/>
                      <w:lang w:val="en-US" w:eastAsia="zh-CN" w:bidi="ar"/>
                    </w:rPr>
                    <w:t>）</w:t>
                  </w:r>
                </w:p>
              </w:tc>
              <w:tc>
                <w:tcPr>
                  <w:tcW w:w="706"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21D95BD">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r>
            <w:tr w14:paraId="1D5A6D08">
              <w:tblPrEx>
                <w:tblCellMar>
                  <w:top w:w="0" w:type="dxa"/>
                  <w:left w:w="0" w:type="dxa"/>
                  <w:bottom w:w="0" w:type="dxa"/>
                  <w:right w:w="0" w:type="dxa"/>
                </w:tblCellMar>
              </w:tblPrEx>
              <w:trPr>
                <w:trHeight w:val="283" w:hRule="atLeast"/>
                <w:jc w:val="center"/>
              </w:trPr>
              <w:tc>
                <w:tcPr>
                  <w:tcW w:w="14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74164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制梁场1</w:t>
                  </w:r>
                </w:p>
              </w:tc>
              <w:tc>
                <w:tcPr>
                  <w:tcW w:w="1224"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3E550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巴里坤哈萨克自治县三塘湖镇国有</w:t>
                  </w:r>
                </w:p>
              </w:tc>
              <w:tc>
                <w:tcPr>
                  <w:tcW w:w="1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C7A2A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裸岩石砾地</w:t>
                  </w:r>
                </w:p>
              </w:tc>
              <w:tc>
                <w:tcPr>
                  <w:tcW w:w="16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EA7D5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0.3553</w:t>
                  </w:r>
                </w:p>
              </w:tc>
              <w:tc>
                <w:tcPr>
                  <w:tcW w:w="167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EA66E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0.3553</w:t>
                  </w:r>
                </w:p>
              </w:tc>
              <w:tc>
                <w:tcPr>
                  <w:tcW w:w="70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5E1D6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r>
            <w:tr w14:paraId="2EBCA98F">
              <w:tblPrEx>
                <w:tblCellMar>
                  <w:top w:w="0" w:type="dxa"/>
                  <w:left w:w="0" w:type="dxa"/>
                  <w:bottom w:w="0" w:type="dxa"/>
                  <w:right w:w="0" w:type="dxa"/>
                </w:tblCellMar>
              </w:tblPrEx>
              <w:trPr>
                <w:trHeight w:val="283" w:hRule="atLeast"/>
                <w:jc w:val="center"/>
              </w:trPr>
              <w:tc>
                <w:tcPr>
                  <w:tcW w:w="14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25958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制梁场2</w:t>
                  </w:r>
                </w:p>
              </w:tc>
              <w:tc>
                <w:tcPr>
                  <w:tcW w:w="122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5BE20AB">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D0738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盐田及采矿用地</w:t>
                  </w:r>
                </w:p>
              </w:tc>
              <w:tc>
                <w:tcPr>
                  <w:tcW w:w="16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70CEC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0.3904</w:t>
                  </w:r>
                </w:p>
              </w:tc>
              <w:tc>
                <w:tcPr>
                  <w:tcW w:w="167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FE4A6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0.3904</w:t>
                  </w:r>
                </w:p>
              </w:tc>
              <w:tc>
                <w:tcPr>
                  <w:tcW w:w="70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57AA3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r>
            <w:tr w14:paraId="78577051">
              <w:tblPrEx>
                <w:tblCellMar>
                  <w:top w:w="0" w:type="dxa"/>
                  <w:left w:w="0" w:type="dxa"/>
                  <w:bottom w:w="0" w:type="dxa"/>
                  <w:right w:w="0" w:type="dxa"/>
                </w:tblCellMar>
              </w:tblPrEx>
              <w:trPr>
                <w:trHeight w:val="283" w:hRule="atLeast"/>
                <w:jc w:val="center"/>
              </w:trPr>
              <w:tc>
                <w:tcPr>
                  <w:tcW w:w="14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D50DD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材料堆场1</w:t>
                  </w:r>
                </w:p>
              </w:tc>
              <w:tc>
                <w:tcPr>
                  <w:tcW w:w="122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DF1BA54">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E546B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裸岩石砾地</w:t>
                  </w:r>
                </w:p>
              </w:tc>
              <w:tc>
                <w:tcPr>
                  <w:tcW w:w="16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4E2CA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0.4295</w:t>
                  </w:r>
                </w:p>
              </w:tc>
              <w:tc>
                <w:tcPr>
                  <w:tcW w:w="167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A017B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0.4295</w:t>
                  </w:r>
                </w:p>
              </w:tc>
              <w:tc>
                <w:tcPr>
                  <w:tcW w:w="70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FEEC3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r>
            <w:tr w14:paraId="5306A0AE">
              <w:tblPrEx>
                <w:tblCellMar>
                  <w:top w:w="0" w:type="dxa"/>
                  <w:left w:w="0" w:type="dxa"/>
                  <w:bottom w:w="0" w:type="dxa"/>
                  <w:right w:w="0" w:type="dxa"/>
                </w:tblCellMar>
              </w:tblPrEx>
              <w:trPr>
                <w:trHeight w:val="283" w:hRule="atLeast"/>
                <w:jc w:val="center"/>
              </w:trPr>
              <w:tc>
                <w:tcPr>
                  <w:tcW w:w="145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97740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材料堆场2</w:t>
                  </w:r>
                </w:p>
              </w:tc>
              <w:tc>
                <w:tcPr>
                  <w:tcW w:w="122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17205EC">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C153C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裸岩石砾地</w:t>
                  </w:r>
                </w:p>
              </w:tc>
              <w:tc>
                <w:tcPr>
                  <w:tcW w:w="16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633BF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0.9702</w:t>
                  </w:r>
                </w:p>
              </w:tc>
              <w:tc>
                <w:tcPr>
                  <w:tcW w:w="167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6D33B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0.9702</w:t>
                  </w:r>
                </w:p>
              </w:tc>
              <w:tc>
                <w:tcPr>
                  <w:tcW w:w="70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4C1CC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r>
            <w:tr w14:paraId="3AE3992B">
              <w:tblPrEx>
                <w:tblCellMar>
                  <w:top w:w="0" w:type="dxa"/>
                  <w:left w:w="0" w:type="dxa"/>
                  <w:bottom w:w="0" w:type="dxa"/>
                  <w:right w:w="0" w:type="dxa"/>
                </w:tblCellMar>
              </w:tblPrEx>
              <w:trPr>
                <w:trHeight w:val="283" w:hRule="atLeast"/>
                <w:jc w:val="center"/>
              </w:trPr>
              <w:tc>
                <w:tcPr>
                  <w:tcW w:w="145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B518976">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22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36149BF">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18965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盐田及采矿用地</w:t>
                  </w:r>
                </w:p>
              </w:tc>
              <w:tc>
                <w:tcPr>
                  <w:tcW w:w="16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396E0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0.5934</w:t>
                  </w:r>
                </w:p>
              </w:tc>
              <w:tc>
                <w:tcPr>
                  <w:tcW w:w="167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165AD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0.5934</w:t>
                  </w:r>
                </w:p>
              </w:tc>
              <w:tc>
                <w:tcPr>
                  <w:tcW w:w="70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097DD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r>
            <w:tr w14:paraId="78A23C56">
              <w:tblPrEx>
                <w:tblCellMar>
                  <w:top w:w="0" w:type="dxa"/>
                  <w:left w:w="0" w:type="dxa"/>
                  <w:bottom w:w="0" w:type="dxa"/>
                  <w:right w:w="0" w:type="dxa"/>
                </w:tblCellMar>
              </w:tblPrEx>
              <w:trPr>
                <w:trHeight w:val="283" w:hRule="atLeast"/>
                <w:jc w:val="center"/>
              </w:trPr>
              <w:tc>
                <w:tcPr>
                  <w:tcW w:w="145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9EE46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钢筋加工厂1</w:t>
                  </w:r>
                </w:p>
              </w:tc>
              <w:tc>
                <w:tcPr>
                  <w:tcW w:w="122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9D54F07">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89CC8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裸岩石砾地</w:t>
                  </w:r>
                </w:p>
              </w:tc>
              <w:tc>
                <w:tcPr>
                  <w:tcW w:w="16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AE0D6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0.3824</w:t>
                  </w:r>
                </w:p>
              </w:tc>
              <w:tc>
                <w:tcPr>
                  <w:tcW w:w="167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87F92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0.3824</w:t>
                  </w:r>
                </w:p>
              </w:tc>
              <w:tc>
                <w:tcPr>
                  <w:tcW w:w="70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F6F1B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r>
            <w:tr w14:paraId="55497001">
              <w:tblPrEx>
                <w:tblCellMar>
                  <w:top w:w="0" w:type="dxa"/>
                  <w:left w:w="0" w:type="dxa"/>
                  <w:bottom w:w="0" w:type="dxa"/>
                  <w:right w:w="0" w:type="dxa"/>
                </w:tblCellMar>
              </w:tblPrEx>
              <w:trPr>
                <w:trHeight w:val="283" w:hRule="atLeast"/>
                <w:jc w:val="center"/>
              </w:trPr>
              <w:tc>
                <w:tcPr>
                  <w:tcW w:w="145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107CA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钢筋加工厂2</w:t>
                  </w:r>
                </w:p>
              </w:tc>
              <w:tc>
                <w:tcPr>
                  <w:tcW w:w="122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A001A6E">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4F491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裸岩石砾地</w:t>
                  </w:r>
                </w:p>
              </w:tc>
              <w:tc>
                <w:tcPr>
                  <w:tcW w:w="16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E2CC5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0.3246</w:t>
                  </w:r>
                </w:p>
              </w:tc>
              <w:tc>
                <w:tcPr>
                  <w:tcW w:w="167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08803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0.3246</w:t>
                  </w:r>
                </w:p>
              </w:tc>
              <w:tc>
                <w:tcPr>
                  <w:tcW w:w="70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A2D32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r>
            <w:tr w14:paraId="5E5C39A5">
              <w:tblPrEx>
                <w:tblCellMar>
                  <w:top w:w="0" w:type="dxa"/>
                  <w:left w:w="0" w:type="dxa"/>
                  <w:bottom w:w="0" w:type="dxa"/>
                  <w:right w:w="0" w:type="dxa"/>
                </w:tblCellMar>
              </w:tblPrEx>
              <w:trPr>
                <w:trHeight w:val="283" w:hRule="atLeast"/>
                <w:jc w:val="center"/>
              </w:trPr>
              <w:tc>
                <w:tcPr>
                  <w:tcW w:w="145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292C41D">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22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3C25ED2">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F9ACA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盐田及采矿用地</w:t>
                  </w:r>
                </w:p>
              </w:tc>
              <w:tc>
                <w:tcPr>
                  <w:tcW w:w="16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3D530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0.237</w:t>
                  </w:r>
                </w:p>
              </w:tc>
              <w:tc>
                <w:tcPr>
                  <w:tcW w:w="167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CC12E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0.237</w:t>
                  </w:r>
                </w:p>
              </w:tc>
              <w:tc>
                <w:tcPr>
                  <w:tcW w:w="70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B9904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r>
            <w:tr w14:paraId="33A61817">
              <w:tblPrEx>
                <w:tblCellMar>
                  <w:top w:w="0" w:type="dxa"/>
                  <w:left w:w="0" w:type="dxa"/>
                  <w:bottom w:w="0" w:type="dxa"/>
                  <w:right w:w="0" w:type="dxa"/>
                </w:tblCellMar>
              </w:tblPrEx>
              <w:trPr>
                <w:trHeight w:val="283" w:hRule="atLeast"/>
                <w:jc w:val="center"/>
              </w:trPr>
              <w:tc>
                <w:tcPr>
                  <w:tcW w:w="2679" w:type="dxa"/>
                  <w:gridSpan w:val="2"/>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44231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合计</w:t>
                  </w:r>
                </w:p>
              </w:tc>
              <w:tc>
                <w:tcPr>
                  <w:tcW w:w="1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4E882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裸岩石砾地</w:t>
                  </w:r>
                </w:p>
              </w:tc>
              <w:tc>
                <w:tcPr>
                  <w:tcW w:w="16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0306F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2.462</w:t>
                  </w:r>
                </w:p>
              </w:tc>
              <w:tc>
                <w:tcPr>
                  <w:tcW w:w="167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7CFA9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2.462</w:t>
                  </w:r>
                </w:p>
              </w:tc>
              <w:tc>
                <w:tcPr>
                  <w:tcW w:w="70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7E236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r>
            <w:tr w14:paraId="62603B54">
              <w:tblPrEx>
                <w:tblCellMar>
                  <w:top w:w="0" w:type="dxa"/>
                  <w:left w:w="0" w:type="dxa"/>
                  <w:bottom w:w="0" w:type="dxa"/>
                  <w:right w:w="0" w:type="dxa"/>
                </w:tblCellMar>
              </w:tblPrEx>
              <w:trPr>
                <w:trHeight w:val="283" w:hRule="atLeast"/>
                <w:jc w:val="center"/>
              </w:trPr>
              <w:tc>
                <w:tcPr>
                  <w:tcW w:w="2679" w:type="dxa"/>
                  <w:gridSpan w:val="2"/>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89780C4">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97BB9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盐田及采矿用地</w:t>
                  </w:r>
                </w:p>
              </w:tc>
              <w:tc>
                <w:tcPr>
                  <w:tcW w:w="16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436BA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1.2208</w:t>
                  </w:r>
                </w:p>
              </w:tc>
              <w:tc>
                <w:tcPr>
                  <w:tcW w:w="167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97481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1.2208</w:t>
                  </w:r>
                </w:p>
              </w:tc>
              <w:tc>
                <w:tcPr>
                  <w:tcW w:w="70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594A1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r>
            <w:tr w14:paraId="35668292">
              <w:tblPrEx>
                <w:tblCellMar>
                  <w:top w:w="0" w:type="dxa"/>
                  <w:left w:w="0" w:type="dxa"/>
                  <w:bottom w:w="0" w:type="dxa"/>
                  <w:right w:w="0" w:type="dxa"/>
                </w:tblCellMar>
              </w:tblPrEx>
              <w:trPr>
                <w:trHeight w:val="292" w:hRule="atLeast"/>
                <w:jc w:val="center"/>
              </w:trPr>
              <w:tc>
                <w:tcPr>
                  <w:tcW w:w="2679" w:type="dxa"/>
                  <w:gridSpan w:val="2"/>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26BFFB8">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366E2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合计</w:t>
                  </w:r>
                </w:p>
              </w:tc>
              <w:tc>
                <w:tcPr>
                  <w:tcW w:w="167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37A90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3.6828</w:t>
                  </w:r>
                </w:p>
              </w:tc>
              <w:tc>
                <w:tcPr>
                  <w:tcW w:w="167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351CF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3.6828</w:t>
                  </w:r>
                </w:p>
              </w:tc>
              <w:tc>
                <w:tcPr>
                  <w:tcW w:w="70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BCDDA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r>
          </w:tbl>
          <w:p w14:paraId="061313E2">
            <w:pPr>
              <w:keepNext w:val="0"/>
              <w:keepLines w:val="0"/>
              <w:suppressLineNumbers w:val="0"/>
              <w:spacing w:before="0" w:beforeAutospacing="0" w:after="0" w:afterAutospacing="0" w:line="360" w:lineRule="auto"/>
              <w:ind w:left="0" w:right="0" w:firstLine="482" w:firstLineChars="200"/>
              <w:rPr>
                <w:rFonts w:hint="eastAsia" w:ascii="宋体" w:hAnsi="宋体" w:eastAsia="宋体" w:cs="Times New Roman"/>
                <w:b/>
                <w:bCs/>
                <w:color w:val="000000"/>
                <w:sz w:val="24"/>
                <w:highlight w:val="none"/>
              </w:rPr>
            </w:pPr>
          </w:p>
          <w:p w14:paraId="5C5DEDDE">
            <w:pPr>
              <w:keepNext w:val="0"/>
              <w:keepLines w:val="0"/>
              <w:suppressLineNumbers w:val="0"/>
              <w:spacing w:before="0" w:beforeAutospacing="0" w:after="0" w:afterAutospacing="0" w:line="360" w:lineRule="auto"/>
              <w:ind w:left="0" w:right="0" w:firstLine="482" w:firstLineChars="200"/>
              <w:rPr>
                <w:rFonts w:hint="default" w:ascii="宋体" w:hAnsi="宋体" w:eastAsia="宋体" w:cs="Times New Roman"/>
                <w:b/>
                <w:bCs/>
                <w:color w:val="000000"/>
                <w:sz w:val="24"/>
                <w:highlight w:val="none"/>
                <w:lang w:val="en-US" w:eastAsia="zh-CN"/>
              </w:rPr>
            </w:pPr>
            <w:r>
              <w:rPr>
                <w:rFonts w:hint="eastAsia" w:ascii="宋体" w:hAnsi="宋体" w:eastAsia="宋体" w:cs="Times New Roman"/>
                <w:b/>
                <w:bCs/>
                <w:color w:val="000000"/>
                <w:sz w:val="24"/>
                <w:highlight w:val="none"/>
              </w:rPr>
              <w:t>五、土地复垦质量要求</w:t>
            </w:r>
            <w:r>
              <w:rPr>
                <w:rFonts w:hint="eastAsia" w:ascii="宋体" w:hAnsi="宋体" w:eastAsia="宋体" w:cs="Times New Roman"/>
                <w:b/>
                <w:bCs/>
                <w:color w:val="000000"/>
                <w:sz w:val="24"/>
                <w:highlight w:val="none"/>
                <w:lang w:val="en-US" w:eastAsia="zh-CN"/>
              </w:rPr>
              <w:t>与复垦措施</w:t>
            </w:r>
          </w:p>
          <w:p w14:paraId="034CD855">
            <w:pPr>
              <w:keepNext w:val="0"/>
              <w:keepLines w:val="0"/>
              <w:suppressLineNumbers w:val="0"/>
              <w:spacing w:before="0" w:beforeAutospacing="0" w:after="0" w:afterAutospacing="0" w:line="360" w:lineRule="auto"/>
              <w:ind w:left="0" w:right="0" w:firstLine="460" w:firstLineChars="192"/>
              <w:rPr>
                <w:rFonts w:hint="default"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5.1土地复垦质量要求</w:t>
            </w:r>
          </w:p>
          <w:p w14:paraId="2F25965B">
            <w:pPr>
              <w:keepNext w:val="0"/>
              <w:keepLines w:val="0"/>
              <w:suppressLineNumbers w:val="0"/>
              <w:spacing w:before="0" w:beforeAutospacing="0" w:after="0" w:afterAutospacing="0" w:line="360" w:lineRule="auto"/>
              <w:ind w:left="0" w:right="0" w:firstLine="460" w:firstLineChars="192"/>
              <w:rPr>
                <w:rFonts w:ascii="宋体" w:hAnsi="宋体" w:eastAsia="宋体" w:cs="Times New Roman"/>
                <w:color w:val="000000"/>
                <w:sz w:val="24"/>
                <w:highlight w:val="none"/>
              </w:rPr>
            </w:pPr>
            <w:r>
              <w:rPr>
                <w:rFonts w:ascii="宋体" w:hAnsi="宋体" w:eastAsia="宋体" w:cs="Times New Roman"/>
                <w:color w:val="000000"/>
                <w:sz w:val="24"/>
                <w:highlight w:val="none"/>
              </w:rPr>
              <w:t>依据《土地复垦质量控制标准》（TD/T1036-2013）西北干旱地区土地复垦质量控制标准，参考其他土地基本指标和控制标准，具体要求如下：</w:t>
            </w:r>
          </w:p>
          <w:p w14:paraId="057561AC">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1、裸岩石砾地</w:t>
            </w:r>
          </w:p>
          <w:p w14:paraId="70743A4C">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复垦质量标准：保证土地复垦后场地稳定，平整，压实度高，并且与区域自然环境和周边景观相协调一致。</w:t>
            </w:r>
          </w:p>
          <w:p w14:paraId="31554C9D">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（1）首先应保证安全，杜绝地质灾害发生；</w:t>
            </w:r>
          </w:p>
          <w:p w14:paraId="31EBA3F3">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（2）项目建设期间保持区内卫生整洁，不乱堆乱放；生活垃圾定期拉运至南湖乡垃圾填埋场处理。</w:t>
            </w:r>
          </w:p>
          <w:p w14:paraId="3B01E4A0">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（3）项目建设期间在批准的用地范围内活动，杜绝对周边其它土地及植被造成损毁；</w:t>
            </w:r>
          </w:p>
          <w:p w14:paraId="7D14A174">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（4）项目结束后拆除建筑物，清除场内物资，回填污水处理池、厕所；</w:t>
            </w:r>
          </w:p>
          <w:p w14:paraId="7E92D98C">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（5）进行土地平整，平整厚度20厘米；</w:t>
            </w:r>
          </w:p>
          <w:p w14:paraId="00D5099B">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（6）复垦治理后，场地周边土壤质地需满足《土壤环境质量工矿用地土壤污染风险管控标准》（GB36600-2018）中的二级要求且在前期检测土壤背景值土壤质地可控范围内。</w:t>
            </w:r>
          </w:p>
          <w:p w14:paraId="3F6B6FF5">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2、盐田及采矿用地</w:t>
            </w:r>
          </w:p>
          <w:p w14:paraId="23F8D862">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依据《土地复垦质量控制标准》TD/T 1036-2013 “12 其他复垦用途的土地复垦质量控制标准” 中12.5 规定。盐田及采矿用地与裸岩石砾地复垦标准一致。</w:t>
            </w:r>
          </w:p>
          <w:p w14:paraId="27E08925">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复垦质量标准：保证土地复垦后场地稳定，平整，压实度高，并且与区域自然环境和周边景观相协调一致。</w:t>
            </w:r>
          </w:p>
          <w:p w14:paraId="6BA3585B">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（1）首先应保证安全，杜绝地质灾害发生；</w:t>
            </w:r>
          </w:p>
          <w:p w14:paraId="60B6614A">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（2）项目建设期间保持区内卫生整洁，不乱堆乱放。</w:t>
            </w:r>
          </w:p>
          <w:p w14:paraId="2ECD4E11">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（3）项目建设期间在批准的用地范围内活动，杜绝对周边其它土地及植被造成损毁；</w:t>
            </w:r>
          </w:p>
          <w:p w14:paraId="41CB03CB">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（4）项目结束后进行土地平整，平整厚度20厘米；</w:t>
            </w:r>
          </w:p>
          <w:p w14:paraId="2BF452AA">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（5）复垦治理后，场地周边土壤质地需满足《土壤环境质量工矿用地土壤污染风险管控标准》（GB36600-2018）中的二级要求且在前期检测土壤背景值土壤质地可控范围内。</w:t>
            </w:r>
          </w:p>
          <w:p w14:paraId="328039D7">
            <w:pPr>
              <w:keepNext w:val="0"/>
              <w:keepLines w:val="0"/>
              <w:suppressLineNumbers w:val="0"/>
              <w:spacing w:before="0" w:beforeAutospacing="0" w:after="0" w:afterAutospacing="0" w:line="360" w:lineRule="auto"/>
              <w:ind w:left="0" w:right="0" w:firstLine="463" w:firstLineChars="192"/>
              <w:rPr>
                <w:rFonts w:hint="default" w:ascii="宋体" w:hAnsi="宋体" w:eastAsia="宋体" w:cs="Times New Roman"/>
                <w:color w:val="000000"/>
                <w:sz w:val="24"/>
                <w:highlight w:val="none"/>
                <w:lang w:val="en-US" w:eastAsia="zh-CN"/>
              </w:rPr>
            </w:pPr>
            <w:r>
              <w:rPr>
                <w:rFonts w:hint="eastAsia" w:ascii="宋体" w:hAnsi="宋体" w:eastAsia="宋体" w:cs="Times New Roman"/>
                <w:b/>
                <w:bCs/>
                <w:color w:val="000000"/>
                <w:sz w:val="24"/>
                <w:highlight w:val="none"/>
                <w:lang w:val="en-US" w:eastAsia="zh-CN"/>
              </w:rPr>
              <w:t>临时用地</w:t>
            </w:r>
            <w:r>
              <w:rPr>
                <w:rFonts w:hint="eastAsia" w:ascii="宋体" w:hAnsi="宋体" w:eastAsia="宋体" w:cs="Times New Roman"/>
                <w:b/>
                <w:bCs/>
                <w:color w:val="000000"/>
                <w:sz w:val="24"/>
                <w:highlight w:val="none"/>
              </w:rPr>
              <w:t>土地复垦质量要求</w:t>
            </w:r>
          </w:p>
          <w:p w14:paraId="3710986D">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1）首先应保证安全，杜绝地质灾害发生。</w:t>
            </w:r>
          </w:p>
          <w:p w14:paraId="5232BE14">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rPr>
              <w:t>2）项目建设期间保持区内卫生整洁，不</w:t>
            </w:r>
            <w:r>
              <w:rPr>
                <w:rFonts w:hint="eastAsia" w:ascii="宋体" w:hAnsi="宋体" w:eastAsia="宋体" w:cs="Times New Roman"/>
                <w:color w:val="000000"/>
                <w:sz w:val="24"/>
                <w:highlight w:val="none"/>
                <w:lang w:val="en-US" w:eastAsia="zh-CN"/>
              </w:rPr>
              <w:t>随意抛洒垃圾。</w:t>
            </w:r>
          </w:p>
          <w:p w14:paraId="7B7A5009">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rPr>
              <w:t>3）项目建设期间在批准的用地范围内活动，杜绝对周边</w:t>
            </w:r>
            <w:r>
              <w:rPr>
                <w:rFonts w:hint="eastAsia" w:ascii="宋体" w:hAnsi="宋体" w:eastAsia="宋体" w:cs="Times New Roman"/>
                <w:color w:val="000000"/>
                <w:sz w:val="24"/>
                <w:highlight w:val="none"/>
                <w:lang w:eastAsia="zh-CN"/>
              </w:rPr>
              <w:t>其他</w:t>
            </w:r>
            <w:r>
              <w:rPr>
                <w:rFonts w:hint="eastAsia" w:ascii="宋体" w:hAnsi="宋体" w:eastAsia="宋体" w:cs="Times New Roman"/>
                <w:color w:val="000000"/>
                <w:sz w:val="24"/>
                <w:highlight w:val="none"/>
              </w:rPr>
              <w:t>土地及植被造成</w:t>
            </w:r>
            <w:r>
              <w:rPr>
                <w:rFonts w:hint="eastAsia" w:ascii="宋体" w:hAnsi="宋体" w:eastAsia="宋体" w:cs="Times New Roman"/>
                <w:color w:val="000000"/>
                <w:sz w:val="24"/>
                <w:highlight w:val="none"/>
                <w:lang w:eastAsia="zh-CN"/>
              </w:rPr>
              <w:t>损毁</w:t>
            </w:r>
            <w:r>
              <w:rPr>
                <w:rFonts w:hint="eastAsia" w:ascii="宋体" w:hAnsi="宋体" w:eastAsia="宋体" w:cs="Times New Roman"/>
                <w:color w:val="000000"/>
                <w:sz w:val="24"/>
                <w:highlight w:val="none"/>
              </w:rPr>
              <w:t>。</w:t>
            </w:r>
          </w:p>
          <w:p w14:paraId="24677CF0">
            <w:pPr>
              <w:keepNext w:val="0"/>
              <w:keepLines w:val="0"/>
              <w:suppressLineNumbers w:val="0"/>
              <w:spacing w:before="0" w:beforeAutospacing="0" w:after="0" w:afterAutospacing="0" w:line="360" w:lineRule="auto"/>
              <w:ind w:left="0" w:right="0" w:firstLine="460" w:firstLineChars="192"/>
              <w:rPr>
                <w:rFonts w:hint="default"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制梁场</w:t>
            </w:r>
            <w:r>
              <w:rPr>
                <w:rFonts w:hint="eastAsia" w:ascii="宋体" w:hAnsi="宋体" w:cs="Times New Roman"/>
                <w:color w:val="000000"/>
                <w:sz w:val="24"/>
                <w:highlight w:val="none"/>
                <w:lang w:val="en-US" w:eastAsia="zh-CN"/>
              </w:rPr>
              <w:t>1：</w:t>
            </w:r>
          </w:p>
          <w:p w14:paraId="7988AB72">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场地平整：项目结束后，将临时用地范围场地就地推平平整，平整厚度20cm，地形坡度约3°。禁止形成局部凸起或凹陷，与周边地貌相协调。复垦后，土地类型为裸岩石砾地。</w:t>
            </w:r>
          </w:p>
          <w:p w14:paraId="7B870828">
            <w:pPr>
              <w:keepNext w:val="0"/>
              <w:keepLines w:val="0"/>
              <w:suppressLineNumbers w:val="0"/>
              <w:spacing w:before="0" w:beforeAutospacing="0" w:after="0" w:afterAutospacing="0" w:line="360" w:lineRule="auto"/>
              <w:ind w:left="0" w:right="0" w:firstLine="460" w:firstLineChars="192"/>
              <w:rPr>
                <w:rFonts w:hint="default"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制梁场</w:t>
            </w:r>
            <w:r>
              <w:rPr>
                <w:rFonts w:hint="eastAsia" w:ascii="宋体" w:hAnsi="宋体" w:cs="Times New Roman"/>
                <w:color w:val="000000"/>
                <w:sz w:val="24"/>
                <w:highlight w:val="none"/>
                <w:lang w:val="en-US" w:eastAsia="zh-CN"/>
              </w:rPr>
              <w:t>2：</w:t>
            </w:r>
          </w:p>
          <w:p w14:paraId="572EFD2D">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场地平整：项目结束后，将临时用地范围场地就地推平平整，平整厚度20cm，地形坡度约3°。禁止形成局部凸起或凹陷，与周边地貌相协调。复垦后，土地类型为盐田及采矿用地。</w:t>
            </w:r>
          </w:p>
          <w:p w14:paraId="4C2C58AB">
            <w:pPr>
              <w:keepNext w:val="0"/>
              <w:keepLines w:val="0"/>
              <w:suppressLineNumbers w:val="0"/>
              <w:spacing w:before="0" w:beforeAutospacing="0" w:after="0" w:afterAutospacing="0" w:line="360" w:lineRule="auto"/>
              <w:ind w:left="0" w:right="0" w:firstLine="460" w:firstLineChars="192"/>
              <w:rPr>
                <w:rFonts w:hint="default"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材料堆场</w:t>
            </w:r>
            <w:r>
              <w:rPr>
                <w:rFonts w:hint="eastAsia" w:ascii="宋体" w:hAnsi="宋体" w:cs="Times New Roman"/>
                <w:color w:val="000000"/>
                <w:sz w:val="24"/>
                <w:highlight w:val="none"/>
                <w:lang w:val="en-US" w:eastAsia="zh-CN"/>
              </w:rPr>
              <w:t>1：</w:t>
            </w:r>
          </w:p>
          <w:p w14:paraId="500723ED">
            <w:pPr>
              <w:keepNext w:val="0"/>
              <w:keepLines w:val="0"/>
              <w:suppressLineNumbers w:val="0"/>
              <w:spacing w:before="0" w:beforeAutospacing="0" w:after="0" w:afterAutospacing="0" w:line="440" w:lineRule="exact"/>
              <w:ind w:left="0" w:right="0" w:firstLine="480" w:firstLineChars="200"/>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硬化拆除：项目结束后，项目单位自行将设备材料运出场外，拆除场地硬化。</w:t>
            </w:r>
          </w:p>
          <w:p w14:paraId="172519A4">
            <w:pPr>
              <w:keepNext w:val="0"/>
              <w:keepLines w:val="0"/>
              <w:suppressLineNumbers w:val="0"/>
              <w:spacing w:before="0" w:beforeAutospacing="0" w:after="0" w:afterAutospacing="0" w:line="440" w:lineRule="exact"/>
              <w:ind w:left="0" w:right="0" w:firstLine="480" w:firstLineChars="200"/>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垃圾清运：将建筑垃圾拉运至三塘湖镇垃圾集中处置场所进行处置，处置要符合环评相关要求。</w:t>
            </w:r>
          </w:p>
          <w:p w14:paraId="50F94679">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场地平整：垃圾清运后，将临时用地范围场地就地推平平整，平整厚度20cm，地形坡度约3°。禁止形成局部凸起或凹陷，与周边地貌相协调。复垦后，土地类型为裸岩石砾地。</w:t>
            </w:r>
          </w:p>
          <w:p w14:paraId="66FD1CA4">
            <w:pPr>
              <w:keepNext w:val="0"/>
              <w:keepLines w:val="0"/>
              <w:suppressLineNumbers w:val="0"/>
              <w:spacing w:before="0" w:beforeAutospacing="0" w:after="0" w:afterAutospacing="0" w:line="360" w:lineRule="auto"/>
              <w:ind w:left="0" w:right="0" w:firstLine="460" w:firstLineChars="192"/>
              <w:rPr>
                <w:rFonts w:hint="default"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材料堆场</w:t>
            </w:r>
            <w:r>
              <w:rPr>
                <w:rFonts w:hint="eastAsia" w:ascii="宋体" w:hAnsi="宋体" w:cs="Times New Roman"/>
                <w:color w:val="000000"/>
                <w:sz w:val="24"/>
                <w:highlight w:val="none"/>
                <w:lang w:val="en-US" w:eastAsia="zh-CN"/>
              </w:rPr>
              <w:t>2：</w:t>
            </w:r>
          </w:p>
          <w:p w14:paraId="33CF55A1">
            <w:pPr>
              <w:keepNext w:val="0"/>
              <w:keepLines w:val="0"/>
              <w:suppressLineNumbers w:val="0"/>
              <w:spacing w:before="0" w:beforeAutospacing="0" w:after="0" w:afterAutospacing="0" w:line="440" w:lineRule="exact"/>
              <w:ind w:left="0" w:right="0" w:firstLine="480" w:firstLineChars="200"/>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硬化拆除：项目结束后，项目单位自行将设备材料运出场外，拆除场地硬化。</w:t>
            </w:r>
          </w:p>
          <w:p w14:paraId="48862C35">
            <w:pPr>
              <w:keepNext w:val="0"/>
              <w:keepLines w:val="0"/>
              <w:suppressLineNumbers w:val="0"/>
              <w:spacing w:before="0" w:beforeAutospacing="0" w:after="0" w:afterAutospacing="0" w:line="440" w:lineRule="exact"/>
              <w:ind w:left="0" w:right="0" w:firstLine="480" w:firstLineChars="200"/>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垃圾清运：将建筑垃圾拉运至三塘湖镇垃圾集中处置场所进行处置，处置要符合环评相关要求。</w:t>
            </w:r>
          </w:p>
          <w:p w14:paraId="086EA3F9">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场地平整：垃圾清运后，将临时用地范围场地就地推平平整，平整厚度20cm，地形坡度约3°。禁止形成局部凸起或凹陷，与周边地貌相协调。复垦后，土地类型为裸岩石砾地和盐田及采矿用地。</w:t>
            </w:r>
          </w:p>
          <w:p w14:paraId="6D167197">
            <w:pPr>
              <w:keepNext w:val="0"/>
              <w:keepLines w:val="0"/>
              <w:suppressLineNumbers w:val="0"/>
              <w:spacing w:before="0" w:beforeAutospacing="0" w:after="0" w:afterAutospacing="0" w:line="360" w:lineRule="auto"/>
              <w:ind w:left="0" w:right="0" w:firstLine="460" w:firstLineChars="192"/>
              <w:rPr>
                <w:rFonts w:hint="default"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钢筋加工厂</w:t>
            </w:r>
            <w:r>
              <w:rPr>
                <w:rFonts w:hint="eastAsia" w:ascii="宋体" w:hAnsi="宋体" w:cs="Times New Roman"/>
                <w:color w:val="000000"/>
                <w:sz w:val="24"/>
                <w:highlight w:val="none"/>
                <w:lang w:val="en-US" w:eastAsia="zh-CN"/>
              </w:rPr>
              <w:t>1：</w:t>
            </w:r>
          </w:p>
          <w:p w14:paraId="44E2CA26">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场地平整：项目结束后，将临时用地范围场地就地推平平整，平整厚度20cm，地形坡度约3°。禁止形成局部凸起或凹陷，与周边地貌相协调。复垦后，土地类型为裸岩石砾地。</w:t>
            </w:r>
          </w:p>
          <w:p w14:paraId="71C31296">
            <w:pPr>
              <w:keepNext w:val="0"/>
              <w:keepLines w:val="0"/>
              <w:suppressLineNumbers w:val="0"/>
              <w:spacing w:before="0" w:beforeAutospacing="0" w:after="0" w:afterAutospacing="0" w:line="360" w:lineRule="auto"/>
              <w:ind w:left="0" w:right="0" w:firstLine="460" w:firstLineChars="192"/>
              <w:rPr>
                <w:rFonts w:hint="default"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钢筋加工厂</w:t>
            </w:r>
            <w:r>
              <w:rPr>
                <w:rFonts w:hint="eastAsia" w:ascii="宋体" w:hAnsi="宋体" w:cs="Times New Roman"/>
                <w:color w:val="000000"/>
                <w:sz w:val="24"/>
                <w:highlight w:val="none"/>
                <w:lang w:val="en-US" w:eastAsia="zh-CN"/>
              </w:rPr>
              <w:t>2：</w:t>
            </w:r>
          </w:p>
          <w:p w14:paraId="07715826">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场地平整：项目结束后，将临时用地范围场地就地推平平整，平整厚度20cm，地形坡度约3°。禁止形成局部凸起或凹陷，与周边地貌相协调。复垦后，土地类型为裸岩石砾地和盐田及采矿用地。</w:t>
            </w:r>
          </w:p>
          <w:p w14:paraId="2E79B20B">
            <w:pPr>
              <w:keepNext w:val="0"/>
              <w:keepLines w:val="0"/>
              <w:suppressLineNumbers w:val="0"/>
              <w:spacing w:before="0" w:beforeAutospacing="0" w:after="0" w:afterAutospacing="0" w:line="360" w:lineRule="auto"/>
              <w:ind w:left="0" w:right="0" w:firstLine="482" w:firstLineChars="200"/>
              <w:rPr>
                <w:rFonts w:hint="default" w:ascii="宋体" w:hAnsi="宋体" w:eastAsia="宋体" w:cs="Times New Roman"/>
                <w:b/>
                <w:bCs/>
                <w:color w:val="000000"/>
                <w:sz w:val="24"/>
                <w:highlight w:val="none"/>
                <w:lang w:val="en-US" w:eastAsia="zh-CN"/>
              </w:rPr>
            </w:pPr>
            <w:r>
              <w:rPr>
                <w:rFonts w:hint="eastAsia" w:ascii="宋体" w:hAnsi="宋体" w:eastAsia="宋体" w:cs="Times New Roman"/>
                <w:b/>
                <w:bCs/>
                <w:color w:val="000000"/>
                <w:sz w:val="24"/>
                <w:highlight w:val="none"/>
                <w:lang w:val="en-US" w:eastAsia="zh-CN"/>
              </w:rPr>
              <w:t>5.2预防控制措施</w:t>
            </w:r>
          </w:p>
          <w:p w14:paraId="541397C6">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按照“统一规划、控制源头、防复结合”的原则，根据项目特点、生产方式与工艺等，针对本项目临时用地土地复垦区土地的损毁形式采取预防控制措施。</w:t>
            </w:r>
          </w:p>
          <w:p w14:paraId="578B328E">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1）要对临时用地各功能分区设置标识牌，加强施工期间的组织管理，禁止施工人员到非项目区域活动；</w:t>
            </w:r>
          </w:p>
          <w:p w14:paraId="23C74D07">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2）施工过程中产生的生产、生活垃圾严禁乱堆、乱扔，应放置在指定地点，集中处理，以免污染环境。</w:t>
            </w:r>
          </w:p>
          <w:p w14:paraId="18C47ACD">
            <w:pPr>
              <w:keepNext w:val="0"/>
              <w:keepLines w:val="0"/>
              <w:suppressLineNumbers w:val="0"/>
              <w:spacing w:before="0" w:beforeAutospacing="0" w:after="0" w:afterAutospacing="0" w:line="360" w:lineRule="auto"/>
              <w:ind w:left="0" w:right="0" w:firstLine="482" w:firstLineChars="200"/>
              <w:rPr>
                <w:rFonts w:hint="eastAsia" w:ascii="宋体" w:hAnsi="宋体" w:eastAsia="宋体" w:cs="Times New Roman"/>
                <w:color w:val="000000"/>
                <w:sz w:val="24"/>
                <w:highlight w:val="none"/>
                <w:lang w:eastAsia="zh-CN"/>
              </w:rPr>
            </w:pPr>
            <w:r>
              <w:rPr>
                <w:rFonts w:hint="eastAsia" w:ascii="宋体" w:hAnsi="宋体" w:eastAsia="宋体" w:cs="Times New Roman"/>
                <w:b/>
                <w:bCs/>
                <w:color w:val="000000"/>
                <w:sz w:val="24"/>
                <w:highlight w:val="none"/>
                <w:lang w:val="en-US" w:eastAsia="zh-CN"/>
              </w:rPr>
              <w:t>5.3</w:t>
            </w:r>
            <w:r>
              <w:rPr>
                <w:rFonts w:ascii="宋体" w:hAnsi="宋体" w:eastAsia="宋体" w:cs="Times New Roman"/>
                <w:b/>
                <w:bCs/>
                <w:color w:val="000000"/>
                <w:sz w:val="24"/>
                <w:highlight w:val="none"/>
              </w:rPr>
              <w:t>复垦</w:t>
            </w:r>
            <w:r>
              <w:rPr>
                <w:rFonts w:hint="eastAsia" w:ascii="宋体" w:hAnsi="宋体" w:eastAsia="宋体" w:cs="Times New Roman"/>
                <w:b/>
                <w:bCs/>
                <w:color w:val="000000"/>
                <w:sz w:val="24"/>
                <w:highlight w:val="none"/>
                <w:lang w:val="en-US" w:eastAsia="zh-CN"/>
              </w:rPr>
              <w:t>措施</w:t>
            </w:r>
          </w:p>
          <w:p w14:paraId="0A5FBFDD">
            <w:pPr>
              <w:keepNext w:val="0"/>
              <w:keepLines w:val="0"/>
              <w:suppressLineNumbers w:val="0"/>
              <w:spacing w:before="0" w:beforeAutospacing="0" w:after="0" w:afterAutospacing="0" w:line="360" w:lineRule="auto"/>
              <w:ind w:left="0" w:right="0" w:firstLine="482" w:firstLineChars="200"/>
              <w:rPr>
                <w:rFonts w:hint="default" w:ascii="宋体" w:hAnsi="宋体" w:eastAsia="宋体" w:cs="Times New Roman"/>
                <w:b/>
                <w:bCs/>
                <w:color w:val="000000"/>
                <w:sz w:val="24"/>
                <w:highlight w:val="none"/>
                <w:lang w:val="en-US" w:eastAsia="zh-CN"/>
              </w:rPr>
            </w:pPr>
            <w:r>
              <w:rPr>
                <w:rFonts w:hint="eastAsia" w:ascii="宋体" w:hAnsi="宋体" w:eastAsia="宋体" w:cs="Times New Roman"/>
                <w:b/>
                <w:bCs/>
                <w:color w:val="000000"/>
                <w:sz w:val="24"/>
                <w:highlight w:val="none"/>
                <w:lang w:val="en-US" w:eastAsia="zh-CN"/>
              </w:rPr>
              <w:t>5.3.1工程技术措施</w:t>
            </w:r>
          </w:p>
          <w:p w14:paraId="0AFF9CF4">
            <w:pPr>
              <w:keepNext w:val="0"/>
              <w:keepLines w:val="0"/>
              <w:suppressLineNumbers w:val="0"/>
              <w:spacing w:before="0" w:beforeAutospacing="0" w:after="0" w:afterAutospacing="0" w:line="360" w:lineRule="auto"/>
              <w:ind w:left="0" w:right="0" w:firstLine="482"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b/>
                <w:bCs/>
                <w:color w:val="000000"/>
                <w:sz w:val="24"/>
                <w:highlight w:val="none"/>
                <w:lang w:val="en-US" w:eastAsia="zh-CN"/>
              </w:rPr>
              <w:t>5.3.1.1</w:t>
            </w:r>
            <w:r>
              <w:rPr>
                <w:rFonts w:hint="eastAsia" w:ascii="宋体" w:hAnsi="宋体" w:eastAsia="宋体" w:cs="Times New Roman"/>
                <w:b/>
                <w:bCs/>
                <w:color w:val="000000"/>
                <w:sz w:val="24"/>
                <w:highlight w:val="none"/>
              </w:rPr>
              <w:t>土地复垦</w:t>
            </w:r>
            <w:r>
              <w:rPr>
                <w:rFonts w:hint="eastAsia" w:ascii="宋体" w:hAnsi="宋体" w:eastAsia="宋体" w:cs="Times New Roman"/>
                <w:b/>
                <w:bCs/>
                <w:color w:val="000000"/>
                <w:sz w:val="24"/>
                <w:highlight w:val="none"/>
                <w:lang w:val="en-US" w:eastAsia="zh-CN"/>
              </w:rPr>
              <w:t>措施</w:t>
            </w:r>
          </w:p>
          <w:p w14:paraId="27988539">
            <w:pPr>
              <w:keepNext w:val="0"/>
              <w:keepLines w:val="0"/>
              <w:suppressLineNumbers w:val="0"/>
              <w:spacing w:before="0" w:beforeAutospacing="0" w:after="0" w:afterAutospacing="0" w:line="360" w:lineRule="auto"/>
              <w:ind w:left="0" w:right="0" w:firstLine="460" w:firstLineChars="192"/>
              <w:rPr>
                <w:rFonts w:hint="default"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制梁场</w:t>
            </w:r>
            <w:r>
              <w:rPr>
                <w:rFonts w:hint="eastAsia" w:ascii="宋体" w:hAnsi="宋体" w:cs="Times New Roman"/>
                <w:color w:val="000000"/>
                <w:sz w:val="24"/>
                <w:highlight w:val="none"/>
                <w:lang w:val="en-US" w:eastAsia="zh-CN"/>
              </w:rPr>
              <w:t>1：</w:t>
            </w:r>
          </w:p>
          <w:p w14:paraId="789BFB1E">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场地平整：项目结束后，采用74KW推土机，将临时用地范围场地就地推平平整，推土距离</w:t>
            </w:r>
            <w:r>
              <w:rPr>
                <w:rFonts w:hint="eastAsia" w:ascii="宋体" w:hAnsi="宋体" w:cs="Times New Roman"/>
                <w:color w:val="000000"/>
                <w:sz w:val="24"/>
                <w:highlight w:val="none"/>
                <w:lang w:val="en-US" w:eastAsia="zh-CN"/>
              </w:rPr>
              <w:t>1</w:t>
            </w:r>
            <w:r>
              <w:rPr>
                <w:rFonts w:hint="eastAsia" w:ascii="宋体" w:hAnsi="宋体" w:eastAsia="宋体" w:cs="Times New Roman"/>
                <w:color w:val="000000"/>
                <w:sz w:val="24"/>
                <w:highlight w:val="none"/>
                <w:lang w:val="en-US" w:eastAsia="zh-CN"/>
              </w:rPr>
              <w:t>0～</w:t>
            </w:r>
            <w:r>
              <w:rPr>
                <w:rFonts w:hint="eastAsia" w:ascii="宋体" w:hAnsi="宋体" w:cs="Times New Roman"/>
                <w:color w:val="000000"/>
                <w:sz w:val="24"/>
                <w:highlight w:val="none"/>
                <w:lang w:val="en-US" w:eastAsia="zh-CN"/>
              </w:rPr>
              <w:t>2</w:t>
            </w:r>
            <w:r>
              <w:rPr>
                <w:rFonts w:hint="eastAsia" w:ascii="宋体" w:hAnsi="宋体" w:eastAsia="宋体" w:cs="Times New Roman"/>
                <w:color w:val="000000"/>
                <w:sz w:val="24"/>
                <w:highlight w:val="none"/>
                <w:lang w:val="en-US" w:eastAsia="zh-CN"/>
              </w:rPr>
              <w:t>0m,平整厚度20cm，地形坡度约3°。禁止形成局部凸起或凹陷，与周边地貌相协调。复垦后，土地类型为裸岩石砾地。</w:t>
            </w:r>
          </w:p>
          <w:p w14:paraId="02614591">
            <w:pPr>
              <w:keepNext w:val="0"/>
              <w:keepLines w:val="0"/>
              <w:suppressLineNumbers w:val="0"/>
              <w:spacing w:before="0" w:beforeAutospacing="0" w:after="0" w:afterAutospacing="0" w:line="360" w:lineRule="auto"/>
              <w:ind w:left="0" w:right="0" w:firstLine="460" w:firstLineChars="192"/>
              <w:rPr>
                <w:rFonts w:hint="default"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制梁场</w:t>
            </w:r>
            <w:r>
              <w:rPr>
                <w:rFonts w:hint="eastAsia" w:ascii="宋体" w:hAnsi="宋体" w:cs="Times New Roman"/>
                <w:color w:val="000000"/>
                <w:sz w:val="24"/>
                <w:highlight w:val="none"/>
                <w:lang w:val="en-US" w:eastAsia="zh-CN"/>
              </w:rPr>
              <w:t>2：</w:t>
            </w:r>
          </w:p>
          <w:p w14:paraId="0C69666B">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场地平整：项目结束后，采用74KW推土机，将临时用地范围场地就地推平平整，推土距离</w:t>
            </w:r>
            <w:r>
              <w:rPr>
                <w:rFonts w:hint="eastAsia" w:ascii="宋体" w:hAnsi="宋体" w:cs="Times New Roman"/>
                <w:color w:val="000000"/>
                <w:sz w:val="24"/>
                <w:highlight w:val="none"/>
                <w:lang w:val="en-US" w:eastAsia="zh-CN"/>
              </w:rPr>
              <w:t>1</w:t>
            </w:r>
            <w:r>
              <w:rPr>
                <w:rFonts w:hint="eastAsia" w:ascii="宋体" w:hAnsi="宋体" w:eastAsia="宋体" w:cs="Times New Roman"/>
                <w:color w:val="000000"/>
                <w:sz w:val="24"/>
                <w:highlight w:val="none"/>
                <w:lang w:val="en-US" w:eastAsia="zh-CN"/>
              </w:rPr>
              <w:t>0～</w:t>
            </w:r>
            <w:r>
              <w:rPr>
                <w:rFonts w:hint="eastAsia" w:ascii="宋体" w:hAnsi="宋体" w:cs="Times New Roman"/>
                <w:color w:val="000000"/>
                <w:sz w:val="24"/>
                <w:highlight w:val="none"/>
                <w:lang w:val="en-US" w:eastAsia="zh-CN"/>
              </w:rPr>
              <w:t>2</w:t>
            </w:r>
            <w:r>
              <w:rPr>
                <w:rFonts w:hint="eastAsia" w:ascii="宋体" w:hAnsi="宋体" w:eastAsia="宋体" w:cs="Times New Roman"/>
                <w:color w:val="000000"/>
                <w:sz w:val="24"/>
                <w:highlight w:val="none"/>
                <w:lang w:val="en-US" w:eastAsia="zh-CN"/>
              </w:rPr>
              <w:t>0m,平整厚度20cm，地形坡度约3°。禁止形成局部凸起或凹陷，与周边地貌相协调。复垦后，土地类型为盐田及采矿用地。</w:t>
            </w:r>
          </w:p>
          <w:p w14:paraId="6A2F69F1">
            <w:pPr>
              <w:keepNext w:val="0"/>
              <w:keepLines w:val="0"/>
              <w:suppressLineNumbers w:val="0"/>
              <w:spacing w:before="0" w:beforeAutospacing="0" w:after="0" w:afterAutospacing="0" w:line="360" w:lineRule="auto"/>
              <w:ind w:left="0" w:right="0" w:firstLine="460" w:firstLineChars="192"/>
              <w:rPr>
                <w:rFonts w:hint="default"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材料堆场</w:t>
            </w:r>
            <w:r>
              <w:rPr>
                <w:rFonts w:hint="eastAsia" w:ascii="宋体" w:hAnsi="宋体" w:cs="Times New Roman"/>
                <w:color w:val="000000"/>
                <w:sz w:val="24"/>
                <w:highlight w:val="none"/>
                <w:lang w:val="en-US" w:eastAsia="zh-CN"/>
              </w:rPr>
              <w:t>1：</w:t>
            </w:r>
          </w:p>
          <w:p w14:paraId="1D9C3ADB">
            <w:pPr>
              <w:keepNext w:val="0"/>
              <w:keepLines w:val="0"/>
              <w:widowControl/>
              <w:numPr>
                <w:ilvl w:val="0"/>
                <w:numId w:val="3"/>
              </w:numPr>
              <w:suppressLineNumbers w:val="0"/>
              <w:pBdr>
                <w:left w:val="none" w:color="auto" w:sz="0" w:space="0"/>
              </w:pBdr>
              <w:spacing w:before="120" w:beforeAutospacing="0" w:after="0" w:afterAutospacing="1"/>
              <w:ind w:left="720" w:right="0" w:hanging="360"/>
              <w:jc w:val="left"/>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硬化拆除：项目结束后，项目单位自行将设备材料运出场外，采用斗容1m³的油动单斗挖掘机拆除场地硬化应将混凝土破碎成较小的块状。理想情况下，混凝土块的最大边长不宜超过 50 - 80 厘米，这样便于后续的清理和运输。对于一些较厚的混凝土层（例如厚度超过 30 厘米），可以分层破碎，先将上层破碎到合适大小，再处理下层。确保混凝土结构被完全破坏，不存在大面积（如超过 1 平方米）的连续混凝土板，因为这种连续的板块会影响后续土地复垦过程中的土地平整和土壤改良工作。</w:t>
            </w:r>
          </w:p>
          <w:p w14:paraId="21D42B33">
            <w:pPr>
              <w:keepNext w:val="0"/>
              <w:keepLines w:val="0"/>
              <w:widowControl/>
              <w:numPr>
                <w:ilvl w:val="0"/>
                <w:numId w:val="3"/>
              </w:numPr>
              <w:suppressLineNumbers w:val="0"/>
              <w:pBdr>
                <w:left w:val="none" w:color="auto" w:sz="0" w:space="0"/>
              </w:pBdr>
              <w:spacing w:before="120" w:beforeAutospacing="0" w:after="0" w:afterAutospacing="1"/>
              <w:ind w:left="720" w:right="0" w:hanging="360"/>
              <w:jc w:val="left"/>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垃圾清运：</w:t>
            </w:r>
            <w:r>
              <w:rPr>
                <w:rFonts w:hint="eastAsia" w:ascii="宋体" w:hAnsi="宋体" w:eastAsia="宋体" w:cs="Times New Roman"/>
                <w:color w:val="000000"/>
                <w:sz w:val="24"/>
                <w:highlight w:val="none"/>
                <w:lang w:val="en-US" w:eastAsia="zh-CN"/>
              </w:rPr>
              <w:t>采用</w:t>
            </w:r>
            <w:r>
              <w:rPr>
                <w:rFonts w:hint="eastAsia" w:ascii="宋体" w:hAnsi="宋体" w:cs="Times New Roman"/>
                <w:color w:val="000000"/>
                <w:sz w:val="24"/>
                <w:highlight w:val="none"/>
                <w:lang w:val="en-US" w:eastAsia="zh-CN"/>
              </w:rPr>
              <w:t>1</w:t>
            </w:r>
            <w:r>
              <w:rPr>
                <w:rFonts w:hint="eastAsia" w:ascii="宋体" w:hAnsi="宋体" w:eastAsia="宋体" w:cs="Times New Roman"/>
                <w:color w:val="000000"/>
                <w:sz w:val="24"/>
                <w:highlight w:val="none"/>
                <w:lang w:val="en-US" w:eastAsia="zh-CN"/>
              </w:rPr>
              <w:t>m³柴油</w:t>
            </w:r>
            <w:r>
              <w:rPr>
                <w:rFonts w:hint="eastAsia" w:ascii="宋体" w:hAnsi="宋体" w:cs="Times New Roman"/>
                <w:color w:val="000000"/>
                <w:sz w:val="24"/>
                <w:highlight w:val="none"/>
                <w:lang w:val="en-US" w:eastAsia="zh-CN"/>
              </w:rPr>
              <w:t>挖</w:t>
            </w:r>
            <w:r>
              <w:rPr>
                <w:rFonts w:hint="eastAsia" w:ascii="宋体" w:hAnsi="宋体" w:eastAsia="宋体" w:cs="Times New Roman"/>
                <w:color w:val="000000"/>
                <w:sz w:val="24"/>
                <w:highlight w:val="none"/>
                <w:lang w:val="en-US" w:eastAsia="zh-CN"/>
              </w:rPr>
              <w:t>机装建筑垃圾，载重</w:t>
            </w:r>
            <w:r>
              <w:rPr>
                <w:rFonts w:hint="eastAsia" w:ascii="宋体" w:hAnsi="宋体" w:cs="Times New Roman"/>
                <w:color w:val="000000"/>
                <w:sz w:val="24"/>
                <w:highlight w:val="none"/>
                <w:lang w:val="en-US" w:eastAsia="zh-CN"/>
              </w:rPr>
              <w:t>8</w:t>
            </w:r>
            <w:r>
              <w:rPr>
                <w:rFonts w:hint="eastAsia" w:ascii="宋体" w:hAnsi="宋体" w:eastAsia="宋体" w:cs="Times New Roman"/>
                <w:color w:val="000000"/>
                <w:sz w:val="24"/>
                <w:highlight w:val="none"/>
                <w:lang w:val="en-US" w:eastAsia="zh-CN"/>
              </w:rPr>
              <w:t>t的柴油自卸汽车</w:t>
            </w:r>
            <w:r>
              <w:rPr>
                <w:rFonts w:hint="eastAsia" w:ascii="宋体" w:hAnsi="宋体"/>
                <w:color w:val="000000"/>
                <w:sz w:val="24"/>
                <w:highlight w:val="none"/>
                <w:lang w:val="en-US" w:eastAsia="zh-CN"/>
              </w:rPr>
              <w:t>将建筑垃圾拉运至三塘湖镇垃圾集中处置场所进行处置，运距约10公里，处置要符合环评相关要求。</w:t>
            </w:r>
          </w:p>
          <w:p w14:paraId="5AA3C5DF">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场地平整：垃圾清运后，采用74KW推土机，将临时用地范围场地就地推平平整，推土距离</w:t>
            </w:r>
            <w:r>
              <w:rPr>
                <w:rFonts w:hint="eastAsia" w:ascii="宋体" w:hAnsi="宋体" w:cs="Times New Roman"/>
                <w:color w:val="000000"/>
                <w:sz w:val="24"/>
                <w:highlight w:val="none"/>
                <w:lang w:val="en-US" w:eastAsia="zh-CN"/>
              </w:rPr>
              <w:t>1</w:t>
            </w:r>
            <w:r>
              <w:rPr>
                <w:rFonts w:hint="eastAsia" w:ascii="宋体" w:hAnsi="宋体" w:eastAsia="宋体" w:cs="Times New Roman"/>
                <w:color w:val="000000"/>
                <w:sz w:val="24"/>
                <w:highlight w:val="none"/>
                <w:lang w:val="en-US" w:eastAsia="zh-CN"/>
              </w:rPr>
              <w:t>0～</w:t>
            </w:r>
            <w:r>
              <w:rPr>
                <w:rFonts w:hint="eastAsia" w:ascii="宋体" w:hAnsi="宋体" w:cs="Times New Roman"/>
                <w:color w:val="000000"/>
                <w:sz w:val="24"/>
                <w:highlight w:val="none"/>
                <w:lang w:val="en-US" w:eastAsia="zh-CN"/>
              </w:rPr>
              <w:t>2</w:t>
            </w:r>
            <w:r>
              <w:rPr>
                <w:rFonts w:hint="eastAsia" w:ascii="宋体" w:hAnsi="宋体" w:eastAsia="宋体" w:cs="Times New Roman"/>
                <w:color w:val="000000"/>
                <w:sz w:val="24"/>
                <w:highlight w:val="none"/>
                <w:lang w:val="en-US" w:eastAsia="zh-CN"/>
              </w:rPr>
              <w:t>0m,平整厚度20cm，地形坡度约3°。禁止形成局部凸起或凹陷，与周边地貌相协调。复垦后，土地类型为裸岩石砾地。</w:t>
            </w:r>
          </w:p>
          <w:p w14:paraId="03137187">
            <w:pPr>
              <w:keepNext w:val="0"/>
              <w:keepLines w:val="0"/>
              <w:suppressLineNumbers w:val="0"/>
              <w:spacing w:before="0" w:beforeAutospacing="0" w:after="0" w:afterAutospacing="0" w:line="360" w:lineRule="auto"/>
              <w:ind w:left="0" w:right="0" w:firstLine="460" w:firstLineChars="192"/>
              <w:rPr>
                <w:rFonts w:hint="default"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材料堆场</w:t>
            </w:r>
            <w:r>
              <w:rPr>
                <w:rFonts w:hint="eastAsia" w:ascii="宋体" w:hAnsi="宋体" w:cs="Times New Roman"/>
                <w:color w:val="000000"/>
                <w:sz w:val="24"/>
                <w:highlight w:val="none"/>
                <w:lang w:val="en-US" w:eastAsia="zh-CN"/>
              </w:rPr>
              <w:t>2：</w:t>
            </w:r>
          </w:p>
          <w:p w14:paraId="279E8564">
            <w:pPr>
              <w:keepNext w:val="0"/>
              <w:keepLines w:val="0"/>
              <w:suppressLineNumbers w:val="0"/>
              <w:spacing w:before="0" w:beforeAutospacing="0" w:after="0" w:afterAutospacing="0" w:line="440" w:lineRule="exact"/>
              <w:ind w:left="0" w:right="0" w:firstLine="480" w:firstLineChars="200"/>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硬化拆除：项目结束后，项目单位自行将设备材料运出场外，</w:t>
            </w:r>
            <w:r>
              <w:rPr>
                <w:rFonts w:hint="eastAsia" w:ascii="宋体" w:hAnsi="宋体" w:eastAsia="宋体" w:cs="Times New Roman"/>
                <w:color w:val="000000"/>
                <w:sz w:val="24"/>
                <w:highlight w:val="none"/>
                <w:lang w:val="en-US" w:eastAsia="zh-CN"/>
              </w:rPr>
              <w:t>采用斗容1m³的油动单斗挖掘机</w:t>
            </w:r>
            <w:r>
              <w:rPr>
                <w:rFonts w:hint="eastAsia" w:ascii="宋体" w:hAnsi="宋体"/>
                <w:color w:val="000000"/>
                <w:sz w:val="24"/>
                <w:highlight w:val="none"/>
                <w:lang w:val="en-US" w:eastAsia="zh-CN"/>
              </w:rPr>
              <w:t>拆除</w:t>
            </w:r>
            <w:r>
              <w:rPr>
                <w:rFonts w:hint="eastAsia" w:ascii="宋体" w:hAnsi="宋体" w:eastAsia="宋体" w:cs="Times New Roman"/>
                <w:color w:val="000000"/>
                <w:sz w:val="24"/>
                <w:highlight w:val="none"/>
                <w:lang w:val="en-US" w:eastAsia="zh-CN"/>
              </w:rPr>
              <w:t>项目结束后，项目单位自行将设备材料运出场外，采用斗容1m³的油动单斗挖掘机拆除场地硬化应将混凝土破碎成较小的块状。理想情况下，混凝土块的最大边长不宜超过 50 - 80 厘米，这样便于后续的清理和运输。对于一些较厚的混凝土层（例如厚度超过 30 厘米），可以分层破碎，先将上层破碎到合适大小，再处理下层。确保混凝土结构被完全破坏，不存在大面积（如超过 1 平方米）的连续混凝土板，因为这种连续的板块会影响后续土地复垦过程中的土地平整和土壤改良工作</w:t>
            </w:r>
            <w:r>
              <w:rPr>
                <w:rFonts w:hint="eastAsia" w:ascii="宋体" w:hAnsi="宋体"/>
                <w:color w:val="000000"/>
                <w:sz w:val="24"/>
                <w:highlight w:val="none"/>
                <w:lang w:val="en-US" w:eastAsia="zh-CN"/>
              </w:rPr>
              <w:t>。</w:t>
            </w:r>
          </w:p>
          <w:p w14:paraId="0CF54154">
            <w:pPr>
              <w:keepNext w:val="0"/>
              <w:keepLines w:val="0"/>
              <w:suppressLineNumbers w:val="0"/>
              <w:spacing w:before="0" w:beforeAutospacing="0" w:after="0" w:afterAutospacing="0" w:line="440" w:lineRule="exact"/>
              <w:ind w:left="0" w:right="0" w:firstLine="480" w:firstLineChars="200"/>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垃圾清运：</w:t>
            </w:r>
            <w:r>
              <w:rPr>
                <w:rFonts w:hint="eastAsia" w:ascii="宋体" w:hAnsi="宋体" w:eastAsia="宋体" w:cs="Times New Roman"/>
                <w:color w:val="000000"/>
                <w:sz w:val="24"/>
                <w:highlight w:val="none"/>
                <w:lang w:val="en-US" w:eastAsia="zh-CN"/>
              </w:rPr>
              <w:t>采用</w:t>
            </w:r>
            <w:r>
              <w:rPr>
                <w:rFonts w:hint="eastAsia" w:ascii="宋体" w:hAnsi="宋体" w:cs="Times New Roman"/>
                <w:color w:val="000000"/>
                <w:sz w:val="24"/>
                <w:highlight w:val="none"/>
                <w:lang w:val="en-US" w:eastAsia="zh-CN"/>
              </w:rPr>
              <w:t>1</w:t>
            </w:r>
            <w:r>
              <w:rPr>
                <w:rFonts w:hint="eastAsia" w:ascii="宋体" w:hAnsi="宋体" w:eastAsia="宋体" w:cs="Times New Roman"/>
                <w:color w:val="000000"/>
                <w:sz w:val="24"/>
                <w:highlight w:val="none"/>
                <w:lang w:val="en-US" w:eastAsia="zh-CN"/>
              </w:rPr>
              <w:t>m³柴油</w:t>
            </w:r>
            <w:r>
              <w:rPr>
                <w:rFonts w:hint="eastAsia" w:ascii="宋体" w:hAnsi="宋体" w:cs="Times New Roman"/>
                <w:color w:val="000000"/>
                <w:sz w:val="24"/>
                <w:highlight w:val="none"/>
                <w:lang w:val="en-US" w:eastAsia="zh-CN"/>
              </w:rPr>
              <w:t>挖</w:t>
            </w:r>
            <w:r>
              <w:rPr>
                <w:rFonts w:hint="eastAsia" w:ascii="宋体" w:hAnsi="宋体" w:eastAsia="宋体" w:cs="Times New Roman"/>
                <w:color w:val="000000"/>
                <w:sz w:val="24"/>
                <w:highlight w:val="none"/>
                <w:lang w:val="en-US" w:eastAsia="zh-CN"/>
              </w:rPr>
              <w:t>机装建筑垃圾，载重</w:t>
            </w:r>
            <w:r>
              <w:rPr>
                <w:rFonts w:hint="eastAsia" w:ascii="宋体" w:hAnsi="宋体" w:cs="Times New Roman"/>
                <w:color w:val="000000"/>
                <w:sz w:val="24"/>
                <w:highlight w:val="none"/>
                <w:lang w:val="en-US" w:eastAsia="zh-CN"/>
              </w:rPr>
              <w:t>8</w:t>
            </w:r>
            <w:r>
              <w:rPr>
                <w:rFonts w:hint="eastAsia" w:ascii="宋体" w:hAnsi="宋体" w:eastAsia="宋体" w:cs="Times New Roman"/>
                <w:color w:val="000000"/>
                <w:sz w:val="24"/>
                <w:highlight w:val="none"/>
                <w:lang w:val="en-US" w:eastAsia="zh-CN"/>
              </w:rPr>
              <w:t>t的柴油自卸汽车</w:t>
            </w:r>
            <w:r>
              <w:rPr>
                <w:rFonts w:hint="eastAsia" w:ascii="宋体" w:hAnsi="宋体"/>
                <w:color w:val="000000"/>
                <w:sz w:val="24"/>
                <w:highlight w:val="none"/>
                <w:lang w:val="en-US" w:eastAsia="zh-CN"/>
              </w:rPr>
              <w:t>将建筑垃圾拉运至三塘湖镇垃圾集中处置场所进行处置，运距约10公里，处置要符合环评相关要求。</w:t>
            </w:r>
          </w:p>
          <w:p w14:paraId="2C898253">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场地平整：垃圾清运后，采用74KW推土机，将临时用地范围场地就地推平平整，推土距离</w:t>
            </w:r>
            <w:r>
              <w:rPr>
                <w:rFonts w:hint="eastAsia" w:ascii="宋体" w:hAnsi="宋体" w:cs="Times New Roman"/>
                <w:color w:val="000000"/>
                <w:sz w:val="24"/>
                <w:highlight w:val="none"/>
                <w:lang w:val="en-US" w:eastAsia="zh-CN"/>
              </w:rPr>
              <w:t>1</w:t>
            </w:r>
            <w:r>
              <w:rPr>
                <w:rFonts w:hint="eastAsia" w:ascii="宋体" w:hAnsi="宋体" w:eastAsia="宋体" w:cs="Times New Roman"/>
                <w:color w:val="000000"/>
                <w:sz w:val="24"/>
                <w:highlight w:val="none"/>
                <w:lang w:val="en-US" w:eastAsia="zh-CN"/>
              </w:rPr>
              <w:t>0～</w:t>
            </w:r>
            <w:r>
              <w:rPr>
                <w:rFonts w:hint="eastAsia" w:ascii="宋体" w:hAnsi="宋体" w:cs="Times New Roman"/>
                <w:color w:val="000000"/>
                <w:sz w:val="24"/>
                <w:highlight w:val="none"/>
                <w:lang w:val="en-US" w:eastAsia="zh-CN"/>
              </w:rPr>
              <w:t>2</w:t>
            </w:r>
            <w:r>
              <w:rPr>
                <w:rFonts w:hint="eastAsia" w:ascii="宋体" w:hAnsi="宋体" w:eastAsia="宋体" w:cs="Times New Roman"/>
                <w:color w:val="000000"/>
                <w:sz w:val="24"/>
                <w:highlight w:val="none"/>
                <w:lang w:val="en-US" w:eastAsia="zh-CN"/>
              </w:rPr>
              <w:t>0m,平整厚度20cm，地形坡度约3°。禁止形成局部凸起或凹陷，与周边地貌相协调。复垦后，土地类型为裸岩石砾地和盐田及采矿用地。</w:t>
            </w:r>
          </w:p>
          <w:p w14:paraId="3B826E0B">
            <w:pPr>
              <w:keepNext w:val="0"/>
              <w:keepLines w:val="0"/>
              <w:suppressLineNumbers w:val="0"/>
              <w:spacing w:before="0" w:beforeAutospacing="0" w:after="0" w:afterAutospacing="0" w:line="360" w:lineRule="auto"/>
              <w:ind w:left="0" w:right="0" w:firstLine="460" w:firstLineChars="192"/>
              <w:rPr>
                <w:rFonts w:hint="default"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钢筋加工厂</w:t>
            </w:r>
            <w:r>
              <w:rPr>
                <w:rFonts w:hint="eastAsia" w:ascii="宋体" w:hAnsi="宋体" w:cs="Times New Roman"/>
                <w:color w:val="000000"/>
                <w:sz w:val="24"/>
                <w:highlight w:val="none"/>
                <w:lang w:val="en-US" w:eastAsia="zh-CN"/>
              </w:rPr>
              <w:t>1：</w:t>
            </w:r>
          </w:p>
          <w:p w14:paraId="1A9B0FC7">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场地平整：项目结束后，采用74KW推土机，将临时用地范围场地就地推平平整，推土距离</w:t>
            </w:r>
            <w:r>
              <w:rPr>
                <w:rFonts w:hint="eastAsia" w:ascii="宋体" w:hAnsi="宋体" w:cs="Times New Roman"/>
                <w:color w:val="000000"/>
                <w:sz w:val="24"/>
                <w:highlight w:val="none"/>
                <w:lang w:val="en-US" w:eastAsia="zh-CN"/>
              </w:rPr>
              <w:t>1</w:t>
            </w:r>
            <w:r>
              <w:rPr>
                <w:rFonts w:hint="eastAsia" w:ascii="宋体" w:hAnsi="宋体" w:eastAsia="宋体" w:cs="Times New Roman"/>
                <w:color w:val="000000"/>
                <w:sz w:val="24"/>
                <w:highlight w:val="none"/>
                <w:lang w:val="en-US" w:eastAsia="zh-CN"/>
              </w:rPr>
              <w:t>0～</w:t>
            </w:r>
            <w:r>
              <w:rPr>
                <w:rFonts w:hint="eastAsia" w:ascii="宋体" w:hAnsi="宋体" w:cs="Times New Roman"/>
                <w:color w:val="000000"/>
                <w:sz w:val="24"/>
                <w:highlight w:val="none"/>
                <w:lang w:val="en-US" w:eastAsia="zh-CN"/>
              </w:rPr>
              <w:t>2</w:t>
            </w:r>
            <w:r>
              <w:rPr>
                <w:rFonts w:hint="eastAsia" w:ascii="宋体" w:hAnsi="宋体" w:eastAsia="宋体" w:cs="Times New Roman"/>
                <w:color w:val="000000"/>
                <w:sz w:val="24"/>
                <w:highlight w:val="none"/>
                <w:lang w:val="en-US" w:eastAsia="zh-CN"/>
              </w:rPr>
              <w:t>0m,平整厚度20cm，地形坡度约3°。禁止形成局部凸起或凹陷，与周边地貌相协调。复垦后，土地类型为裸岩石砾地。</w:t>
            </w:r>
          </w:p>
          <w:p w14:paraId="570670AA">
            <w:pPr>
              <w:keepNext w:val="0"/>
              <w:keepLines w:val="0"/>
              <w:suppressLineNumbers w:val="0"/>
              <w:spacing w:before="0" w:beforeAutospacing="0" w:after="0" w:afterAutospacing="0" w:line="360" w:lineRule="auto"/>
              <w:ind w:left="0" w:right="0" w:firstLine="460" w:firstLineChars="192"/>
              <w:rPr>
                <w:rFonts w:hint="default"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钢筋加工厂</w:t>
            </w:r>
            <w:r>
              <w:rPr>
                <w:rFonts w:hint="eastAsia" w:ascii="宋体" w:hAnsi="宋体" w:cs="Times New Roman"/>
                <w:color w:val="000000"/>
                <w:sz w:val="24"/>
                <w:highlight w:val="none"/>
                <w:lang w:val="en-US" w:eastAsia="zh-CN"/>
              </w:rPr>
              <w:t>2：</w:t>
            </w:r>
          </w:p>
          <w:p w14:paraId="5C0DED8C">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场地平整：项目结束后，采用74KW推土机，将临时用地范围场地就地推平平整，推土距离</w:t>
            </w:r>
            <w:r>
              <w:rPr>
                <w:rFonts w:hint="eastAsia" w:ascii="宋体" w:hAnsi="宋体" w:cs="Times New Roman"/>
                <w:color w:val="000000"/>
                <w:sz w:val="24"/>
                <w:highlight w:val="none"/>
                <w:lang w:val="en-US" w:eastAsia="zh-CN"/>
              </w:rPr>
              <w:t>1</w:t>
            </w:r>
            <w:r>
              <w:rPr>
                <w:rFonts w:hint="eastAsia" w:ascii="宋体" w:hAnsi="宋体" w:eastAsia="宋体" w:cs="Times New Roman"/>
                <w:color w:val="000000"/>
                <w:sz w:val="24"/>
                <w:highlight w:val="none"/>
                <w:lang w:val="en-US" w:eastAsia="zh-CN"/>
              </w:rPr>
              <w:t>0～</w:t>
            </w:r>
            <w:r>
              <w:rPr>
                <w:rFonts w:hint="eastAsia" w:ascii="宋体" w:hAnsi="宋体" w:cs="Times New Roman"/>
                <w:color w:val="000000"/>
                <w:sz w:val="24"/>
                <w:highlight w:val="none"/>
                <w:lang w:val="en-US" w:eastAsia="zh-CN"/>
              </w:rPr>
              <w:t>2</w:t>
            </w:r>
            <w:r>
              <w:rPr>
                <w:rFonts w:hint="eastAsia" w:ascii="宋体" w:hAnsi="宋体" w:eastAsia="宋体" w:cs="Times New Roman"/>
                <w:color w:val="000000"/>
                <w:sz w:val="24"/>
                <w:highlight w:val="none"/>
                <w:lang w:val="en-US" w:eastAsia="zh-CN"/>
              </w:rPr>
              <w:t>0m,平整厚度20cm，地形坡度约3°。禁止形成局部凸起或凹陷，与周边地貌相协调。复垦后，土地类型为裸岩石砾地和盐田及采矿用地。</w:t>
            </w:r>
          </w:p>
          <w:p w14:paraId="7F794048">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设计将在临时用地到期后</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lang w:val="en-US" w:eastAsia="zh-CN"/>
              </w:rPr>
              <w:t>2</w:t>
            </w:r>
            <w:r>
              <w:rPr>
                <w:rFonts w:hint="eastAsia" w:ascii="宋体" w:hAnsi="宋体" w:eastAsia="宋体" w:cs="Times New Roman"/>
                <w:color w:val="000000"/>
                <w:sz w:val="24"/>
                <w:highlight w:val="none"/>
              </w:rPr>
              <w:t>02</w:t>
            </w:r>
            <w:r>
              <w:rPr>
                <w:rFonts w:hint="eastAsia" w:ascii="宋体" w:hAnsi="宋体" w:cs="Times New Roman"/>
                <w:color w:val="000000"/>
                <w:sz w:val="24"/>
                <w:highlight w:val="none"/>
                <w:lang w:val="en-US" w:eastAsia="zh-CN"/>
              </w:rPr>
              <w:t>6</w:t>
            </w:r>
            <w:r>
              <w:rPr>
                <w:rFonts w:hint="eastAsia" w:ascii="宋体" w:hAnsi="宋体" w:eastAsia="宋体" w:cs="Times New Roman"/>
                <w:color w:val="000000"/>
                <w:sz w:val="24"/>
                <w:highlight w:val="none"/>
              </w:rPr>
              <w:t>年</w:t>
            </w:r>
            <w:r>
              <w:rPr>
                <w:rFonts w:hint="eastAsia" w:ascii="宋体" w:hAnsi="宋体" w:eastAsia="宋体" w:cs="Times New Roman"/>
                <w:color w:val="000000"/>
                <w:sz w:val="24"/>
                <w:highlight w:val="none"/>
                <w:lang w:val="en-US" w:eastAsia="zh-CN"/>
              </w:rPr>
              <w:t>1</w:t>
            </w:r>
            <w:r>
              <w:rPr>
                <w:rFonts w:hint="eastAsia" w:ascii="宋体" w:hAnsi="宋体" w:cs="Times New Roman"/>
                <w:color w:val="000000"/>
                <w:sz w:val="24"/>
                <w:highlight w:val="none"/>
                <w:lang w:val="en-US" w:eastAsia="zh-CN"/>
              </w:rPr>
              <w:t>2</w:t>
            </w:r>
            <w:r>
              <w:rPr>
                <w:rFonts w:hint="eastAsia" w:ascii="宋体" w:hAnsi="宋体" w:eastAsia="宋体" w:cs="Times New Roman"/>
                <w:color w:val="000000"/>
                <w:sz w:val="24"/>
                <w:highlight w:val="none"/>
                <w:lang w:val="en-US" w:eastAsia="zh-CN"/>
              </w:rPr>
              <w:t>月-202</w:t>
            </w:r>
            <w:r>
              <w:rPr>
                <w:rFonts w:hint="eastAsia" w:ascii="宋体" w:hAnsi="宋体" w:cs="Times New Roman"/>
                <w:color w:val="000000"/>
                <w:sz w:val="24"/>
                <w:highlight w:val="none"/>
                <w:lang w:val="en-US" w:eastAsia="zh-CN"/>
              </w:rPr>
              <w:t>7</w:t>
            </w:r>
            <w:r>
              <w:rPr>
                <w:rFonts w:hint="eastAsia" w:ascii="宋体" w:hAnsi="宋体" w:eastAsia="宋体" w:cs="Times New Roman"/>
                <w:color w:val="000000"/>
                <w:sz w:val="24"/>
                <w:highlight w:val="none"/>
                <w:lang w:val="en-US" w:eastAsia="zh-CN"/>
              </w:rPr>
              <w:t>年1</w:t>
            </w:r>
            <w:r>
              <w:rPr>
                <w:rFonts w:hint="eastAsia" w:ascii="宋体" w:hAnsi="宋体" w:eastAsia="宋体" w:cs="Times New Roman"/>
                <w:color w:val="000000"/>
                <w:sz w:val="24"/>
                <w:highlight w:val="none"/>
              </w:rPr>
              <w:t>月完成土地复垦工程。</w:t>
            </w:r>
          </w:p>
          <w:p w14:paraId="56A6E529">
            <w:pPr>
              <w:keepNext w:val="0"/>
              <w:keepLines w:val="0"/>
              <w:suppressLineNumbers w:val="0"/>
              <w:spacing w:before="0" w:beforeAutospacing="0" w:after="0" w:afterAutospacing="0" w:line="360" w:lineRule="auto"/>
              <w:ind w:left="0" w:right="0" w:firstLine="463" w:firstLineChars="192"/>
              <w:rPr>
                <w:rFonts w:hint="default" w:ascii="宋体" w:hAnsi="宋体" w:eastAsia="宋体" w:cs="Times New Roman"/>
                <w:b/>
                <w:bCs/>
                <w:color w:val="000000"/>
                <w:sz w:val="24"/>
                <w:highlight w:val="none"/>
                <w:lang w:val="en-US" w:eastAsia="zh-CN"/>
              </w:rPr>
            </w:pPr>
            <w:r>
              <w:rPr>
                <w:rFonts w:hint="eastAsia" w:ascii="宋体" w:hAnsi="宋体" w:eastAsia="宋体" w:cs="Times New Roman"/>
                <w:b/>
                <w:bCs/>
                <w:color w:val="000000"/>
                <w:sz w:val="24"/>
                <w:highlight w:val="none"/>
                <w:lang w:val="en-US" w:eastAsia="zh-CN"/>
              </w:rPr>
              <w:t>5.3.2监测措施</w:t>
            </w:r>
          </w:p>
          <w:p w14:paraId="1D791D89">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5.3.2.1土地损毁监测</w:t>
            </w:r>
          </w:p>
          <w:p w14:paraId="6A2F6FA9">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用手持GPS野外定点监测损毁范围、面积，对照土地利用现状图，记录损毁土地情况。主要针对土地资源损毁变化处，对比损毁范围的变化。</w:t>
            </w:r>
          </w:p>
          <w:p w14:paraId="13CDC831">
            <w:pPr>
              <w:pStyle w:val="6"/>
              <w:suppressLineNumbers w:val="0"/>
              <w:spacing w:before="0" w:beforeAutospacing="0" w:after="0" w:afterAutospacing="0" w:line="360" w:lineRule="auto"/>
              <w:ind w:left="0" w:right="0"/>
              <w:rPr>
                <w:rFonts w:hint="eastAsia" w:ascii="宋体" w:hAnsi="宋体" w:eastAsia="宋体" w:cs="Times New Roman"/>
                <w:b/>
                <w:bCs/>
                <w:i w:val="0"/>
                <w:iCs w:val="0"/>
                <w:color w:val="000000"/>
                <w:sz w:val="24"/>
                <w:highlight w:val="none"/>
                <w:lang w:val="en-US" w:eastAsia="zh-CN"/>
              </w:rPr>
            </w:pPr>
            <w:r>
              <w:rPr>
                <w:rFonts w:hint="eastAsia" w:ascii="宋体" w:hAnsi="宋体" w:eastAsia="宋体" w:cs="Times New Roman"/>
                <w:b/>
                <w:bCs/>
                <w:i w:val="0"/>
                <w:iCs w:val="0"/>
                <w:color w:val="000000"/>
                <w:sz w:val="24"/>
                <w:highlight w:val="none"/>
                <w:lang w:val="en-US" w:eastAsia="zh-CN"/>
              </w:rPr>
              <w:t>5.3.3管护措施</w:t>
            </w:r>
          </w:p>
          <w:p w14:paraId="74C3483B">
            <w:pPr>
              <w:keepNext w:val="0"/>
              <w:keepLines w:val="0"/>
              <w:widowControl/>
              <w:suppressLineNumbers w:val="0"/>
              <w:spacing w:before="0" w:beforeAutospacing="0" w:after="0" w:afterAutospacing="0" w:line="360" w:lineRule="auto"/>
              <w:ind w:left="0" w:right="0" w:firstLine="480" w:firstLineChars="200"/>
              <w:rPr>
                <w:rFonts w:hint="default" w:ascii="宋体" w:hAnsi="宋体" w:eastAsia="宋体" w:cs="宋体"/>
                <w:color w:val="000000"/>
                <w:kern w:val="0"/>
                <w:sz w:val="24"/>
                <w:highlight w:val="none"/>
                <w:lang w:val="en-US" w:eastAsia="zh-CN"/>
              </w:rPr>
            </w:pPr>
            <w:r>
              <w:rPr>
                <w:rFonts w:hint="default" w:ascii="宋体" w:hAnsi="宋体" w:eastAsia="宋体" w:cs="宋体"/>
                <w:color w:val="000000"/>
                <w:kern w:val="0"/>
                <w:sz w:val="24"/>
                <w:highlight w:val="none"/>
                <w:lang w:val="en-US" w:eastAsia="zh-CN"/>
              </w:rPr>
              <w:t>管护工程主要是对重建植被</w:t>
            </w:r>
            <w:r>
              <w:rPr>
                <w:rFonts w:hint="eastAsia" w:ascii="宋体" w:hAnsi="宋体" w:eastAsia="宋体" w:cs="宋体"/>
                <w:color w:val="000000"/>
                <w:kern w:val="0"/>
                <w:sz w:val="24"/>
                <w:highlight w:val="none"/>
                <w:lang w:val="en-US" w:eastAsia="zh-CN"/>
              </w:rPr>
              <w:t>成活率</w:t>
            </w:r>
            <w:r>
              <w:rPr>
                <w:rFonts w:hint="default" w:ascii="宋体" w:hAnsi="宋体" w:eastAsia="宋体" w:cs="宋体"/>
                <w:color w:val="000000"/>
                <w:kern w:val="0"/>
                <w:sz w:val="24"/>
                <w:highlight w:val="none"/>
                <w:lang w:val="en-US" w:eastAsia="zh-CN"/>
              </w:rPr>
              <w:t>进行管护，</w:t>
            </w:r>
            <w:r>
              <w:rPr>
                <w:rFonts w:hint="eastAsia" w:ascii="宋体" w:hAnsi="宋体" w:eastAsia="宋体" w:cs="宋体"/>
                <w:color w:val="000000"/>
                <w:kern w:val="0"/>
                <w:sz w:val="24"/>
                <w:highlight w:val="none"/>
                <w:lang w:val="en-US" w:eastAsia="zh-CN"/>
              </w:rPr>
              <w:t>本项目涉及土地类型为</w:t>
            </w:r>
            <w:r>
              <w:rPr>
                <w:rFonts w:hint="eastAsia" w:ascii="宋体" w:hAnsi="宋体" w:eastAsia="宋体" w:cs="Times New Roman"/>
                <w:color w:val="000000"/>
                <w:sz w:val="24"/>
                <w:highlight w:val="none"/>
                <w:lang w:val="en-US" w:eastAsia="zh-CN"/>
              </w:rPr>
              <w:t>裸岩石砾地和盐田及采矿用地，因此，本项目不设置管护措施。</w:t>
            </w:r>
          </w:p>
          <w:p w14:paraId="07AFBA02">
            <w:pPr>
              <w:keepNext w:val="0"/>
              <w:keepLines w:val="0"/>
              <w:suppressLineNumbers w:val="0"/>
              <w:spacing w:before="0" w:beforeAutospacing="0" w:after="0" w:afterAutospacing="0" w:line="360" w:lineRule="auto"/>
              <w:ind w:left="0" w:right="0"/>
              <w:rPr>
                <w:rFonts w:ascii="宋体" w:hAnsi="宋体" w:eastAsia="宋体" w:cs="Times New Roman"/>
                <w:b/>
                <w:bCs/>
                <w:color w:val="000000"/>
                <w:sz w:val="24"/>
                <w:highlight w:val="none"/>
              </w:rPr>
            </w:pPr>
            <w:r>
              <w:rPr>
                <w:rFonts w:hint="eastAsia" w:ascii="宋体" w:hAnsi="宋体" w:eastAsia="宋体" w:cs="Times New Roman"/>
                <w:b/>
                <w:bCs/>
                <w:color w:val="000000"/>
                <w:sz w:val="24"/>
                <w:highlight w:val="none"/>
                <w:lang w:val="en-US" w:eastAsia="zh-CN"/>
              </w:rPr>
              <w:t>六、</w:t>
            </w:r>
            <w:r>
              <w:rPr>
                <w:rFonts w:hint="eastAsia" w:ascii="宋体" w:hAnsi="宋体" w:eastAsia="宋体" w:cs="Times New Roman"/>
                <w:b/>
                <w:bCs/>
                <w:color w:val="000000"/>
                <w:sz w:val="24"/>
                <w:highlight w:val="none"/>
              </w:rPr>
              <w:t>复垦工程设计及工程量测算</w:t>
            </w:r>
          </w:p>
          <w:p w14:paraId="3A78C64C">
            <w:pPr>
              <w:keepNext w:val="0"/>
              <w:keepLines w:val="0"/>
              <w:suppressLineNumbers w:val="0"/>
              <w:spacing w:before="0" w:beforeAutospacing="0" w:after="0" w:afterAutospacing="0" w:line="360" w:lineRule="auto"/>
              <w:ind w:left="0" w:right="0" w:firstLine="482" w:firstLineChars="200"/>
              <w:rPr>
                <w:rFonts w:hint="default" w:ascii="宋体" w:hAnsi="宋体" w:eastAsia="宋体" w:cs="Times New Roman"/>
                <w:b/>
                <w:bCs/>
                <w:color w:val="000000"/>
                <w:sz w:val="24"/>
                <w:highlight w:val="none"/>
                <w:lang w:val="en-US" w:eastAsia="zh-CN"/>
              </w:rPr>
            </w:pPr>
            <w:r>
              <w:rPr>
                <w:rFonts w:hint="eastAsia" w:ascii="宋体" w:hAnsi="宋体" w:eastAsia="宋体" w:cs="Times New Roman"/>
                <w:b/>
                <w:bCs/>
                <w:color w:val="000000"/>
                <w:sz w:val="24"/>
                <w:highlight w:val="none"/>
                <w:lang w:val="en-US" w:eastAsia="zh-CN"/>
              </w:rPr>
              <w:t>6.1土地复垦工程量</w:t>
            </w:r>
          </w:p>
          <w:p w14:paraId="2A6169E5">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制梁场1：</w:t>
            </w:r>
          </w:p>
          <w:p w14:paraId="026C6402">
            <w:pPr>
              <w:keepNext w:val="0"/>
              <w:keepLines w:val="0"/>
              <w:suppressLineNumbers w:val="0"/>
              <w:spacing w:before="0" w:beforeAutospacing="0" w:after="0" w:afterAutospacing="0" w:line="360" w:lineRule="auto"/>
              <w:ind w:left="0" w:right="0" w:firstLine="460" w:firstLineChars="192"/>
              <w:rPr>
                <w:rFonts w:hint="default" w:ascii="宋体" w:hAnsi="宋体" w:eastAsia="宋体" w:cs="Times New Roman"/>
                <w:color w:val="000000"/>
                <w:sz w:val="24"/>
                <w:highlight w:val="none"/>
                <w:lang w:val="en-US" w:eastAsia="zh-CN"/>
              </w:rPr>
            </w:pPr>
            <w:r>
              <w:rPr>
                <w:rFonts w:hint="default" w:ascii="宋体" w:hAnsi="宋体" w:eastAsia="宋体" w:cs="Times New Roman"/>
                <w:color w:val="000000"/>
                <w:sz w:val="24"/>
                <w:highlight w:val="none"/>
                <w:lang w:val="en-US" w:eastAsia="zh-CN"/>
              </w:rPr>
              <w:t>项目结束，对</w:t>
            </w:r>
            <w:r>
              <w:rPr>
                <w:rFonts w:hint="eastAsia" w:ascii="宋体" w:hAnsi="宋体" w:eastAsia="宋体" w:cs="Times New Roman"/>
                <w:color w:val="000000"/>
                <w:sz w:val="24"/>
                <w:highlight w:val="none"/>
                <w:lang w:val="en-US" w:eastAsia="zh-CN"/>
              </w:rPr>
              <w:t>制梁场</w:t>
            </w:r>
            <w:r>
              <w:rPr>
                <w:rFonts w:hint="eastAsia" w:ascii="宋体" w:hAnsi="宋体" w:cs="Times New Roman"/>
                <w:color w:val="000000"/>
                <w:sz w:val="24"/>
                <w:highlight w:val="none"/>
                <w:lang w:val="en-US" w:eastAsia="zh-CN"/>
              </w:rPr>
              <w:t>1</w:t>
            </w:r>
            <w:r>
              <w:rPr>
                <w:rFonts w:hint="default" w:ascii="宋体" w:hAnsi="宋体" w:eastAsia="宋体" w:cs="Times New Roman"/>
                <w:color w:val="000000"/>
                <w:sz w:val="24"/>
                <w:highlight w:val="none"/>
                <w:lang w:val="en-US" w:eastAsia="zh-CN"/>
              </w:rPr>
              <w:t>进行平整，采用</w:t>
            </w:r>
            <w:r>
              <w:rPr>
                <w:rFonts w:hint="eastAsia" w:ascii="宋体" w:hAnsi="宋体" w:eastAsia="宋体" w:cs="Times New Roman"/>
                <w:color w:val="000000"/>
                <w:sz w:val="24"/>
                <w:highlight w:val="none"/>
                <w:lang w:val="en-US" w:eastAsia="zh-CN"/>
              </w:rPr>
              <w:t>74KW</w:t>
            </w:r>
            <w:r>
              <w:rPr>
                <w:rFonts w:hint="default" w:ascii="宋体" w:hAnsi="宋体" w:eastAsia="宋体" w:cs="Times New Roman"/>
                <w:color w:val="000000"/>
                <w:sz w:val="24"/>
                <w:highlight w:val="none"/>
                <w:lang w:val="en-US" w:eastAsia="zh-CN"/>
              </w:rPr>
              <w:t>推土机在场地就地推平，</w:t>
            </w:r>
            <w:r>
              <w:rPr>
                <w:rFonts w:hint="eastAsia" w:ascii="宋体" w:hAnsi="宋体" w:eastAsia="宋体" w:cs="Times New Roman"/>
                <w:color w:val="000000"/>
                <w:sz w:val="24"/>
                <w:highlight w:val="none"/>
                <w:lang w:val="en-US" w:eastAsia="zh-CN"/>
              </w:rPr>
              <w:t>场地</w:t>
            </w:r>
            <w:r>
              <w:rPr>
                <w:rFonts w:hint="default" w:ascii="宋体" w:hAnsi="宋体" w:eastAsia="宋体" w:cs="Times New Roman"/>
                <w:color w:val="000000"/>
                <w:sz w:val="24"/>
                <w:highlight w:val="none"/>
                <w:lang w:val="en-US" w:eastAsia="zh-CN"/>
              </w:rPr>
              <w:t>平整面积</w:t>
            </w:r>
            <w:r>
              <w:rPr>
                <w:rFonts w:hint="eastAsia" w:ascii="宋体" w:hAnsi="宋体" w:eastAsia="宋体" w:cs="Times New Roman"/>
                <w:color w:val="000000"/>
                <w:sz w:val="24"/>
                <w:highlight w:val="none"/>
                <w:lang w:val="en-US" w:eastAsia="zh-CN"/>
              </w:rPr>
              <w:t>0.3553</w:t>
            </w:r>
            <w:r>
              <w:rPr>
                <w:rFonts w:hint="default" w:ascii="宋体" w:hAnsi="宋体" w:eastAsia="宋体" w:cs="Times New Roman"/>
                <w:color w:val="000000"/>
                <w:sz w:val="24"/>
                <w:highlight w:val="none"/>
                <w:lang w:val="en-US" w:eastAsia="zh-CN"/>
              </w:rPr>
              <w:t>公顷，平整厚度约20cm，平整工程量</w:t>
            </w:r>
            <w:r>
              <w:rPr>
                <w:rFonts w:hint="eastAsia" w:ascii="宋体" w:hAnsi="宋体" w:cs="Times New Roman"/>
                <w:color w:val="000000"/>
                <w:sz w:val="24"/>
                <w:highlight w:val="none"/>
                <w:lang w:val="en-US" w:eastAsia="zh-CN"/>
              </w:rPr>
              <w:t>710.6</w:t>
            </w:r>
            <w:r>
              <w:rPr>
                <w:rFonts w:hint="default" w:ascii="宋体" w:hAnsi="宋体" w:eastAsia="宋体" w:cs="Times New Roman"/>
                <w:color w:val="000000"/>
                <w:sz w:val="24"/>
                <w:highlight w:val="none"/>
                <w:lang w:val="en-US" w:eastAsia="zh-CN"/>
              </w:rPr>
              <w:t>立方米。</w:t>
            </w:r>
          </w:p>
          <w:p w14:paraId="6F211849">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制梁场2：</w:t>
            </w:r>
          </w:p>
          <w:p w14:paraId="07323A38">
            <w:pPr>
              <w:keepNext w:val="0"/>
              <w:keepLines w:val="0"/>
              <w:suppressLineNumbers w:val="0"/>
              <w:spacing w:before="0" w:beforeAutospacing="0" w:after="0" w:afterAutospacing="0" w:line="360" w:lineRule="auto"/>
              <w:ind w:left="0" w:right="0" w:firstLine="460" w:firstLineChars="192"/>
              <w:rPr>
                <w:rFonts w:hint="default" w:ascii="宋体" w:hAnsi="宋体" w:eastAsia="宋体" w:cs="Times New Roman"/>
                <w:color w:val="000000"/>
                <w:sz w:val="24"/>
                <w:highlight w:val="none"/>
                <w:lang w:val="en-US" w:eastAsia="zh-CN"/>
              </w:rPr>
            </w:pPr>
            <w:r>
              <w:rPr>
                <w:rFonts w:hint="default" w:ascii="宋体" w:hAnsi="宋体" w:eastAsia="宋体" w:cs="Times New Roman"/>
                <w:color w:val="000000"/>
                <w:sz w:val="24"/>
                <w:highlight w:val="none"/>
                <w:lang w:val="en-US" w:eastAsia="zh-CN"/>
              </w:rPr>
              <w:t>项目结束，对</w:t>
            </w:r>
            <w:r>
              <w:rPr>
                <w:rFonts w:hint="eastAsia" w:ascii="宋体" w:hAnsi="宋体" w:eastAsia="宋体" w:cs="Times New Roman"/>
                <w:color w:val="000000"/>
                <w:sz w:val="24"/>
                <w:highlight w:val="none"/>
                <w:lang w:val="en-US" w:eastAsia="zh-CN"/>
              </w:rPr>
              <w:t>制梁场</w:t>
            </w:r>
            <w:r>
              <w:rPr>
                <w:rFonts w:hint="eastAsia" w:ascii="宋体" w:hAnsi="宋体" w:cs="Times New Roman"/>
                <w:color w:val="000000"/>
                <w:sz w:val="24"/>
                <w:highlight w:val="none"/>
                <w:lang w:val="en-US" w:eastAsia="zh-CN"/>
              </w:rPr>
              <w:t>2</w:t>
            </w:r>
            <w:r>
              <w:rPr>
                <w:rFonts w:hint="default" w:ascii="宋体" w:hAnsi="宋体" w:eastAsia="宋体" w:cs="Times New Roman"/>
                <w:color w:val="000000"/>
                <w:sz w:val="24"/>
                <w:highlight w:val="none"/>
                <w:lang w:val="en-US" w:eastAsia="zh-CN"/>
              </w:rPr>
              <w:t>进行平整，采用</w:t>
            </w:r>
            <w:r>
              <w:rPr>
                <w:rFonts w:hint="eastAsia" w:ascii="宋体" w:hAnsi="宋体" w:eastAsia="宋体" w:cs="Times New Roman"/>
                <w:color w:val="000000"/>
                <w:sz w:val="24"/>
                <w:highlight w:val="none"/>
                <w:lang w:val="en-US" w:eastAsia="zh-CN"/>
              </w:rPr>
              <w:t>74KW</w:t>
            </w:r>
            <w:r>
              <w:rPr>
                <w:rFonts w:hint="default" w:ascii="宋体" w:hAnsi="宋体" w:eastAsia="宋体" w:cs="Times New Roman"/>
                <w:color w:val="000000"/>
                <w:sz w:val="24"/>
                <w:highlight w:val="none"/>
                <w:lang w:val="en-US" w:eastAsia="zh-CN"/>
              </w:rPr>
              <w:t>推土机在场地就地推平，</w:t>
            </w:r>
            <w:r>
              <w:rPr>
                <w:rFonts w:hint="eastAsia" w:ascii="宋体" w:hAnsi="宋体" w:eastAsia="宋体" w:cs="Times New Roman"/>
                <w:color w:val="000000"/>
                <w:sz w:val="24"/>
                <w:highlight w:val="none"/>
                <w:lang w:val="en-US" w:eastAsia="zh-CN"/>
              </w:rPr>
              <w:t>场地</w:t>
            </w:r>
            <w:r>
              <w:rPr>
                <w:rFonts w:hint="default" w:ascii="宋体" w:hAnsi="宋体" w:eastAsia="宋体" w:cs="Times New Roman"/>
                <w:color w:val="000000"/>
                <w:sz w:val="24"/>
                <w:highlight w:val="none"/>
                <w:lang w:val="en-US" w:eastAsia="zh-CN"/>
              </w:rPr>
              <w:t>平整面积</w:t>
            </w:r>
            <w:r>
              <w:rPr>
                <w:rFonts w:hint="eastAsia" w:ascii="宋体" w:hAnsi="宋体" w:eastAsia="宋体" w:cs="Times New Roman"/>
                <w:color w:val="000000"/>
                <w:sz w:val="24"/>
                <w:highlight w:val="none"/>
                <w:lang w:val="en-US" w:eastAsia="zh-CN"/>
              </w:rPr>
              <w:t>0.3904</w:t>
            </w:r>
            <w:r>
              <w:rPr>
                <w:rFonts w:hint="default" w:ascii="宋体" w:hAnsi="宋体" w:eastAsia="宋体" w:cs="Times New Roman"/>
                <w:color w:val="000000"/>
                <w:sz w:val="24"/>
                <w:highlight w:val="none"/>
                <w:lang w:val="en-US" w:eastAsia="zh-CN"/>
              </w:rPr>
              <w:t>公顷，平整厚度约20cm，平整工程量</w:t>
            </w:r>
            <w:r>
              <w:rPr>
                <w:rFonts w:hint="eastAsia" w:ascii="宋体" w:hAnsi="宋体" w:cs="Times New Roman"/>
                <w:color w:val="000000"/>
                <w:sz w:val="24"/>
                <w:highlight w:val="none"/>
                <w:lang w:val="en-US" w:eastAsia="zh-CN"/>
              </w:rPr>
              <w:t>780.8</w:t>
            </w:r>
            <w:r>
              <w:rPr>
                <w:rFonts w:hint="default" w:ascii="宋体" w:hAnsi="宋体" w:eastAsia="宋体" w:cs="Times New Roman"/>
                <w:color w:val="000000"/>
                <w:sz w:val="24"/>
                <w:highlight w:val="none"/>
                <w:lang w:val="en-US" w:eastAsia="zh-CN"/>
              </w:rPr>
              <w:t>立方米。</w:t>
            </w:r>
          </w:p>
          <w:p w14:paraId="25AE05F2">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材料堆场1：</w:t>
            </w:r>
          </w:p>
          <w:p w14:paraId="4F127341">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硬化拆除：项目结束后，项目单位自行将集装箱房和机械、设备运出场外。采用斗容1m³的油动单斗挖掘机进行场地硬化拆除。硬化面积0.0088公顷</w:t>
            </w:r>
            <w:r>
              <w:rPr>
                <w:rFonts w:hint="eastAsia" w:ascii="宋体" w:hAnsi="宋体" w:cs="Times New Roman"/>
                <w:color w:val="000000"/>
                <w:sz w:val="24"/>
                <w:highlight w:val="none"/>
                <w:lang w:val="en-US" w:eastAsia="zh-CN"/>
              </w:rPr>
              <w:t>，</w:t>
            </w:r>
            <w:r>
              <w:rPr>
                <w:rFonts w:hint="eastAsia" w:ascii="宋体" w:hAnsi="宋体" w:eastAsia="宋体" w:cs="Times New Roman"/>
                <w:color w:val="000000"/>
                <w:sz w:val="24"/>
                <w:highlight w:val="none"/>
                <w:lang w:val="en-US" w:eastAsia="zh-CN"/>
              </w:rPr>
              <w:t>硬化厚度为40cm，硬化拆除工程量35.2立方米，</w:t>
            </w:r>
          </w:p>
          <w:p w14:paraId="23FFE587">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垃圾清运：采用</w:t>
            </w:r>
            <w:r>
              <w:rPr>
                <w:rFonts w:hint="eastAsia" w:ascii="宋体" w:hAnsi="宋体" w:cs="Times New Roman"/>
                <w:color w:val="000000"/>
                <w:sz w:val="24"/>
                <w:highlight w:val="none"/>
                <w:lang w:val="en-US" w:eastAsia="zh-CN"/>
              </w:rPr>
              <w:t>1</w:t>
            </w:r>
            <w:r>
              <w:rPr>
                <w:rFonts w:hint="eastAsia" w:ascii="宋体" w:hAnsi="宋体" w:eastAsia="宋体" w:cs="Times New Roman"/>
                <w:color w:val="000000"/>
                <w:sz w:val="24"/>
                <w:highlight w:val="none"/>
                <w:lang w:val="en-US" w:eastAsia="zh-CN"/>
              </w:rPr>
              <w:t>m³柴油</w:t>
            </w:r>
            <w:r>
              <w:rPr>
                <w:rFonts w:hint="eastAsia" w:ascii="宋体" w:hAnsi="宋体" w:cs="Times New Roman"/>
                <w:color w:val="000000"/>
                <w:sz w:val="24"/>
                <w:highlight w:val="none"/>
                <w:lang w:val="en-US" w:eastAsia="zh-CN"/>
              </w:rPr>
              <w:t>挖</w:t>
            </w:r>
            <w:r>
              <w:rPr>
                <w:rFonts w:hint="eastAsia" w:ascii="宋体" w:hAnsi="宋体" w:eastAsia="宋体" w:cs="Times New Roman"/>
                <w:color w:val="000000"/>
                <w:sz w:val="24"/>
                <w:highlight w:val="none"/>
                <w:lang w:val="en-US" w:eastAsia="zh-CN"/>
              </w:rPr>
              <w:t>机装建筑垃圾，载重</w:t>
            </w:r>
            <w:r>
              <w:rPr>
                <w:rFonts w:hint="eastAsia" w:ascii="宋体" w:hAnsi="宋体" w:cs="Times New Roman"/>
                <w:color w:val="000000"/>
                <w:sz w:val="24"/>
                <w:highlight w:val="none"/>
                <w:lang w:val="en-US" w:eastAsia="zh-CN"/>
              </w:rPr>
              <w:t>8</w:t>
            </w:r>
            <w:r>
              <w:rPr>
                <w:rFonts w:hint="eastAsia" w:ascii="宋体" w:hAnsi="宋体" w:eastAsia="宋体" w:cs="Times New Roman"/>
                <w:color w:val="000000"/>
                <w:sz w:val="24"/>
                <w:highlight w:val="none"/>
                <w:lang w:val="en-US" w:eastAsia="zh-CN"/>
              </w:rPr>
              <w:t>t的柴油自卸汽车将建筑垃圾拉运至三道岭镇垃圾集中处置场所进行处置，运距约</w:t>
            </w:r>
            <w:r>
              <w:rPr>
                <w:rFonts w:hint="eastAsia" w:ascii="宋体" w:hAnsi="宋体" w:cs="Times New Roman"/>
                <w:color w:val="000000"/>
                <w:sz w:val="24"/>
                <w:highlight w:val="none"/>
                <w:lang w:val="en-US" w:eastAsia="zh-CN"/>
              </w:rPr>
              <w:t>10</w:t>
            </w:r>
            <w:r>
              <w:rPr>
                <w:rFonts w:hint="eastAsia" w:ascii="宋体" w:hAnsi="宋体" w:eastAsia="宋体" w:cs="Times New Roman"/>
                <w:color w:val="000000"/>
                <w:sz w:val="24"/>
                <w:highlight w:val="none"/>
                <w:lang w:val="en-US" w:eastAsia="zh-CN"/>
              </w:rPr>
              <w:t>公里，垃圾清运量35.2立方米。处置要符合环评相关要求。</w:t>
            </w:r>
          </w:p>
          <w:p w14:paraId="5FF77789">
            <w:pPr>
              <w:keepNext w:val="0"/>
              <w:keepLines w:val="0"/>
              <w:suppressLineNumbers w:val="0"/>
              <w:spacing w:before="0" w:beforeAutospacing="0" w:after="0" w:afterAutospacing="0" w:line="360" w:lineRule="auto"/>
              <w:ind w:left="0" w:right="0" w:firstLine="460" w:firstLineChars="192"/>
              <w:rPr>
                <w:rFonts w:hint="default" w:ascii="宋体" w:hAnsi="宋体" w:eastAsia="宋体" w:cs="Times New Roman"/>
                <w:color w:val="000000"/>
                <w:sz w:val="24"/>
                <w:highlight w:val="none"/>
                <w:lang w:val="en-US" w:eastAsia="zh-CN"/>
              </w:rPr>
            </w:pPr>
            <w:r>
              <w:rPr>
                <w:rFonts w:hint="default" w:ascii="宋体" w:hAnsi="宋体" w:eastAsia="宋体" w:cs="Times New Roman"/>
                <w:color w:val="000000"/>
                <w:sz w:val="24"/>
                <w:highlight w:val="none"/>
                <w:lang w:val="en-US" w:eastAsia="zh-CN"/>
              </w:rPr>
              <w:t>项目结束，对</w:t>
            </w:r>
            <w:r>
              <w:rPr>
                <w:rFonts w:hint="eastAsia" w:ascii="宋体" w:hAnsi="宋体" w:eastAsia="宋体" w:cs="Times New Roman"/>
                <w:color w:val="000000"/>
                <w:sz w:val="24"/>
                <w:highlight w:val="none"/>
                <w:lang w:val="en-US" w:eastAsia="zh-CN"/>
              </w:rPr>
              <w:t>材料堆场1</w:t>
            </w:r>
            <w:r>
              <w:rPr>
                <w:rFonts w:hint="default" w:ascii="宋体" w:hAnsi="宋体" w:eastAsia="宋体" w:cs="Times New Roman"/>
                <w:color w:val="000000"/>
                <w:sz w:val="24"/>
                <w:highlight w:val="none"/>
                <w:lang w:val="en-US" w:eastAsia="zh-CN"/>
              </w:rPr>
              <w:t>进行平整，采用</w:t>
            </w:r>
            <w:r>
              <w:rPr>
                <w:rFonts w:hint="eastAsia" w:ascii="宋体" w:hAnsi="宋体" w:eastAsia="宋体" w:cs="Times New Roman"/>
                <w:color w:val="000000"/>
                <w:sz w:val="24"/>
                <w:highlight w:val="none"/>
                <w:lang w:val="en-US" w:eastAsia="zh-CN"/>
              </w:rPr>
              <w:t>74KW</w:t>
            </w:r>
            <w:r>
              <w:rPr>
                <w:rFonts w:hint="default" w:ascii="宋体" w:hAnsi="宋体" w:eastAsia="宋体" w:cs="Times New Roman"/>
                <w:color w:val="000000"/>
                <w:sz w:val="24"/>
                <w:highlight w:val="none"/>
                <w:lang w:val="en-US" w:eastAsia="zh-CN"/>
              </w:rPr>
              <w:t>推土机在场地就地推平，</w:t>
            </w:r>
            <w:r>
              <w:rPr>
                <w:rFonts w:hint="eastAsia" w:ascii="宋体" w:hAnsi="宋体" w:eastAsia="宋体" w:cs="Times New Roman"/>
                <w:color w:val="000000"/>
                <w:sz w:val="24"/>
                <w:highlight w:val="none"/>
                <w:lang w:val="en-US" w:eastAsia="zh-CN"/>
              </w:rPr>
              <w:t>场地</w:t>
            </w:r>
            <w:r>
              <w:rPr>
                <w:rFonts w:hint="default" w:ascii="宋体" w:hAnsi="宋体" w:eastAsia="宋体" w:cs="Times New Roman"/>
                <w:color w:val="000000"/>
                <w:sz w:val="24"/>
                <w:highlight w:val="none"/>
                <w:lang w:val="en-US" w:eastAsia="zh-CN"/>
              </w:rPr>
              <w:t>平整面积</w:t>
            </w:r>
            <w:r>
              <w:rPr>
                <w:rFonts w:hint="eastAsia" w:ascii="宋体" w:hAnsi="宋体" w:eastAsia="宋体" w:cs="Times New Roman"/>
                <w:color w:val="000000"/>
                <w:sz w:val="24"/>
                <w:highlight w:val="none"/>
                <w:lang w:val="en-US" w:eastAsia="zh-CN"/>
              </w:rPr>
              <w:t>0.4295</w:t>
            </w:r>
            <w:r>
              <w:rPr>
                <w:rFonts w:hint="default" w:ascii="宋体" w:hAnsi="宋体" w:eastAsia="宋体" w:cs="Times New Roman"/>
                <w:color w:val="000000"/>
                <w:sz w:val="24"/>
                <w:highlight w:val="none"/>
                <w:lang w:val="en-US" w:eastAsia="zh-CN"/>
              </w:rPr>
              <w:t>公顷，平整厚度约20cm，平整工程量</w:t>
            </w:r>
            <w:r>
              <w:rPr>
                <w:rFonts w:hint="eastAsia" w:ascii="宋体" w:hAnsi="宋体" w:cs="Times New Roman"/>
                <w:color w:val="000000"/>
                <w:sz w:val="24"/>
                <w:highlight w:val="none"/>
                <w:lang w:val="en-US" w:eastAsia="zh-CN"/>
              </w:rPr>
              <w:t>859</w:t>
            </w:r>
            <w:r>
              <w:rPr>
                <w:rFonts w:hint="default" w:ascii="宋体" w:hAnsi="宋体" w:eastAsia="宋体" w:cs="Times New Roman"/>
                <w:color w:val="000000"/>
                <w:sz w:val="24"/>
                <w:highlight w:val="none"/>
                <w:lang w:val="en-US" w:eastAsia="zh-CN"/>
              </w:rPr>
              <w:t>立方米。</w:t>
            </w:r>
          </w:p>
          <w:p w14:paraId="33427BBE">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材料堆场2：</w:t>
            </w:r>
          </w:p>
          <w:p w14:paraId="76CCCA19">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硬化拆除：项目结束后，项目单位自行将集装箱房和机械、设备运出场外。采用斗容1m³的油动单斗挖掘机进行场地硬化拆除。硬化面积0.0370公顷</w:t>
            </w:r>
            <w:r>
              <w:rPr>
                <w:rFonts w:hint="eastAsia" w:ascii="宋体" w:hAnsi="宋体" w:cs="Times New Roman"/>
                <w:color w:val="000000"/>
                <w:sz w:val="24"/>
                <w:highlight w:val="none"/>
                <w:lang w:val="en-US" w:eastAsia="zh-CN"/>
              </w:rPr>
              <w:t>，</w:t>
            </w:r>
            <w:r>
              <w:rPr>
                <w:rFonts w:hint="eastAsia" w:ascii="宋体" w:hAnsi="宋体" w:eastAsia="宋体" w:cs="Times New Roman"/>
                <w:color w:val="000000"/>
                <w:sz w:val="24"/>
                <w:highlight w:val="none"/>
                <w:lang w:val="en-US" w:eastAsia="zh-CN"/>
              </w:rPr>
              <w:t>硬化厚度为40cm，硬化拆除工程量148立方米，</w:t>
            </w:r>
          </w:p>
          <w:p w14:paraId="62D57903">
            <w:pPr>
              <w:keepNext w:val="0"/>
              <w:keepLines w:val="0"/>
              <w:suppressLineNumbers w:val="0"/>
              <w:spacing w:before="0" w:beforeAutospacing="0" w:after="0" w:afterAutospacing="0" w:line="360" w:lineRule="auto"/>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垃圾清运：采用</w:t>
            </w:r>
            <w:r>
              <w:rPr>
                <w:rFonts w:hint="eastAsia" w:ascii="宋体" w:hAnsi="宋体" w:cs="Times New Roman"/>
                <w:color w:val="000000"/>
                <w:sz w:val="24"/>
                <w:highlight w:val="none"/>
                <w:lang w:val="en-US" w:eastAsia="zh-CN"/>
              </w:rPr>
              <w:t>1</w:t>
            </w:r>
            <w:r>
              <w:rPr>
                <w:rFonts w:hint="eastAsia" w:ascii="宋体" w:hAnsi="宋体" w:eastAsia="宋体" w:cs="Times New Roman"/>
                <w:color w:val="000000"/>
                <w:sz w:val="24"/>
                <w:highlight w:val="none"/>
                <w:lang w:val="en-US" w:eastAsia="zh-CN"/>
              </w:rPr>
              <w:t>m³柴油</w:t>
            </w:r>
            <w:r>
              <w:rPr>
                <w:rFonts w:hint="eastAsia" w:ascii="宋体" w:hAnsi="宋体" w:cs="Times New Roman"/>
                <w:color w:val="000000"/>
                <w:sz w:val="24"/>
                <w:highlight w:val="none"/>
                <w:lang w:val="en-US" w:eastAsia="zh-CN"/>
              </w:rPr>
              <w:t>挖</w:t>
            </w:r>
            <w:r>
              <w:rPr>
                <w:rFonts w:hint="eastAsia" w:ascii="宋体" w:hAnsi="宋体" w:eastAsia="宋体" w:cs="Times New Roman"/>
                <w:color w:val="000000"/>
                <w:sz w:val="24"/>
                <w:highlight w:val="none"/>
                <w:lang w:val="en-US" w:eastAsia="zh-CN"/>
              </w:rPr>
              <w:t>机装建筑垃圾，载重</w:t>
            </w:r>
            <w:r>
              <w:rPr>
                <w:rFonts w:hint="eastAsia" w:ascii="宋体" w:hAnsi="宋体" w:cs="Times New Roman"/>
                <w:color w:val="000000"/>
                <w:sz w:val="24"/>
                <w:highlight w:val="none"/>
                <w:lang w:val="en-US" w:eastAsia="zh-CN"/>
              </w:rPr>
              <w:t>8</w:t>
            </w:r>
            <w:r>
              <w:rPr>
                <w:rFonts w:hint="eastAsia" w:ascii="宋体" w:hAnsi="宋体" w:eastAsia="宋体" w:cs="Times New Roman"/>
                <w:color w:val="000000"/>
                <w:sz w:val="24"/>
                <w:highlight w:val="none"/>
                <w:lang w:val="en-US" w:eastAsia="zh-CN"/>
              </w:rPr>
              <w:t>t的柴油自卸汽车将建筑垃圾拉运至三道岭镇垃圾集中处置场所进行处置，运距约</w:t>
            </w:r>
            <w:r>
              <w:rPr>
                <w:rFonts w:hint="eastAsia" w:ascii="宋体" w:hAnsi="宋体" w:cs="Times New Roman"/>
                <w:color w:val="000000"/>
                <w:sz w:val="24"/>
                <w:highlight w:val="none"/>
                <w:lang w:val="en-US" w:eastAsia="zh-CN"/>
              </w:rPr>
              <w:t>10</w:t>
            </w:r>
            <w:r>
              <w:rPr>
                <w:rFonts w:hint="eastAsia" w:ascii="宋体" w:hAnsi="宋体" w:eastAsia="宋体" w:cs="Times New Roman"/>
                <w:color w:val="000000"/>
                <w:sz w:val="24"/>
                <w:highlight w:val="none"/>
                <w:lang w:val="en-US" w:eastAsia="zh-CN"/>
              </w:rPr>
              <w:t>公里，垃圾清运量148立方米。处置要符合环评相关要求。</w:t>
            </w:r>
          </w:p>
          <w:p w14:paraId="11DB5C12">
            <w:pPr>
              <w:keepNext w:val="0"/>
              <w:keepLines w:val="0"/>
              <w:suppressLineNumbers w:val="0"/>
              <w:spacing w:before="0" w:beforeAutospacing="0" w:after="0" w:afterAutospacing="0" w:line="360" w:lineRule="auto"/>
              <w:ind w:left="0" w:right="0" w:firstLine="460" w:firstLineChars="192"/>
              <w:rPr>
                <w:rFonts w:hint="default" w:ascii="宋体" w:hAnsi="宋体" w:eastAsia="宋体" w:cs="Times New Roman"/>
                <w:color w:val="000000"/>
                <w:sz w:val="24"/>
                <w:highlight w:val="none"/>
                <w:lang w:val="en-US" w:eastAsia="zh-CN"/>
              </w:rPr>
            </w:pPr>
            <w:r>
              <w:rPr>
                <w:rFonts w:hint="default" w:ascii="宋体" w:hAnsi="宋体" w:eastAsia="宋体" w:cs="Times New Roman"/>
                <w:color w:val="000000"/>
                <w:sz w:val="24"/>
                <w:highlight w:val="none"/>
                <w:lang w:val="en-US" w:eastAsia="zh-CN"/>
              </w:rPr>
              <w:t>项目结束，对</w:t>
            </w:r>
            <w:r>
              <w:rPr>
                <w:rFonts w:hint="eastAsia" w:ascii="宋体" w:hAnsi="宋体" w:eastAsia="宋体" w:cs="Times New Roman"/>
                <w:color w:val="000000"/>
                <w:sz w:val="24"/>
                <w:highlight w:val="none"/>
                <w:lang w:val="en-US" w:eastAsia="zh-CN"/>
              </w:rPr>
              <w:t>材料堆场1</w:t>
            </w:r>
            <w:r>
              <w:rPr>
                <w:rFonts w:hint="default" w:ascii="宋体" w:hAnsi="宋体" w:eastAsia="宋体" w:cs="Times New Roman"/>
                <w:color w:val="000000"/>
                <w:sz w:val="24"/>
                <w:highlight w:val="none"/>
                <w:lang w:val="en-US" w:eastAsia="zh-CN"/>
              </w:rPr>
              <w:t>进行平整，采用</w:t>
            </w:r>
            <w:r>
              <w:rPr>
                <w:rFonts w:hint="eastAsia" w:ascii="宋体" w:hAnsi="宋体" w:eastAsia="宋体" w:cs="Times New Roman"/>
                <w:color w:val="000000"/>
                <w:sz w:val="24"/>
                <w:highlight w:val="none"/>
                <w:lang w:val="en-US" w:eastAsia="zh-CN"/>
              </w:rPr>
              <w:t>74KW</w:t>
            </w:r>
            <w:r>
              <w:rPr>
                <w:rFonts w:hint="default" w:ascii="宋体" w:hAnsi="宋体" w:eastAsia="宋体" w:cs="Times New Roman"/>
                <w:color w:val="000000"/>
                <w:sz w:val="24"/>
                <w:highlight w:val="none"/>
                <w:lang w:val="en-US" w:eastAsia="zh-CN"/>
              </w:rPr>
              <w:t>推土机在场地就地推平，</w:t>
            </w:r>
            <w:r>
              <w:rPr>
                <w:rFonts w:hint="eastAsia" w:ascii="宋体" w:hAnsi="宋体" w:eastAsia="宋体" w:cs="Times New Roman"/>
                <w:color w:val="000000"/>
                <w:sz w:val="24"/>
                <w:highlight w:val="none"/>
                <w:lang w:val="en-US" w:eastAsia="zh-CN"/>
              </w:rPr>
              <w:t>场地</w:t>
            </w:r>
            <w:r>
              <w:rPr>
                <w:rFonts w:hint="default" w:ascii="宋体" w:hAnsi="宋体" w:eastAsia="宋体" w:cs="Times New Roman"/>
                <w:color w:val="000000"/>
                <w:sz w:val="24"/>
                <w:highlight w:val="none"/>
                <w:lang w:val="en-US" w:eastAsia="zh-CN"/>
              </w:rPr>
              <w:t>平整面积</w:t>
            </w:r>
            <w:r>
              <w:rPr>
                <w:rFonts w:hint="eastAsia" w:ascii="宋体" w:hAnsi="宋体" w:eastAsia="宋体" w:cs="Times New Roman"/>
                <w:color w:val="000000"/>
                <w:sz w:val="24"/>
                <w:highlight w:val="none"/>
                <w:lang w:val="en-US" w:eastAsia="zh-CN"/>
              </w:rPr>
              <w:t>1.5636</w:t>
            </w:r>
            <w:r>
              <w:rPr>
                <w:rFonts w:hint="default" w:ascii="宋体" w:hAnsi="宋体" w:eastAsia="宋体" w:cs="Times New Roman"/>
                <w:color w:val="000000"/>
                <w:sz w:val="24"/>
                <w:highlight w:val="none"/>
                <w:lang w:val="en-US" w:eastAsia="zh-CN"/>
              </w:rPr>
              <w:t>公顷，平整厚度约20cm，平整工程量</w:t>
            </w:r>
            <w:r>
              <w:rPr>
                <w:rFonts w:hint="eastAsia" w:ascii="宋体" w:hAnsi="宋体" w:cs="Times New Roman"/>
                <w:color w:val="000000"/>
                <w:sz w:val="24"/>
                <w:highlight w:val="none"/>
                <w:lang w:val="en-US" w:eastAsia="zh-CN"/>
              </w:rPr>
              <w:t>3127.2</w:t>
            </w:r>
            <w:r>
              <w:rPr>
                <w:rFonts w:hint="default" w:ascii="宋体" w:hAnsi="宋体" w:eastAsia="宋体" w:cs="Times New Roman"/>
                <w:color w:val="000000"/>
                <w:sz w:val="24"/>
                <w:highlight w:val="none"/>
                <w:lang w:val="en-US" w:eastAsia="zh-CN"/>
              </w:rPr>
              <w:t>立方米。</w:t>
            </w:r>
          </w:p>
          <w:p w14:paraId="53A152C5">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钢筋加工厂1：</w:t>
            </w:r>
          </w:p>
          <w:p w14:paraId="1B24DB8D">
            <w:pPr>
              <w:keepNext w:val="0"/>
              <w:keepLines w:val="0"/>
              <w:suppressLineNumbers w:val="0"/>
              <w:spacing w:before="0" w:beforeAutospacing="0" w:after="0" w:afterAutospacing="0" w:line="360" w:lineRule="auto"/>
              <w:ind w:left="0" w:right="0" w:firstLine="460" w:firstLineChars="192"/>
              <w:rPr>
                <w:rFonts w:hint="default" w:ascii="宋体" w:hAnsi="宋体" w:eastAsia="宋体" w:cs="Times New Roman"/>
                <w:color w:val="000000"/>
                <w:sz w:val="24"/>
                <w:highlight w:val="none"/>
                <w:lang w:val="en-US" w:eastAsia="zh-CN"/>
              </w:rPr>
            </w:pPr>
            <w:r>
              <w:rPr>
                <w:rFonts w:hint="default" w:ascii="宋体" w:hAnsi="宋体" w:eastAsia="宋体" w:cs="Times New Roman"/>
                <w:color w:val="000000"/>
                <w:sz w:val="24"/>
                <w:highlight w:val="none"/>
                <w:lang w:val="en-US" w:eastAsia="zh-CN"/>
              </w:rPr>
              <w:t>项目结束，对</w:t>
            </w:r>
            <w:r>
              <w:rPr>
                <w:rFonts w:hint="eastAsia" w:ascii="宋体" w:hAnsi="宋体" w:eastAsia="宋体" w:cs="Times New Roman"/>
                <w:color w:val="000000"/>
                <w:sz w:val="24"/>
                <w:highlight w:val="none"/>
                <w:lang w:val="en-US" w:eastAsia="zh-CN"/>
              </w:rPr>
              <w:t>制梁场</w:t>
            </w:r>
            <w:r>
              <w:rPr>
                <w:rFonts w:hint="eastAsia" w:ascii="宋体" w:hAnsi="宋体" w:cs="Times New Roman"/>
                <w:color w:val="000000"/>
                <w:sz w:val="24"/>
                <w:highlight w:val="none"/>
                <w:lang w:val="en-US" w:eastAsia="zh-CN"/>
              </w:rPr>
              <w:t>1</w:t>
            </w:r>
            <w:r>
              <w:rPr>
                <w:rFonts w:hint="default" w:ascii="宋体" w:hAnsi="宋体" w:eastAsia="宋体" w:cs="Times New Roman"/>
                <w:color w:val="000000"/>
                <w:sz w:val="24"/>
                <w:highlight w:val="none"/>
                <w:lang w:val="en-US" w:eastAsia="zh-CN"/>
              </w:rPr>
              <w:t>进行平整，采用</w:t>
            </w:r>
            <w:r>
              <w:rPr>
                <w:rFonts w:hint="eastAsia" w:ascii="宋体" w:hAnsi="宋体" w:eastAsia="宋体" w:cs="Times New Roman"/>
                <w:color w:val="000000"/>
                <w:sz w:val="24"/>
                <w:highlight w:val="none"/>
                <w:lang w:val="en-US" w:eastAsia="zh-CN"/>
              </w:rPr>
              <w:t>74KW</w:t>
            </w:r>
            <w:r>
              <w:rPr>
                <w:rFonts w:hint="default" w:ascii="宋体" w:hAnsi="宋体" w:eastAsia="宋体" w:cs="Times New Roman"/>
                <w:color w:val="000000"/>
                <w:sz w:val="24"/>
                <w:highlight w:val="none"/>
                <w:lang w:val="en-US" w:eastAsia="zh-CN"/>
              </w:rPr>
              <w:t>推土机在场地就地推平，</w:t>
            </w:r>
            <w:r>
              <w:rPr>
                <w:rFonts w:hint="eastAsia" w:ascii="宋体" w:hAnsi="宋体" w:eastAsia="宋体" w:cs="Times New Roman"/>
                <w:color w:val="000000"/>
                <w:sz w:val="24"/>
                <w:highlight w:val="none"/>
                <w:lang w:val="en-US" w:eastAsia="zh-CN"/>
              </w:rPr>
              <w:t>场地</w:t>
            </w:r>
            <w:r>
              <w:rPr>
                <w:rFonts w:hint="default" w:ascii="宋体" w:hAnsi="宋体" w:eastAsia="宋体" w:cs="Times New Roman"/>
                <w:color w:val="000000"/>
                <w:sz w:val="24"/>
                <w:highlight w:val="none"/>
                <w:lang w:val="en-US" w:eastAsia="zh-CN"/>
              </w:rPr>
              <w:t>平整面积</w:t>
            </w:r>
            <w:r>
              <w:rPr>
                <w:rFonts w:hint="eastAsia" w:ascii="宋体" w:hAnsi="宋体" w:eastAsia="宋体" w:cs="Times New Roman"/>
                <w:color w:val="000000"/>
                <w:sz w:val="24"/>
                <w:highlight w:val="none"/>
                <w:lang w:val="en-US" w:eastAsia="zh-CN"/>
              </w:rPr>
              <w:t>0.3824</w:t>
            </w:r>
            <w:r>
              <w:rPr>
                <w:rFonts w:hint="default" w:ascii="宋体" w:hAnsi="宋体" w:eastAsia="宋体" w:cs="Times New Roman"/>
                <w:color w:val="000000"/>
                <w:sz w:val="24"/>
                <w:highlight w:val="none"/>
                <w:lang w:val="en-US" w:eastAsia="zh-CN"/>
              </w:rPr>
              <w:t>公顷，平整厚度约20cm，平整工程量</w:t>
            </w:r>
            <w:r>
              <w:rPr>
                <w:rFonts w:hint="eastAsia" w:ascii="宋体" w:hAnsi="宋体" w:cs="Times New Roman"/>
                <w:color w:val="000000"/>
                <w:sz w:val="24"/>
                <w:highlight w:val="none"/>
                <w:lang w:val="en-US" w:eastAsia="zh-CN"/>
              </w:rPr>
              <w:t>764.8</w:t>
            </w:r>
            <w:r>
              <w:rPr>
                <w:rFonts w:hint="default" w:ascii="宋体" w:hAnsi="宋体" w:eastAsia="宋体" w:cs="Times New Roman"/>
                <w:color w:val="000000"/>
                <w:sz w:val="24"/>
                <w:highlight w:val="none"/>
                <w:lang w:val="en-US" w:eastAsia="zh-CN"/>
              </w:rPr>
              <w:t>立方米。</w:t>
            </w:r>
          </w:p>
          <w:p w14:paraId="4888B0B6">
            <w:pPr>
              <w:keepNext w:val="0"/>
              <w:keepLines w:val="0"/>
              <w:suppressLineNumbers w:val="0"/>
              <w:spacing w:before="0" w:beforeAutospacing="0" w:after="0" w:afterAutospacing="0" w:line="360" w:lineRule="auto"/>
              <w:ind w:left="0" w:right="0" w:firstLine="480" w:firstLineChars="200"/>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钢筋加工厂2：</w:t>
            </w:r>
          </w:p>
          <w:p w14:paraId="22E3725E">
            <w:pPr>
              <w:keepNext w:val="0"/>
              <w:keepLines w:val="0"/>
              <w:suppressLineNumbers w:val="0"/>
              <w:spacing w:before="0" w:beforeAutospacing="0" w:after="0" w:afterAutospacing="0" w:line="360" w:lineRule="auto"/>
              <w:ind w:left="0" w:right="0" w:firstLine="460" w:firstLineChars="192"/>
              <w:rPr>
                <w:rFonts w:hint="default" w:ascii="宋体" w:hAnsi="宋体" w:eastAsia="宋体" w:cs="Times New Roman"/>
                <w:color w:val="000000"/>
                <w:sz w:val="24"/>
                <w:highlight w:val="none"/>
                <w:lang w:val="en-US" w:eastAsia="zh-CN"/>
              </w:rPr>
            </w:pPr>
            <w:r>
              <w:rPr>
                <w:rFonts w:hint="default" w:ascii="宋体" w:hAnsi="宋体" w:eastAsia="宋体" w:cs="Times New Roman"/>
                <w:color w:val="000000"/>
                <w:sz w:val="24"/>
                <w:highlight w:val="none"/>
                <w:lang w:val="en-US" w:eastAsia="zh-CN"/>
              </w:rPr>
              <w:t>项目结束，对</w:t>
            </w:r>
            <w:r>
              <w:rPr>
                <w:rFonts w:hint="eastAsia" w:ascii="宋体" w:hAnsi="宋体" w:eastAsia="宋体" w:cs="Times New Roman"/>
                <w:color w:val="000000"/>
                <w:sz w:val="24"/>
                <w:highlight w:val="none"/>
                <w:lang w:val="en-US" w:eastAsia="zh-CN"/>
              </w:rPr>
              <w:t>制梁场</w:t>
            </w:r>
            <w:r>
              <w:rPr>
                <w:rFonts w:hint="eastAsia" w:ascii="宋体" w:hAnsi="宋体" w:cs="Times New Roman"/>
                <w:color w:val="000000"/>
                <w:sz w:val="24"/>
                <w:highlight w:val="none"/>
                <w:lang w:val="en-US" w:eastAsia="zh-CN"/>
              </w:rPr>
              <w:t>1</w:t>
            </w:r>
            <w:r>
              <w:rPr>
                <w:rFonts w:hint="default" w:ascii="宋体" w:hAnsi="宋体" w:eastAsia="宋体" w:cs="Times New Roman"/>
                <w:color w:val="000000"/>
                <w:sz w:val="24"/>
                <w:highlight w:val="none"/>
                <w:lang w:val="en-US" w:eastAsia="zh-CN"/>
              </w:rPr>
              <w:t>进行平整，采用</w:t>
            </w:r>
            <w:r>
              <w:rPr>
                <w:rFonts w:hint="eastAsia" w:ascii="宋体" w:hAnsi="宋体" w:eastAsia="宋体" w:cs="Times New Roman"/>
                <w:color w:val="000000"/>
                <w:sz w:val="24"/>
                <w:highlight w:val="none"/>
                <w:lang w:val="en-US" w:eastAsia="zh-CN"/>
              </w:rPr>
              <w:t>74KW</w:t>
            </w:r>
            <w:r>
              <w:rPr>
                <w:rFonts w:hint="default" w:ascii="宋体" w:hAnsi="宋体" w:eastAsia="宋体" w:cs="Times New Roman"/>
                <w:color w:val="000000"/>
                <w:sz w:val="24"/>
                <w:highlight w:val="none"/>
                <w:lang w:val="en-US" w:eastAsia="zh-CN"/>
              </w:rPr>
              <w:t>推土机在场地就地推平，</w:t>
            </w:r>
            <w:r>
              <w:rPr>
                <w:rFonts w:hint="eastAsia" w:ascii="宋体" w:hAnsi="宋体" w:eastAsia="宋体" w:cs="Times New Roman"/>
                <w:color w:val="000000"/>
                <w:sz w:val="24"/>
                <w:highlight w:val="none"/>
                <w:lang w:val="en-US" w:eastAsia="zh-CN"/>
              </w:rPr>
              <w:t>场地</w:t>
            </w:r>
            <w:r>
              <w:rPr>
                <w:rFonts w:hint="default" w:ascii="宋体" w:hAnsi="宋体" w:eastAsia="宋体" w:cs="Times New Roman"/>
                <w:color w:val="000000"/>
                <w:sz w:val="24"/>
                <w:highlight w:val="none"/>
                <w:lang w:val="en-US" w:eastAsia="zh-CN"/>
              </w:rPr>
              <w:t>平整面积</w:t>
            </w:r>
            <w:r>
              <w:rPr>
                <w:rFonts w:hint="eastAsia" w:ascii="宋体" w:hAnsi="宋体" w:eastAsia="宋体" w:cs="Times New Roman"/>
                <w:color w:val="000000"/>
                <w:sz w:val="24"/>
                <w:highlight w:val="none"/>
                <w:lang w:val="en-US" w:eastAsia="zh-CN"/>
              </w:rPr>
              <w:t>0.5616</w:t>
            </w:r>
            <w:r>
              <w:rPr>
                <w:rFonts w:hint="default" w:ascii="宋体" w:hAnsi="宋体" w:eastAsia="宋体" w:cs="Times New Roman"/>
                <w:color w:val="000000"/>
                <w:sz w:val="24"/>
                <w:highlight w:val="none"/>
                <w:lang w:val="en-US" w:eastAsia="zh-CN"/>
              </w:rPr>
              <w:t>公顷，平整厚度约20cm，平整工程量</w:t>
            </w:r>
            <w:r>
              <w:rPr>
                <w:rFonts w:hint="eastAsia" w:ascii="宋体" w:hAnsi="宋体" w:eastAsia="宋体" w:cs="Times New Roman"/>
                <w:color w:val="000000"/>
                <w:sz w:val="24"/>
                <w:highlight w:val="none"/>
                <w:lang w:val="en-US" w:eastAsia="zh-CN"/>
              </w:rPr>
              <w:t>1123.2</w:t>
            </w:r>
            <w:r>
              <w:rPr>
                <w:rFonts w:hint="default" w:ascii="宋体" w:hAnsi="宋体" w:eastAsia="宋体" w:cs="Times New Roman"/>
                <w:color w:val="000000"/>
                <w:sz w:val="24"/>
                <w:highlight w:val="none"/>
                <w:lang w:val="en-US" w:eastAsia="zh-CN"/>
              </w:rPr>
              <w:t>立方米。</w:t>
            </w:r>
          </w:p>
          <w:p w14:paraId="74B9F3F7">
            <w:pPr>
              <w:keepNext w:val="0"/>
              <w:keepLines w:val="0"/>
              <w:suppressLineNumbers w:val="0"/>
              <w:spacing w:before="0" w:beforeAutospacing="0" w:after="0" w:afterAutospacing="0" w:line="360" w:lineRule="auto"/>
              <w:ind w:left="0" w:right="0" w:firstLine="463" w:firstLineChars="192"/>
              <w:rPr>
                <w:rFonts w:ascii="宋体" w:hAnsi="宋体" w:eastAsia="宋体" w:cs="Times New Roman"/>
                <w:b/>
                <w:bCs/>
                <w:color w:val="000000"/>
                <w:sz w:val="24"/>
                <w:highlight w:val="none"/>
              </w:rPr>
            </w:pPr>
            <w:r>
              <w:rPr>
                <w:rFonts w:hint="eastAsia" w:ascii="宋体" w:hAnsi="宋体" w:eastAsia="宋体" w:cs="Times New Roman"/>
                <w:b/>
                <w:bCs/>
                <w:color w:val="000000"/>
                <w:sz w:val="24"/>
                <w:highlight w:val="none"/>
                <w:lang w:val="en-US" w:eastAsia="zh-CN"/>
              </w:rPr>
              <w:t>6.2</w:t>
            </w:r>
            <w:r>
              <w:rPr>
                <w:rFonts w:hint="eastAsia" w:ascii="宋体" w:hAnsi="宋体" w:eastAsia="宋体" w:cs="Times New Roman"/>
                <w:b/>
                <w:bCs/>
                <w:color w:val="000000"/>
                <w:sz w:val="24"/>
                <w:highlight w:val="none"/>
              </w:rPr>
              <w:t>监测与管护</w:t>
            </w:r>
            <w:r>
              <w:rPr>
                <w:rFonts w:hint="eastAsia" w:ascii="宋体" w:hAnsi="宋体" w:eastAsia="宋体" w:cs="Times New Roman"/>
                <w:b/>
                <w:bCs/>
                <w:color w:val="000000"/>
                <w:sz w:val="24"/>
                <w:highlight w:val="none"/>
                <w:lang w:val="en-US" w:eastAsia="zh-CN"/>
              </w:rPr>
              <w:t>措施</w:t>
            </w:r>
          </w:p>
          <w:p w14:paraId="641C7652">
            <w:pPr>
              <w:keepNext w:val="0"/>
              <w:keepLines w:val="0"/>
              <w:suppressLineNumbers w:val="0"/>
              <w:adjustRightInd w:val="0"/>
              <w:spacing w:before="0" w:beforeAutospacing="0" w:after="0" w:afterAutospacing="0" w:line="360" w:lineRule="auto"/>
              <w:ind w:left="0" w:right="0"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6.2.1</w:t>
            </w:r>
            <w:r>
              <w:rPr>
                <w:rFonts w:hint="eastAsia" w:ascii="宋体" w:hAnsi="宋体" w:eastAsia="宋体" w:cs="Times New Roman"/>
                <w:color w:val="000000"/>
                <w:sz w:val="24"/>
                <w:highlight w:val="none"/>
              </w:rPr>
              <w:t>土地复垦监测工程</w:t>
            </w:r>
          </w:p>
          <w:p w14:paraId="1FA7DE09">
            <w:pPr>
              <w:keepNext w:val="0"/>
              <w:keepLines w:val="0"/>
              <w:suppressLineNumbers w:val="0"/>
              <w:adjustRightInd w:val="0"/>
              <w:spacing w:before="0" w:beforeAutospacing="0" w:after="0" w:afterAutospacing="0" w:line="360" w:lineRule="auto"/>
              <w:ind w:left="0" w:right="0"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6.2.1.1</w:t>
            </w:r>
            <w:r>
              <w:rPr>
                <w:rFonts w:ascii="宋体" w:hAnsi="宋体" w:eastAsia="宋体" w:cs="Times New Roman"/>
                <w:color w:val="000000"/>
                <w:sz w:val="24"/>
                <w:highlight w:val="none"/>
              </w:rPr>
              <w:t>土地损毁监测</w:t>
            </w:r>
          </w:p>
          <w:p w14:paraId="5117C97E">
            <w:pPr>
              <w:keepNext w:val="0"/>
              <w:keepLines w:val="0"/>
              <w:suppressLineNumbers w:val="0"/>
              <w:adjustRightInd w:val="0"/>
              <w:spacing w:before="0" w:beforeAutospacing="0" w:after="0" w:afterAutospacing="0" w:line="360" w:lineRule="auto"/>
              <w:ind w:left="0" w:right="0"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监测方式主要为定点定期人工巡视</w:t>
            </w:r>
            <w:r>
              <w:rPr>
                <w:rFonts w:hint="eastAsia" w:ascii="宋体" w:hAnsi="宋体" w:eastAsia="宋体" w:cs="Times New Roman"/>
                <w:color w:val="000000"/>
                <w:sz w:val="24"/>
                <w:highlight w:val="none"/>
                <w:lang w:val="en-US" w:eastAsia="zh-CN"/>
              </w:rPr>
              <w:t>和RTK（GPS）定测</w:t>
            </w:r>
            <w:r>
              <w:rPr>
                <w:rFonts w:ascii="宋体" w:hAnsi="宋体" w:eastAsia="宋体" w:cs="Times New Roman"/>
                <w:color w:val="000000"/>
                <w:sz w:val="24"/>
                <w:highlight w:val="none"/>
              </w:rPr>
              <w:t>。</w:t>
            </w:r>
          </w:p>
          <w:p w14:paraId="5BEF2AC5">
            <w:pPr>
              <w:keepNext w:val="0"/>
              <w:keepLines w:val="0"/>
              <w:suppressLineNumbers w:val="0"/>
              <w:adjustRightInd w:val="0"/>
              <w:spacing w:before="0" w:beforeAutospacing="0" w:after="0" w:afterAutospacing="0" w:line="360" w:lineRule="auto"/>
              <w:ind w:left="0" w:right="0"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本项目土地复垦方向为</w:t>
            </w:r>
            <w:r>
              <w:rPr>
                <w:rFonts w:hint="eastAsia" w:ascii="宋体" w:hAnsi="宋体" w:eastAsia="宋体" w:cs="Times New Roman"/>
                <w:color w:val="000000"/>
                <w:sz w:val="24"/>
                <w:highlight w:val="none"/>
                <w:lang w:val="en-US" w:eastAsia="zh-CN"/>
              </w:rPr>
              <w:t>裸岩石砾地和盐田及采矿用地</w:t>
            </w:r>
            <w:r>
              <w:rPr>
                <w:rFonts w:hint="eastAsia" w:ascii="宋体" w:hAnsi="宋体" w:eastAsia="宋体" w:cs="Times New Roman"/>
                <w:color w:val="000000"/>
                <w:sz w:val="24"/>
                <w:highlight w:val="none"/>
              </w:rPr>
              <w:t>，监测内容主要以损毁土地监测为主。监测对象为复垦责任范围内，土地损毁监测主要监测土地损毁的程度变化、面积、位置、</w:t>
            </w:r>
            <w:r>
              <w:rPr>
                <w:rFonts w:hint="eastAsia" w:ascii="宋体" w:hAnsi="宋体" w:eastAsia="宋体" w:cs="Times New Roman"/>
                <w:color w:val="000000"/>
                <w:sz w:val="24"/>
                <w:highlight w:val="none"/>
                <w:lang w:val="en-US" w:eastAsia="zh-CN"/>
              </w:rPr>
              <w:t>损毁</w:t>
            </w:r>
            <w:r>
              <w:rPr>
                <w:rFonts w:hint="eastAsia" w:ascii="宋体" w:hAnsi="宋体" w:eastAsia="宋体" w:cs="Times New Roman"/>
                <w:color w:val="000000"/>
                <w:sz w:val="24"/>
                <w:highlight w:val="none"/>
              </w:rPr>
              <w:t>情况。</w:t>
            </w:r>
            <w:r>
              <w:rPr>
                <w:rFonts w:hint="eastAsia" w:ascii="Calibri" w:hAnsi="Calibri" w:eastAsia="宋体" w:cs="Times New Roman"/>
                <w:spacing w:val="-1"/>
                <w:sz w:val="24"/>
                <w:szCs w:val="24"/>
                <w:lang w:val="en-US" w:eastAsia="zh-CN"/>
              </w:rPr>
              <w:t>按照宗地数量设置监测点，</w:t>
            </w:r>
            <w:r>
              <w:rPr>
                <w:rFonts w:hint="eastAsia" w:ascii="宋体" w:hAnsi="宋体" w:eastAsia="宋体" w:cs="Times New Roman"/>
                <w:color w:val="000000"/>
                <w:sz w:val="24"/>
                <w:highlight w:val="none"/>
                <w:lang w:val="en-US" w:eastAsia="zh-CN"/>
              </w:rPr>
              <w:t>共设20个监测点。</w:t>
            </w:r>
            <w:r>
              <w:rPr>
                <w:rFonts w:hint="eastAsia" w:ascii="Calibri" w:hAnsi="Calibri" w:eastAsia="宋体" w:cs="Times New Roman"/>
                <w:spacing w:val="-1"/>
                <w:sz w:val="24"/>
                <w:szCs w:val="24"/>
                <w:lang w:val="en-US" w:eastAsia="zh-CN"/>
              </w:rPr>
              <w:t>监测频率为损毁前、后各1次。</w:t>
            </w:r>
            <w:r>
              <w:rPr>
                <w:rFonts w:ascii="宋体" w:hAnsi="宋体" w:eastAsia="宋体" w:cs="Times New Roman"/>
                <w:color w:val="000000"/>
                <w:sz w:val="24"/>
                <w:highlight w:val="none"/>
              </w:rPr>
              <w:t>总监测次数为</w:t>
            </w:r>
            <w:r>
              <w:rPr>
                <w:rFonts w:hint="eastAsia" w:ascii="宋体" w:hAnsi="宋体" w:eastAsia="宋体" w:cs="Times New Roman"/>
                <w:color w:val="000000"/>
                <w:sz w:val="24"/>
                <w:highlight w:val="none"/>
                <w:lang w:val="en-US" w:eastAsia="zh-CN"/>
              </w:rPr>
              <w:t>40</w:t>
            </w:r>
            <w:r>
              <w:rPr>
                <w:rFonts w:ascii="宋体" w:hAnsi="宋体" w:eastAsia="宋体" w:cs="Times New Roman"/>
                <w:color w:val="000000"/>
                <w:sz w:val="24"/>
                <w:highlight w:val="none"/>
              </w:rPr>
              <w:t>次。</w:t>
            </w:r>
          </w:p>
          <w:p w14:paraId="05499DA0">
            <w:pPr>
              <w:keepNext w:val="0"/>
              <w:keepLines w:val="0"/>
              <w:suppressLineNumbers w:val="0"/>
              <w:adjustRightInd w:val="0"/>
              <w:spacing w:before="0" w:beforeAutospacing="0" w:after="0" w:afterAutospacing="0" w:line="360" w:lineRule="auto"/>
              <w:ind w:left="0" w:right="0" w:firstLine="482" w:firstLineChars="200"/>
              <w:rPr>
                <w:rFonts w:hint="default" w:ascii="宋体" w:hAnsi="宋体" w:eastAsia="宋体" w:cs="Times New Roman"/>
                <w:b/>
                <w:bCs/>
                <w:color w:val="000000"/>
                <w:sz w:val="24"/>
                <w:highlight w:val="none"/>
                <w:lang w:val="en-US" w:eastAsia="zh-CN"/>
              </w:rPr>
            </w:pPr>
            <w:r>
              <w:rPr>
                <w:rFonts w:hint="eastAsia" w:ascii="宋体" w:hAnsi="宋体" w:eastAsia="宋体" w:cs="Times New Roman"/>
                <w:b/>
                <w:bCs/>
                <w:color w:val="000000"/>
                <w:sz w:val="24"/>
                <w:highlight w:val="none"/>
                <w:lang w:val="en-US" w:eastAsia="zh-CN"/>
              </w:rPr>
              <w:t>6.1.3</w:t>
            </w:r>
            <w:r>
              <w:rPr>
                <w:rFonts w:hint="eastAsia" w:ascii="宋体" w:hAnsi="宋体" w:eastAsia="宋体" w:cs="Times New Roman"/>
                <w:b/>
                <w:bCs/>
                <w:color w:val="000000"/>
                <w:sz w:val="24"/>
                <w:highlight w:val="none"/>
              </w:rPr>
              <w:t>土地复垦管护</w:t>
            </w:r>
            <w:r>
              <w:rPr>
                <w:rFonts w:hint="eastAsia" w:ascii="宋体" w:hAnsi="宋体" w:eastAsia="宋体" w:cs="Times New Roman"/>
                <w:b/>
                <w:bCs/>
                <w:color w:val="000000"/>
                <w:sz w:val="24"/>
                <w:highlight w:val="none"/>
                <w:lang w:val="en-US" w:eastAsia="zh-CN"/>
              </w:rPr>
              <w:t>措施</w:t>
            </w:r>
          </w:p>
          <w:p w14:paraId="5DDF79A0">
            <w:pPr>
              <w:keepNext w:val="0"/>
              <w:keepLines w:val="0"/>
              <w:widowControl/>
              <w:suppressLineNumbers w:val="0"/>
              <w:spacing w:before="0" w:beforeAutospacing="0" w:after="0" w:afterAutospacing="0" w:line="360" w:lineRule="auto"/>
              <w:ind w:left="0" w:right="0" w:firstLine="480" w:firstLineChars="200"/>
              <w:rPr>
                <w:rFonts w:hint="default" w:ascii="宋体" w:hAnsi="宋体" w:eastAsia="宋体" w:cs="宋体"/>
                <w:color w:val="000000"/>
                <w:kern w:val="0"/>
                <w:sz w:val="24"/>
                <w:highlight w:val="none"/>
                <w:lang w:val="en-US" w:eastAsia="zh-CN"/>
              </w:rPr>
            </w:pPr>
            <w:r>
              <w:rPr>
                <w:rFonts w:hint="default" w:ascii="宋体" w:hAnsi="宋体" w:eastAsia="宋体" w:cs="宋体"/>
                <w:color w:val="000000"/>
                <w:kern w:val="0"/>
                <w:sz w:val="24"/>
                <w:highlight w:val="none"/>
                <w:lang w:val="en-US" w:eastAsia="zh-CN"/>
              </w:rPr>
              <w:t>管护工程主要是对重建植被</w:t>
            </w:r>
            <w:r>
              <w:rPr>
                <w:rFonts w:hint="eastAsia" w:ascii="宋体" w:hAnsi="宋体" w:eastAsia="宋体" w:cs="宋体"/>
                <w:color w:val="000000"/>
                <w:kern w:val="0"/>
                <w:sz w:val="24"/>
                <w:highlight w:val="none"/>
                <w:lang w:val="en-US" w:eastAsia="zh-CN"/>
              </w:rPr>
              <w:t>成活率</w:t>
            </w:r>
            <w:r>
              <w:rPr>
                <w:rFonts w:hint="default" w:ascii="宋体" w:hAnsi="宋体" w:eastAsia="宋体" w:cs="宋体"/>
                <w:color w:val="000000"/>
                <w:kern w:val="0"/>
                <w:sz w:val="24"/>
                <w:highlight w:val="none"/>
                <w:lang w:val="en-US" w:eastAsia="zh-CN"/>
              </w:rPr>
              <w:t>进行管护，</w:t>
            </w:r>
            <w:r>
              <w:rPr>
                <w:rFonts w:hint="eastAsia" w:ascii="宋体" w:hAnsi="宋体" w:eastAsia="宋体" w:cs="宋体"/>
                <w:color w:val="000000"/>
                <w:kern w:val="0"/>
                <w:sz w:val="24"/>
                <w:highlight w:val="none"/>
                <w:lang w:val="en-US" w:eastAsia="zh-CN"/>
              </w:rPr>
              <w:t>本项目涉及土地类型为</w:t>
            </w:r>
            <w:r>
              <w:rPr>
                <w:rFonts w:hint="eastAsia" w:ascii="宋体" w:hAnsi="宋体" w:eastAsia="宋体" w:cs="Times New Roman"/>
                <w:color w:val="000000"/>
                <w:sz w:val="24"/>
                <w:highlight w:val="none"/>
                <w:lang w:val="en-US" w:eastAsia="zh-CN"/>
              </w:rPr>
              <w:t>裸岩石砾地和盐田及采矿用地，因此，本项目不设置管护措施。</w:t>
            </w:r>
          </w:p>
          <w:p w14:paraId="3E4F9492">
            <w:pPr>
              <w:pStyle w:val="6"/>
              <w:suppressLineNumbers w:val="0"/>
              <w:spacing w:before="0" w:beforeAutospacing="0" w:after="0" w:afterAutospacing="0" w:line="360" w:lineRule="auto"/>
              <w:ind w:left="0" w:right="0" w:firstLine="482" w:firstLineChars="200"/>
              <w:outlineLvl w:val="3"/>
              <w:rPr>
                <w:rFonts w:hint="eastAsia" w:ascii="宋体" w:hAnsi="宋体" w:eastAsia="宋体" w:cs="Times New Roman"/>
                <w:b/>
                <w:bCs/>
                <w:color w:val="000000"/>
                <w:sz w:val="24"/>
                <w:highlight w:val="none"/>
              </w:rPr>
            </w:pPr>
            <w:r>
              <w:rPr>
                <w:rFonts w:hint="eastAsia" w:ascii="宋体" w:hAnsi="宋体" w:eastAsia="宋体" w:cs="Times New Roman"/>
                <w:b/>
                <w:bCs/>
                <w:color w:val="000000"/>
                <w:sz w:val="24"/>
                <w:highlight w:val="none"/>
                <w:lang w:val="en-US" w:eastAsia="zh-CN"/>
              </w:rPr>
              <w:t>6.1.4</w:t>
            </w:r>
            <w:r>
              <w:rPr>
                <w:rFonts w:hint="eastAsia" w:ascii="宋体" w:hAnsi="宋体" w:eastAsia="宋体" w:cs="Times New Roman"/>
                <w:b/>
                <w:bCs/>
                <w:color w:val="000000"/>
                <w:sz w:val="24"/>
                <w:highlight w:val="none"/>
              </w:rPr>
              <w:t>复垦工程量</w:t>
            </w:r>
          </w:p>
          <w:p w14:paraId="48AAC3D3">
            <w:pPr>
              <w:keepNext w:val="0"/>
              <w:keepLines w:val="0"/>
              <w:suppressLineNumbers w:val="0"/>
              <w:spacing w:before="0" w:beforeAutospacing="0" w:after="0" w:afterAutospacing="0" w:line="360" w:lineRule="auto"/>
              <w:ind w:left="0" w:right="0"/>
              <w:rPr>
                <w:rFonts w:hint="default" w:eastAsia="宋体"/>
                <w:b w:val="0"/>
                <w:bCs w:val="0"/>
                <w:lang w:val="en-US" w:eastAsia="zh-CN"/>
              </w:rPr>
            </w:pPr>
            <w:r>
              <w:rPr>
                <w:rFonts w:hint="eastAsia" w:ascii="宋体" w:hAnsi="宋体" w:cs="Times New Roman"/>
                <w:b/>
                <w:bCs/>
                <w:color w:val="000000"/>
                <w:sz w:val="24"/>
                <w:highlight w:val="none"/>
                <w:lang w:val="en-US" w:eastAsia="zh-CN"/>
              </w:rPr>
              <w:t xml:space="preserve">    </w:t>
            </w:r>
            <w:r>
              <w:rPr>
                <w:rFonts w:hint="eastAsia" w:ascii="宋体" w:hAnsi="宋体" w:cs="Times New Roman"/>
                <w:b w:val="0"/>
                <w:bCs w:val="0"/>
                <w:color w:val="000000"/>
                <w:sz w:val="24"/>
                <w:highlight w:val="none"/>
                <w:lang w:val="en-US" w:eastAsia="zh-CN"/>
              </w:rPr>
              <w:t>项目复垦工程量统计如下：</w:t>
            </w:r>
          </w:p>
          <w:p w14:paraId="6B996C2E">
            <w:pPr>
              <w:keepNext w:val="0"/>
              <w:keepLines w:val="0"/>
              <w:suppressLineNumbers w:val="0"/>
              <w:spacing w:before="0" w:beforeAutospacing="0" w:after="0" w:afterAutospacing="0" w:line="440" w:lineRule="exact"/>
              <w:ind w:left="0" w:right="0"/>
              <w:jc w:val="center"/>
              <w:rPr>
                <w:rFonts w:ascii="宋体" w:hAnsi="宋体" w:eastAsia="宋体" w:cs="Times New Roman"/>
                <w:b/>
                <w:bCs/>
                <w:color w:val="000000"/>
                <w:sz w:val="24"/>
                <w:highlight w:val="none"/>
              </w:rPr>
            </w:pPr>
            <w:r>
              <w:rPr>
                <w:rFonts w:ascii="宋体" w:hAnsi="宋体" w:eastAsia="宋体" w:cs="Times New Roman"/>
                <w:b/>
                <w:bCs/>
                <w:color w:val="000000"/>
                <w:sz w:val="24"/>
                <w:highlight w:val="none"/>
              </w:rPr>
              <w:t>表</w:t>
            </w:r>
            <w:r>
              <w:rPr>
                <w:rFonts w:hint="eastAsia" w:ascii="宋体" w:hAnsi="宋体" w:eastAsia="宋体" w:cs="Times New Roman"/>
                <w:b/>
                <w:bCs/>
                <w:color w:val="000000"/>
                <w:sz w:val="24"/>
                <w:highlight w:val="none"/>
              </w:rPr>
              <w:t>6-</w:t>
            </w:r>
            <w:r>
              <w:rPr>
                <w:rFonts w:hint="eastAsia" w:ascii="宋体" w:hAnsi="宋体" w:eastAsia="宋体" w:cs="Times New Roman"/>
                <w:b/>
                <w:bCs/>
                <w:color w:val="000000"/>
                <w:sz w:val="24"/>
                <w:highlight w:val="none"/>
                <w:lang w:val="en-US" w:eastAsia="zh-CN"/>
              </w:rPr>
              <w:t>1复垦</w:t>
            </w:r>
            <w:r>
              <w:rPr>
                <w:rFonts w:ascii="宋体" w:hAnsi="宋体" w:eastAsia="宋体" w:cs="Times New Roman"/>
                <w:b/>
                <w:bCs/>
                <w:color w:val="000000"/>
                <w:sz w:val="24"/>
                <w:highlight w:val="none"/>
              </w:rPr>
              <w:t>工程量统计表</w:t>
            </w:r>
          </w:p>
          <w:tbl>
            <w:tblPr>
              <w:tblStyle w:val="19"/>
              <w:tblW w:w="8280" w:type="dxa"/>
              <w:jc w:val="center"/>
              <w:shd w:val="clear" w:color="auto" w:fill="auto"/>
              <w:tblLayout w:type="fixed"/>
              <w:tblCellMar>
                <w:top w:w="0" w:type="dxa"/>
                <w:left w:w="0" w:type="dxa"/>
                <w:bottom w:w="0" w:type="dxa"/>
                <w:right w:w="0" w:type="dxa"/>
              </w:tblCellMar>
            </w:tblPr>
            <w:tblGrid>
              <w:gridCol w:w="1464"/>
              <w:gridCol w:w="1992"/>
              <w:gridCol w:w="1992"/>
              <w:gridCol w:w="1176"/>
              <w:gridCol w:w="1656"/>
            </w:tblGrid>
            <w:tr w14:paraId="1FCDA485">
              <w:tblPrEx>
                <w:shd w:val="clear" w:color="auto" w:fill="auto"/>
                <w:tblCellMar>
                  <w:top w:w="0" w:type="dxa"/>
                  <w:left w:w="0" w:type="dxa"/>
                  <w:bottom w:w="0" w:type="dxa"/>
                  <w:right w:w="0" w:type="dxa"/>
                </w:tblCellMar>
              </w:tblPrEx>
              <w:trPr>
                <w:trHeight w:val="351" w:hRule="atLeast"/>
                <w:jc w:val="center"/>
              </w:trPr>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AF31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E0F4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定额编号</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0589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单项名称</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61C6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单位</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E52A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工程量</w:t>
                  </w:r>
                </w:p>
              </w:tc>
            </w:tr>
            <w:tr w14:paraId="4DE373AB">
              <w:tblPrEx>
                <w:shd w:val="clear" w:color="auto" w:fill="auto"/>
                <w:tblCellMar>
                  <w:top w:w="0" w:type="dxa"/>
                  <w:left w:w="0" w:type="dxa"/>
                  <w:bottom w:w="0" w:type="dxa"/>
                  <w:right w:w="0" w:type="dxa"/>
                </w:tblCellMar>
              </w:tblPrEx>
              <w:trPr>
                <w:trHeight w:val="292" w:hRule="atLeast"/>
                <w:jc w:val="center"/>
              </w:trPr>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4A42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w:t>
                  </w:r>
                </w:p>
              </w:tc>
              <w:tc>
                <w:tcPr>
                  <w:tcW w:w="3984"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7834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土地复垦工程</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C418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7676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w:t>
                  </w:r>
                </w:p>
              </w:tc>
            </w:tr>
            <w:tr w14:paraId="2BE58951">
              <w:tblPrEx>
                <w:tblCellMar>
                  <w:top w:w="0" w:type="dxa"/>
                  <w:left w:w="0" w:type="dxa"/>
                  <w:bottom w:w="0" w:type="dxa"/>
                  <w:right w:w="0" w:type="dxa"/>
                </w:tblCellMar>
              </w:tblPrEx>
              <w:trPr>
                <w:trHeight w:val="292" w:hRule="atLeast"/>
                <w:jc w:val="center"/>
              </w:trPr>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5BDA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w:t>
                  </w:r>
                </w:p>
              </w:tc>
              <w:tc>
                <w:tcPr>
                  <w:tcW w:w="3984"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918B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制梁场1</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06C62D">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8"/>
                      <w:szCs w:val="18"/>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E59285">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8"/>
                      <w:szCs w:val="18"/>
                      <w:u w:val="none"/>
                    </w:rPr>
                  </w:pPr>
                </w:p>
              </w:tc>
            </w:tr>
            <w:tr w14:paraId="41315782">
              <w:tblPrEx>
                <w:shd w:val="clear" w:color="auto" w:fill="auto"/>
                <w:tblCellMar>
                  <w:top w:w="0" w:type="dxa"/>
                  <w:left w:w="0" w:type="dxa"/>
                  <w:bottom w:w="0" w:type="dxa"/>
                  <w:right w:w="0" w:type="dxa"/>
                </w:tblCellMar>
              </w:tblPrEx>
              <w:trPr>
                <w:trHeight w:val="292" w:hRule="atLeast"/>
                <w:jc w:val="center"/>
              </w:trPr>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0F2D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74B9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cs="宋体"/>
                      <w:i w:val="0"/>
                      <w:color w:val="000000"/>
                      <w:kern w:val="0"/>
                      <w:sz w:val="18"/>
                      <w:szCs w:val="18"/>
                      <w:u w:val="none"/>
                      <w:lang w:val="en-US" w:eastAsia="zh-CN" w:bidi="ar"/>
                    </w:rPr>
                    <w:t>10319</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D610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场地平整</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CA64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100m</w:t>
                  </w:r>
                  <w:r>
                    <w:rPr>
                      <w:rFonts w:hint="eastAsia" w:ascii="宋体" w:hAnsi="宋体" w:eastAsia="宋体" w:cs="宋体"/>
                      <w:i w:val="0"/>
                      <w:color w:val="000000"/>
                      <w:kern w:val="0"/>
                      <w:sz w:val="18"/>
                      <w:szCs w:val="18"/>
                      <w:u w:val="none"/>
                      <w:vertAlign w:val="superscript"/>
                      <w:lang w:val="en-US" w:eastAsia="zh-CN" w:bidi="ar"/>
                    </w:rPr>
                    <w:t>3</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F3FE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7.106 </w:t>
                  </w:r>
                </w:p>
              </w:tc>
            </w:tr>
            <w:tr w14:paraId="3901137B">
              <w:tblPrEx>
                <w:shd w:val="clear" w:color="auto" w:fill="auto"/>
                <w:tblCellMar>
                  <w:top w:w="0" w:type="dxa"/>
                  <w:left w:w="0" w:type="dxa"/>
                  <w:bottom w:w="0" w:type="dxa"/>
                  <w:right w:w="0" w:type="dxa"/>
                </w:tblCellMar>
              </w:tblPrEx>
              <w:trPr>
                <w:trHeight w:val="292" w:hRule="atLeast"/>
                <w:jc w:val="center"/>
              </w:trPr>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C4E7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w:t>
                  </w:r>
                </w:p>
              </w:tc>
              <w:tc>
                <w:tcPr>
                  <w:tcW w:w="3984"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A568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制梁场2</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CB18A4">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8"/>
                      <w:szCs w:val="18"/>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EDA7E6">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8"/>
                      <w:szCs w:val="18"/>
                      <w:u w:val="none"/>
                    </w:rPr>
                  </w:pPr>
                </w:p>
              </w:tc>
            </w:tr>
            <w:tr w14:paraId="6DEC6133">
              <w:tblPrEx>
                <w:shd w:val="clear" w:color="auto" w:fill="auto"/>
                <w:tblCellMar>
                  <w:top w:w="0" w:type="dxa"/>
                  <w:left w:w="0" w:type="dxa"/>
                  <w:bottom w:w="0" w:type="dxa"/>
                  <w:right w:w="0" w:type="dxa"/>
                </w:tblCellMar>
              </w:tblPrEx>
              <w:trPr>
                <w:trHeight w:val="292" w:hRule="atLeast"/>
                <w:jc w:val="center"/>
              </w:trPr>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C376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8188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cs="宋体"/>
                      <w:i w:val="0"/>
                      <w:color w:val="000000"/>
                      <w:kern w:val="0"/>
                      <w:sz w:val="18"/>
                      <w:szCs w:val="18"/>
                      <w:u w:val="none"/>
                      <w:lang w:val="en-US" w:eastAsia="zh-CN" w:bidi="ar"/>
                    </w:rPr>
                    <w:t>10319</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BED5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场地平整</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F3A5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100m</w:t>
                  </w:r>
                  <w:r>
                    <w:rPr>
                      <w:rFonts w:hint="eastAsia" w:ascii="宋体" w:hAnsi="宋体" w:eastAsia="宋体" w:cs="宋体"/>
                      <w:i w:val="0"/>
                      <w:color w:val="000000"/>
                      <w:kern w:val="0"/>
                      <w:sz w:val="18"/>
                      <w:szCs w:val="18"/>
                      <w:u w:val="none"/>
                      <w:vertAlign w:val="superscript"/>
                      <w:lang w:val="en-US" w:eastAsia="zh-CN" w:bidi="ar"/>
                    </w:rPr>
                    <w:t>3</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7527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7.808 </w:t>
                  </w:r>
                </w:p>
              </w:tc>
            </w:tr>
            <w:tr w14:paraId="00461CE3">
              <w:tblPrEx>
                <w:shd w:val="clear" w:color="auto" w:fill="auto"/>
                <w:tblCellMar>
                  <w:top w:w="0" w:type="dxa"/>
                  <w:left w:w="0" w:type="dxa"/>
                  <w:bottom w:w="0" w:type="dxa"/>
                  <w:right w:w="0" w:type="dxa"/>
                </w:tblCellMar>
              </w:tblPrEx>
              <w:trPr>
                <w:trHeight w:val="292" w:hRule="atLeast"/>
                <w:jc w:val="center"/>
              </w:trPr>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2C0C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w:t>
                  </w:r>
                </w:p>
              </w:tc>
              <w:tc>
                <w:tcPr>
                  <w:tcW w:w="3984"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C1C0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材料堆场1</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96DDE4">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8"/>
                      <w:szCs w:val="18"/>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AA99D0">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8"/>
                      <w:szCs w:val="18"/>
                      <w:u w:val="none"/>
                    </w:rPr>
                  </w:pPr>
                </w:p>
              </w:tc>
            </w:tr>
            <w:tr w14:paraId="44F28D95">
              <w:tblPrEx>
                <w:shd w:val="clear" w:color="auto" w:fill="auto"/>
                <w:tblCellMar>
                  <w:top w:w="0" w:type="dxa"/>
                  <w:left w:w="0" w:type="dxa"/>
                  <w:bottom w:w="0" w:type="dxa"/>
                  <w:right w:w="0" w:type="dxa"/>
                </w:tblCellMar>
              </w:tblPrEx>
              <w:trPr>
                <w:trHeight w:val="292" w:hRule="atLeast"/>
                <w:jc w:val="center"/>
              </w:trPr>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4FF7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EE81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XB40012</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8482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硬化拆除</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DADB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100m</w:t>
                  </w:r>
                  <w:r>
                    <w:rPr>
                      <w:rFonts w:hint="eastAsia" w:ascii="宋体" w:hAnsi="宋体" w:eastAsia="宋体" w:cs="宋体"/>
                      <w:i w:val="0"/>
                      <w:color w:val="000000"/>
                      <w:kern w:val="0"/>
                      <w:sz w:val="18"/>
                      <w:szCs w:val="18"/>
                      <w:u w:val="none"/>
                      <w:vertAlign w:val="superscript"/>
                      <w:lang w:val="en-US" w:eastAsia="zh-CN" w:bidi="ar"/>
                    </w:rPr>
                    <w:t>3</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F5FF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0.352 </w:t>
                  </w:r>
                </w:p>
              </w:tc>
            </w:tr>
            <w:tr w14:paraId="5FC2685A">
              <w:tblPrEx>
                <w:shd w:val="clear" w:color="auto" w:fill="auto"/>
                <w:tblCellMar>
                  <w:top w:w="0" w:type="dxa"/>
                  <w:left w:w="0" w:type="dxa"/>
                  <w:bottom w:w="0" w:type="dxa"/>
                  <w:right w:w="0" w:type="dxa"/>
                </w:tblCellMar>
              </w:tblPrEx>
              <w:trPr>
                <w:trHeight w:val="292" w:hRule="atLeast"/>
                <w:jc w:val="center"/>
              </w:trPr>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96C2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24C2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cs="宋体"/>
                      <w:i w:val="0"/>
                      <w:color w:val="000000"/>
                      <w:kern w:val="0"/>
                      <w:sz w:val="18"/>
                      <w:szCs w:val="18"/>
                      <w:u w:val="none"/>
                      <w:lang w:val="en-US" w:eastAsia="zh-CN" w:bidi="ar"/>
                    </w:rPr>
                    <w:t>20293</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0D1B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垃圾清运</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003F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100m</w:t>
                  </w:r>
                  <w:r>
                    <w:rPr>
                      <w:rFonts w:hint="eastAsia" w:ascii="宋体" w:hAnsi="宋体" w:eastAsia="宋体" w:cs="宋体"/>
                      <w:i w:val="0"/>
                      <w:color w:val="000000"/>
                      <w:kern w:val="0"/>
                      <w:sz w:val="18"/>
                      <w:szCs w:val="18"/>
                      <w:u w:val="none"/>
                      <w:vertAlign w:val="superscript"/>
                      <w:lang w:val="en-US" w:eastAsia="zh-CN" w:bidi="ar"/>
                    </w:rPr>
                    <w:t>3</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C635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0.352 </w:t>
                  </w:r>
                </w:p>
              </w:tc>
            </w:tr>
            <w:tr w14:paraId="3DC35BB7">
              <w:tblPrEx>
                <w:shd w:val="clear" w:color="auto" w:fill="auto"/>
                <w:tblCellMar>
                  <w:top w:w="0" w:type="dxa"/>
                  <w:left w:w="0" w:type="dxa"/>
                  <w:bottom w:w="0" w:type="dxa"/>
                  <w:right w:w="0" w:type="dxa"/>
                </w:tblCellMar>
              </w:tblPrEx>
              <w:trPr>
                <w:trHeight w:val="292" w:hRule="atLeast"/>
                <w:jc w:val="center"/>
              </w:trPr>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F49E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2CB7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cs="宋体"/>
                      <w:i w:val="0"/>
                      <w:color w:val="000000"/>
                      <w:kern w:val="0"/>
                      <w:sz w:val="18"/>
                      <w:szCs w:val="18"/>
                      <w:u w:val="none"/>
                      <w:lang w:val="en-US" w:eastAsia="zh-CN" w:bidi="ar"/>
                    </w:rPr>
                    <w:t>10319</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1188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场地平整</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6000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100m</w:t>
                  </w:r>
                  <w:r>
                    <w:rPr>
                      <w:rFonts w:hint="eastAsia" w:ascii="宋体" w:hAnsi="宋体" w:eastAsia="宋体" w:cs="宋体"/>
                      <w:i w:val="0"/>
                      <w:color w:val="000000"/>
                      <w:kern w:val="0"/>
                      <w:sz w:val="18"/>
                      <w:szCs w:val="18"/>
                      <w:u w:val="none"/>
                      <w:vertAlign w:val="superscript"/>
                      <w:lang w:val="en-US" w:eastAsia="zh-CN" w:bidi="ar"/>
                    </w:rPr>
                    <w:t>3</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BA1D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8.590 </w:t>
                  </w:r>
                </w:p>
              </w:tc>
            </w:tr>
            <w:tr w14:paraId="1A67A41C">
              <w:tblPrEx>
                <w:shd w:val="clear" w:color="auto" w:fill="auto"/>
                <w:tblCellMar>
                  <w:top w:w="0" w:type="dxa"/>
                  <w:left w:w="0" w:type="dxa"/>
                  <w:bottom w:w="0" w:type="dxa"/>
                  <w:right w:w="0" w:type="dxa"/>
                </w:tblCellMar>
              </w:tblPrEx>
              <w:trPr>
                <w:trHeight w:val="292" w:hRule="atLeast"/>
                <w:jc w:val="center"/>
              </w:trPr>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9CB8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（四）</w:t>
                  </w:r>
                </w:p>
              </w:tc>
              <w:tc>
                <w:tcPr>
                  <w:tcW w:w="3984"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01FC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材料堆场2</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8C91F4">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8"/>
                      <w:szCs w:val="18"/>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2AEF94">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8"/>
                      <w:szCs w:val="18"/>
                      <w:u w:val="none"/>
                    </w:rPr>
                  </w:pPr>
                </w:p>
              </w:tc>
            </w:tr>
            <w:tr w14:paraId="41FABCE6">
              <w:tblPrEx>
                <w:shd w:val="clear" w:color="auto" w:fill="auto"/>
                <w:tblCellMar>
                  <w:top w:w="0" w:type="dxa"/>
                  <w:left w:w="0" w:type="dxa"/>
                  <w:bottom w:w="0" w:type="dxa"/>
                  <w:right w:w="0" w:type="dxa"/>
                </w:tblCellMar>
              </w:tblPrEx>
              <w:trPr>
                <w:trHeight w:val="292" w:hRule="atLeast"/>
                <w:jc w:val="center"/>
              </w:trPr>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8877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E46E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XB40012</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6798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硬化拆除</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5404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100m</w:t>
                  </w:r>
                  <w:r>
                    <w:rPr>
                      <w:rFonts w:hint="eastAsia" w:ascii="宋体" w:hAnsi="宋体" w:eastAsia="宋体" w:cs="宋体"/>
                      <w:i w:val="0"/>
                      <w:color w:val="000000"/>
                      <w:kern w:val="0"/>
                      <w:sz w:val="18"/>
                      <w:szCs w:val="18"/>
                      <w:u w:val="none"/>
                      <w:vertAlign w:val="superscript"/>
                      <w:lang w:val="en-US" w:eastAsia="zh-CN" w:bidi="ar"/>
                    </w:rPr>
                    <w:t>3</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411C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1.480 </w:t>
                  </w:r>
                </w:p>
              </w:tc>
            </w:tr>
            <w:tr w14:paraId="47CE146A">
              <w:tblPrEx>
                <w:shd w:val="clear" w:color="auto" w:fill="auto"/>
                <w:tblCellMar>
                  <w:top w:w="0" w:type="dxa"/>
                  <w:left w:w="0" w:type="dxa"/>
                  <w:bottom w:w="0" w:type="dxa"/>
                  <w:right w:w="0" w:type="dxa"/>
                </w:tblCellMar>
              </w:tblPrEx>
              <w:trPr>
                <w:trHeight w:val="292" w:hRule="atLeast"/>
                <w:jc w:val="center"/>
              </w:trPr>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9397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D414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cs="宋体"/>
                      <w:i w:val="0"/>
                      <w:color w:val="000000"/>
                      <w:kern w:val="0"/>
                      <w:sz w:val="18"/>
                      <w:szCs w:val="18"/>
                      <w:u w:val="none"/>
                      <w:lang w:val="en-US" w:eastAsia="zh-CN" w:bidi="ar"/>
                    </w:rPr>
                    <w:t>20293</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47C3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垃圾清运</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C721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100m</w:t>
                  </w:r>
                  <w:r>
                    <w:rPr>
                      <w:rFonts w:hint="eastAsia" w:ascii="宋体" w:hAnsi="宋体" w:eastAsia="宋体" w:cs="宋体"/>
                      <w:i w:val="0"/>
                      <w:color w:val="000000"/>
                      <w:kern w:val="0"/>
                      <w:sz w:val="18"/>
                      <w:szCs w:val="18"/>
                      <w:u w:val="none"/>
                      <w:vertAlign w:val="superscript"/>
                      <w:lang w:val="en-US" w:eastAsia="zh-CN" w:bidi="ar"/>
                    </w:rPr>
                    <w:t>3</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73C8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1.480 </w:t>
                  </w:r>
                </w:p>
              </w:tc>
            </w:tr>
            <w:tr w14:paraId="208D394E">
              <w:tblPrEx>
                <w:shd w:val="clear" w:color="auto" w:fill="auto"/>
                <w:tblCellMar>
                  <w:top w:w="0" w:type="dxa"/>
                  <w:left w:w="0" w:type="dxa"/>
                  <w:bottom w:w="0" w:type="dxa"/>
                  <w:right w:w="0" w:type="dxa"/>
                </w:tblCellMar>
              </w:tblPrEx>
              <w:trPr>
                <w:trHeight w:val="292" w:hRule="atLeast"/>
                <w:jc w:val="center"/>
              </w:trPr>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41FC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7A60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cs="宋体"/>
                      <w:i w:val="0"/>
                      <w:color w:val="000000"/>
                      <w:kern w:val="0"/>
                      <w:sz w:val="18"/>
                      <w:szCs w:val="18"/>
                      <w:u w:val="none"/>
                      <w:lang w:val="en-US" w:eastAsia="zh-CN" w:bidi="ar"/>
                    </w:rPr>
                    <w:t>10319</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CB41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场地平整</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031D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100m</w:t>
                  </w:r>
                  <w:r>
                    <w:rPr>
                      <w:rFonts w:hint="eastAsia" w:ascii="宋体" w:hAnsi="宋体" w:eastAsia="宋体" w:cs="宋体"/>
                      <w:i w:val="0"/>
                      <w:color w:val="000000"/>
                      <w:kern w:val="0"/>
                      <w:sz w:val="18"/>
                      <w:szCs w:val="18"/>
                      <w:u w:val="none"/>
                      <w:vertAlign w:val="superscript"/>
                      <w:lang w:val="en-US" w:eastAsia="zh-CN" w:bidi="ar"/>
                    </w:rPr>
                    <w:t>3</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FEFF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31.272 </w:t>
                  </w:r>
                </w:p>
              </w:tc>
            </w:tr>
            <w:tr w14:paraId="6D735017">
              <w:tblPrEx>
                <w:shd w:val="clear" w:color="auto" w:fill="auto"/>
                <w:tblCellMar>
                  <w:top w:w="0" w:type="dxa"/>
                  <w:left w:w="0" w:type="dxa"/>
                  <w:bottom w:w="0" w:type="dxa"/>
                  <w:right w:w="0" w:type="dxa"/>
                </w:tblCellMar>
              </w:tblPrEx>
              <w:trPr>
                <w:trHeight w:val="292" w:hRule="atLeast"/>
                <w:jc w:val="center"/>
              </w:trPr>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A431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（五）</w:t>
                  </w:r>
                </w:p>
              </w:tc>
              <w:tc>
                <w:tcPr>
                  <w:tcW w:w="3984"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E3F8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钢筋加工厂1</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A9F2A5">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8"/>
                      <w:szCs w:val="18"/>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B5DBA9">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8"/>
                      <w:szCs w:val="18"/>
                      <w:u w:val="none"/>
                    </w:rPr>
                  </w:pPr>
                </w:p>
              </w:tc>
            </w:tr>
            <w:tr w14:paraId="7E3E4E1C">
              <w:tblPrEx>
                <w:shd w:val="clear" w:color="auto" w:fill="auto"/>
                <w:tblCellMar>
                  <w:top w:w="0" w:type="dxa"/>
                  <w:left w:w="0" w:type="dxa"/>
                  <w:bottom w:w="0" w:type="dxa"/>
                  <w:right w:w="0" w:type="dxa"/>
                </w:tblCellMar>
              </w:tblPrEx>
              <w:trPr>
                <w:trHeight w:val="292" w:hRule="atLeast"/>
                <w:jc w:val="center"/>
              </w:trPr>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F86B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96C7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cs="宋体"/>
                      <w:i w:val="0"/>
                      <w:color w:val="000000"/>
                      <w:kern w:val="0"/>
                      <w:sz w:val="18"/>
                      <w:szCs w:val="18"/>
                      <w:u w:val="none"/>
                      <w:lang w:val="en-US" w:eastAsia="zh-CN" w:bidi="ar"/>
                    </w:rPr>
                    <w:t>10319</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86D7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场地平整</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4E40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100m</w:t>
                  </w:r>
                  <w:r>
                    <w:rPr>
                      <w:rFonts w:hint="eastAsia" w:ascii="宋体" w:hAnsi="宋体" w:eastAsia="宋体" w:cs="宋体"/>
                      <w:i w:val="0"/>
                      <w:color w:val="000000"/>
                      <w:kern w:val="0"/>
                      <w:sz w:val="18"/>
                      <w:szCs w:val="18"/>
                      <w:u w:val="none"/>
                      <w:vertAlign w:val="superscript"/>
                      <w:lang w:val="en-US" w:eastAsia="zh-CN" w:bidi="ar"/>
                    </w:rPr>
                    <w:t>3</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73D6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7.648 </w:t>
                  </w:r>
                </w:p>
              </w:tc>
            </w:tr>
            <w:tr w14:paraId="062AFB9C">
              <w:tblPrEx>
                <w:tblCellMar>
                  <w:top w:w="0" w:type="dxa"/>
                  <w:left w:w="0" w:type="dxa"/>
                  <w:bottom w:w="0" w:type="dxa"/>
                  <w:right w:w="0" w:type="dxa"/>
                </w:tblCellMar>
              </w:tblPrEx>
              <w:trPr>
                <w:trHeight w:val="292" w:hRule="atLeast"/>
                <w:jc w:val="center"/>
              </w:trPr>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01E2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（六）</w:t>
                  </w:r>
                </w:p>
              </w:tc>
              <w:tc>
                <w:tcPr>
                  <w:tcW w:w="3984"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5463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钢筋加工厂2</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C1389B">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8"/>
                      <w:szCs w:val="18"/>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91E983">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8"/>
                      <w:szCs w:val="18"/>
                      <w:u w:val="none"/>
                    </w:rPr>
                  </w:pPr>
                </w:p>
              </w:tc>
            </w:tr>
            <w:tr w14:paraId="682B3774">
              <w:tblPrEx>
                <w:shd w:val="clear" w:color="auto" w:fill="auto"/>
                <w:tblCellMar>
                  <w:top w:w="0" w:type="dxa"/>
                  <w:left w:w="0" w:type="dxa"/>
                  <w:bottom w:w="0" w:type="dxa"/>
                  <w:right w:w="0" w:type="dxa"/>
                </w:tblCellMar>
              </w:tblPrEx>
              <w:trPr>
                <w:trHeight w:val="292" w:hRule="atLeast"/>
                <w:jc w:val="center"/>
              </w:trPr>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78BC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323B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cs="宋体"/>
                      <w:i w:val="0"/>
                      <w:color w:val="000000"/>
                      <w:kern w:val="0"/>
                      <w:sz w:val="18"/>
                      <w:szCs w:val="18"/>
                      <w:u w:val="none"/>
                      <w:lang w:val="en-US" w:eastAsia="zh-CN" w:bidi="ar"/>
                    </w:rPr>
                    <w:t>10319</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030A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场地平整</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B297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100m</w:t>
                  </w:r>
                  <w:r>
                    <w:rPr>
                      <w:rFonts w:hint="eastAsia" w:ascii="宋体" w:hAnsi="宋体" w:eastAsia="宋体" w:cs="宋体"/>
                      <w:i w:val="0"/>
                      <w:color w:val="000000"/>
                      <w:kern w:val="0"/>
                      <w:sz w:val="18"/>
                      <w:szCs w:val="18"/>
                      <w:u w:val="none"/>
                      <w:vertAlign w:val="superscript"/>
                      <w:lang w:val="en-US" w:eastAsia="zh-CN" w:bidi="ar"/>
                    </w:rPr>
                    <w:t>3</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0963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11.232 </w:t>
                  </w:r>
                </w:p>
              </w:tc>
            </w:tr>
            <w:tr w14:paraId="29BB9A17">
              <w:tblPrEx>
                <w:shd w:val="clear" w:color="auto" w:fill="auto"/>
                <w:tblCellMar>
                  <w:top w:w="0" w:type="dxa"/>
                  <w:left w:w="0" w:type="dxa"/>
                  <w:bottom w:w="0" w:type="dxa"/>
                  <w:right w:w="0" w:type="dxa"/>
                </w:tblCellMar>
              </w:tblPrEx>
              <w:trPr>
                <w:trHeight w:val="292" w:hRule="atLeast"/>
                <w:jc w:val="center"/>
              </w:trPr>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F669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w:t>
                  </w:r>
                </w:p>
              </w:tc>
              <w:tc>
                <w:tcPr>
                  <w:tcW w:w="3984"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B33C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监测与管护</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8132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6B92F4">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18"/>
                      <w:szCs w:val="18"/>
                      <w:u w:val="none"/>
                    </w:rPr>
                  </w:pPr>
                </w:p>
              </w:tc>
            </w:tr>
            <w:tr w14:paraId="7FDD717F">
              <w:tblPrEx>
                <w:shd w:val="clear" w:color="auto" w:fill="auto"/>
                <w:tblCellMar>
                  <w:top w:w="0" w:type="dxa"/>
                  <w:left w:w="0" w:type="dxa"/>
                  <w:bottom w:w="0" w:type="dxa"/>
                  <w:right w:w="0" w:type="dxa"/>
                </w:tblCellMar>
              </w:tblPrEx>
              <w:trPr>
                <w:trHeight w:val="292" w:hRule="atLeast"/>
                <w:jc w:val="center"/>
              </w:trPr>
              <w:tc>
                <w:tcPr>
                  <w:tcW w:w="14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E988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879D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市场价</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7FA2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损毁监测</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F391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次</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5583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72 </w:t>
                  </w:r>
                </w:p>
              </w:tc>
            </w:tr>
          </w:tbl>
          <w:p w14:paraId="3780C09C">
            <w:pPr>
              <w:keepNext w:val="0"/>
              <w:keepLines w:val="0"/>
              <w:suppressLineNumbers w:val="0"/>
              <w:spacing w:before="0" w:beforeAutospacing="0" w:after="0" w:afterAutospacing="0" w:line="440" w:lineRule="exact"/>
              <w:ind w:left="0" w:right="0"/>
              <w:rPr>
                <w:rFonts w:ascii="宋体" w:hAnsi="宋体" w:eastAsia="宋体" w:cs="Times New Roman"/>
                <w:b/>
                <w:bCs/>
                <w:color w:val="000000"/>
                <w:sz w:val="24"/>
                <w:highlight w:val="none"/>
              </w:rPr>
            </w:pPr>
            <w:r>
              <w:rPr>
                <w:rFonts w:hint="eastAsia" w:ascii="宋体" w:hAnsi="宋体" w:eastAsia="宋体" w:cs="Times New Roman"/>
                <w:b/>
                <w:bCs/>
                <w:color w:val="000000"/>
                <w:sz w:val="24"/>
                <w:highlight w:val="none"/>
              </w:rPr>
              <w:t>七</w:t>
            </w:r>
            <w:r>
              <w:rPr>
                <w:rFonts w:ascii="宋体" w:hAnsi="宋体" w:eastAsia="宋体" w:cs="Times New Roman"/>
                <w:b/>
                <w:bCs/>
                <w:color w:val="000000"/>
                <w:sz w:val="24"/>
                <w:highlight w:val="none"/>
              </w:rPr>
              <w:t>、土地复垦投资估算</w:t>
            </w:r>
          </w:p>
          <w:p w14:paraId="60F0B905">
            <w:pPr>
              <w:keepNext w:val="0"/>
              <w:keepLines w:val="0"/>
              <w:suppressLineNumbers w:val="0"/>
              <w:spacing w:before="0" w:beforeAutospacing="0" w:after="0" w:afterAutospacing="0" w:line="460" w:lineRule="exact"/>
              <w:ind w:left="0" w:right="0" w:firstLine="463" w:firstLineChars="192"/>
              <w:rPr>
                <w:rFonts w:hint="eastAsia" w:ascii="宋体" w:hAnsi="宋体" w:eastAsia="宋体" w:cs="Times New Roman"/>
                <w:b/>
                <w:bCs/>
                <w:color w:val="000000"/>
                <w:sz w:val="24"/>
                <w:highlight w:val="none"/>
              </w:rPr>
            </w:pPr>
            <w:r>
              <w:rPr>
                <w:rFonts w:hint="eastAsia" w:ascii="宋体" w:hAnsi="宋体" w:eastAsia="宋体" w:cs="Times New Roman"/>
                <w:b/>
                <w:bCs/>
                <w:color w:val="000000"/>
                <w:sz w:val="24"/>
                <w:highlight w:val="none"/>
                <w:lang w:val="en-US" w:eastAsia="zh-CN"/>
              </w:rPr>
              <w:t>7.1</w:t>
            </w:r>
            <w:r>
              <w:rPr>
                <w:rFonts w:hint="eastAsia" w:ascii="宋体" w:hAnsi="宋体" w:eastAsia="宋体" w:cs="Times New Roman"/>
                <w:b/>
                <w:bCs/>
                <w:color w:val="000000"/>
                <w:sz w:val="24"/>
                <w:highlight w:val="none"/>
              </w:rPr>
              <w:t>概算依据</w:t>
            </w:r>
          </w:p>
          <w:p w14:paraId="23045DC0">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1)《土地复垦方案编制规程》（TD/T1031.1–2011）；</w:t>
            </w:r>
          </w:p>
          <w:p w14:paraId="74FE32C3">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2)《土地复垦方案编制实务》（原国土资源部土地整理中心2011年）；</w:t>
            </w:r>
          </w:p>
          <w:p w14:paraId="77ED4701">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3</w:t>
            </w:r>
            <w:r>
              <w:rPr>
                <w:rFonts w:hint="eastAsia" w:ascii="宋体" w:hAnsi="宋体" w:eastAsia="宋体" w:cs="Times New Roman"/>
                <w:color w:val="000000"/>
                <w:sz w:val="24"/>
                <w:highlight w:val="none"/>
              </w:rPr>
              <w:t>)《土地开发整理项目预算定额标准》（财综[2011]128号）；</w:t>
            </w:r>
          </w:p>
          <w:p w14:paraId="5A76843D">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4</w:t>
            </w:r>
            <w:r>
              <w:rPr>
                <w:rFonts w:hint="eastAsia" w:ascii="宋体" w:hAnsi="宋体" w:eastAsia="宋体" w:cs="Times New Roman"/>
                <w:color w:val="000000"/>
                <w:sz w:val="24"/>
                <w:highlight w:val="none"/>
              </w:rPr>
              <w:t>)《新疆关于调整我区建设工程计价依据增值税税率的通知》（新建标〔2019〕4号）；</w:t>
            </w:r>
          </w:p>
          <w:p w14:paraId="0E308959">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5</w:t>
            </w:r>
            <w:r>
              <w:rPr>
                <w:rFonts w:hint="eastAsia" w:ascii="宋体" w:hAnsi="宋体" w:eastAsia="宋体" w:cs="Times New Roman"/>
                <w:color w:val="000000"/>
                <w:sz w:val="24"/>
                <w:highlight w:val="none"/>
              </w:rPr>
              <w:t>)《住房和城乡建设部办公厅关于重新调整建设工程计价依据增值税税率的通知》（建办标函〔2019〕193号）；</w:t>
            </w:r>
          </w:p>
          <w:p w14:paraId="2411F7A0">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6</w:t>
            </w:r>
            <w:r>
              <w:rPr>
                <w:rFonts w:hint="eastAsia" w:ascii="宋体" w:hAnsi="宋体" w:eastAsia="宋体" w:cs="Times New Roman"/>
                <w:color w:val="000000"/>
                <w:sz w:val="24"/>
                <w:highlight w:val="none"/>
              </w:rPr>
              <w:t>)《国土资源部关于印发土地整治工程营业税改征增值税计价依据调整过渡实施方案的通知》（国土资厅发</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2017</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19号）；</w:t>
            </w:r>
          </w:p>
          <w:p w14:paraId="1B6E5891">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7）</w:t>
            </w:r>
            <w:r>
              <w:rPr>
                <w:rFonts w:hint="eastAsia" w:ascii="宋体" w:hAnsi="宋体" w:eastAsia="宋体" w:cs="Times New Roman"/>
                <w:color w:val="000000"/>
                <w:sz w:val="24"/>
                <w:highlight w:val="none"/>
              </w:rPr>
              <w:t>新疆工程造价信息网发布的</w:t>
            </w:r>
            <w:r>
              <w:rPr>
                <w:rFonts w:hint="eastAsia" w:ascii="宋体" w:hAnsi="宋体" w:eastAsia="宋体" w:cs="Times New Roman"/>
                <w:color w:val="000000"/>
                <w:sz w:val="24"/>
                <w:highlight w:val="none"/>
                <w:lang w:val="en-US" w:eastAsia="zh-CN"/>
              </w:rPr>
              <w:t>哈密市</w:t>
            </w:r>
            <w:r>
              <w:rPr>
                <w:rFonts w:hint="eastAsia" w:ascii="宋体" w:hAnsi="宋体" w:eastAsia="宋体" w:cs="Times New Roman"/>
                <w:color w:val="000000"/>
                <w:sz w:val="24"/>
                <w:highlight w:val="none"/>
              </w:rPr>
              <w:t>202</w:t>
            </w:r>
            <w:r>
              <w:rPr>
                <w:rFonts w:hint="eastAsia" w:ascii="宋体" w:hAnsi="宋体" w:eastAsia="宋体" w:cs="Times New Roman"/>
                <w:color w:val="000000"/>
                <w:sz w:val="24"/>
                <w:highlight w:val="none"/>
                <w:lang w:val="en-US" w:eastAsia="zh-CN"/>
              </w:rPr>
              <w:t>4</w:t>
            </w:r>
            <w:r>
              <w:rPr>
                <w:rFonts w:hint="eastAsia" w:ascii="宋体" w:hAnsi="宋体" w:eastAsia="宋体" w:cs="Times New Roman"/>
                <w:color w:val="000000"/>
                <w:sz w:val="24"/>
                <w:highlight w:val="none"/>
              </w:rPr>
              <w:t>年</w:t>
            </w:r>
            <w:r>
              <w:rPr>
                <w:rFonts w:hint="eastAsia" w:ascii="宋体" w:hAnsi="宋体" w:eastAsia="宋体" w:cs="Times New Roman"/>
                <w:color w:val="000000"/>
                <w:sz w:val="24"/>
                <w:highlight w:val="none"/>
                <w:lang w:val="en-US" w:eastAsia="zh-CN"/>
              </w:rPr>
              <w:t>10</w:t>
            </w:r>
            <w:r>
              <w:rPr>
                <w:rFonts w:hint="eastAsia" w:ascii="宋体" w:hAnsi="宋体" w:eastAsia="宋体" w:cs="Times New Roman"/>
                <w:color w:val="000000"/>
                <w:sz w:val="24"/>
                <w:highlight w:val="none"/>
              </w:rPr>
              <w:t>月定额材料价格以及实地调查价格。</w:t>
            </w:r>
          </w:p>
          <w:p w14:paraId="45FEBCE4">
            <w:pPr>
              <w:keepNext w:val="0"/>
              <w:keepLines w:val="0"/>
              <w:suppressLineNumbers w:val="0"/>
              <w:spacing w:before="0" w:beforeAutospacing="0" w:after="0" w:afterAutospacing="0" w:line="460" w:lineRule="exact"/>
              <w:ind w:left="0" w:right="0" w:firstLine="463" w:firstLineChars="192"/>
              <w:rPr>
                <w:rFonts w:hint="eastAsia" w:ascii="宋体" w:hAnsi="宋体" w:eastAsia="宋体" w:cs="Times New Roman"/>
                <w:b/>
                <w:bCs/>
                <w:color w:val="000000"/>
                <w:sz w:val="24"/>
                <w:highlight w:val="none"/>
              </w:rPr>
            </w:pPr>
            <w:r>
              <w:rPr>
                <w:rFonts w:hint="eastAsia" w:ascii="宋体" w:hAnsi="宋体" w:eastAsia="宋体" w:cs="Times New Roman"/>
                <w:b/>
                <w:bCs/>
                <w:color w:val="000000"/>
                <w:sz w:val="24"/>
                <w:highlight w:val="none"/>
                <w:lang w:val="en-US" w:eastAsia="zh-CN"/>
              </w:rPr>
              <w:t>7.2</w:t>
            </w:r>
            <w:r>
              <w:rPr>
                <w:rFonts w:hint="eastAsia" w:ascii="宋体" w:hAnsi="宋体" w:eastAsia="宋体" w:cs="Times New Roman"/>
                <w:b/>
                <w:bCs/>
                <w:color w:val="000000"/>
                <w:sz w:val="24"/>
                <w:highlight w:val="none"/>
              </w:rPr>
              <w:t>取费标准</w:t>
            </w:r>
          </w:p>
          <w:p w14:paraId="0A55C67C">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通过分析不同复垦对象，依据《土地开发整理项目预算定额》及《土地复垦方案编制规程》相关规定，结合项目损毁特点、复垦方向、复垦措施等，确定土地复垦费用构成，包括工程施工费、设备购置费、其他费用、监测与管护费和预备费。</w:t>
            </w:r>
          </w:p>
          <w:p w14:paraId="28148FBE">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a）工程施工费</w:t>
            </w:r>
          </w:p>
          <w:p w14:paraId="33B9E32E">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工程施工费由直接费、间接费、利润和税金组成。</w:t>
            </w:r>
          </w:p>
          <w:p w14:paraId="5BA4D3B9">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1）直接费</w:t>
            </w:r>
          </w:p>
          <w:p w14:paraId="599F9E51">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指工程施工过程中直接消耗在工程项目上的活劳动和物化劳动。由直接工程费和措施费组成。</w:t>
            </w:r>
          </w:p>
          <w:p w14:paraId="2B51A463">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直接工程费包括人工费、材料费和施工机械使用费。其中：</w:t>
            </w:r>
          </w:p>
          <w:p w14:paraId="3A3E8583">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运杂费：按照费率6%计算；</w:t>
            </w:r>
          </w:p>
          <w:p w14:paraId="41DC58D0">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采购及保管费：按照材料原价和运杂费之和的</w:t>
            </w:r>
            <w:r>
              <w:rPr>
                <w:rFonts w:hint="eastAsia" w:ascii="宋体" w:hAnsi="宋体" w:eastAsia="宋体" w:cs="Times New Roman"/>
                <w:color w:val="000000"/>
                <w:sz w:val="24"/>
                <w:highlight w:val="none"/>
                <w:lang w:val="en-US" w:eastAsia="zh-CN"/>
              </w:rPr>
              <w:t>2.17</w:t>
            </w:r>
            <w:r>
              <w:rPr>
                <w:rFonts w:hint="eastAsia" w:ascii="宋体" w:hAnsi="宋体" w:eastAsia="宋体" w:cs="Times New Roman"/>
                <w:color w:val="000000"/>
                <w:sz w:val="24"/>
                <w:highlight w:val="none"/>
              </w:rPr>
              <w:t>%计算。</w:t>
            </w:r>
          </w:p>
          <w:p w14:paraId="3EF48766">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措施费包括临时设施费、冬雨季施工增加费、夜间施工增加费、施工辅助费和特殊地区施工增加费。</w:t>
            </w:r>
          </w:p>
          <w:p w14:paraId="3AFEBF1E">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①直接工程费</w:t>
            </w:r>
          </w:p>
          <w:p w14:paraId="0183A627">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直接工程费由人工费、材料费、施工机械使用费组成。</w:t>
            </w:r>
          </w:p>
          <w:p w14:paraId="725DA6CB">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人工费=∑分项工程量×分项工程定额人工费</w:t>
            </w:r>
          </w:p>
          <w:p w14:paraId="154F2F74">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分项工程定额人工费是人工单价与定额消耗标准的乘积。</w:t>
            </w:r>
          </w:p>
          <w:p w14:paraId="4D0273F8">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材料费=∑分项工程量×分项工程定额材料费</w:t>
            </w:r>
          </w:p>
          <w:p w14:paraId="0D0393A4">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施工机械使用费=∑分项工程量×分项工程定额机械费</w:t>
            </w:r>
          </w:p>
          <w:p w14:paraId="622137F7">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人工费是指直接从事工程施工的生产工人开支的各项费用，内容包括基本工资、辅助工资和工资附加费。本方案人工费单价参照《土地开发整理项目预算定额标准》</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财综[2011]128号</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和《土地复垦方案编制实务》中人工费的计算办法执行。通过计算，本方案编制甲类工和乙类工的日单价见表7–1。</w:t>
            </w:r>
          </w:p>
          <w:p w14:paraId="2D54F36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sz w:val="24"/>
                <w:szCs w:val="24"/>
                <w:highlight w:val="none"/>
              </w:rPr>
            </w:pPr>
            <w:r>
              <w:rPr>
                <w:rFonts w:hint="eastAsia" w:ascii="宋体" w:hAnsi="宋体" w:eastAsia="宋体" w:cs="宋体"/>
                <w:b/>
                <w:bCs/>
                <w:color w:val="000000"/>
                <w:kern w:val="0"/>
                <w:sz w:val="24"/>
                <w:szCs w:val="24"/>
                <w:highlight w:val="none"/>
              </w:rPr>
              <w:t>表7-1人工费日单价计算表</w:t>
            </w:r>
          </w:p>
          <w:tbl>
            <w:tblPr>
              <w:tblStyle w:val="19"/>
              <w:tblW w:w="86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05"/>
              <w:gridCol w:w="2296"/>
              <w:gridCol w:w="3687"/>
              <w:gridCol w:w="1532"/>
            </w:tblGrid>
            <w:tr w14:paraId="6C770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8620" w:type="dxa"/>
                  <w:gridSpan w:val="4"/>
                  <w:tcBorders>
                    <w:top w:val="single" w:color="000000" w:sz="4" w:space="0"/>
                    <w:left w:val="single" w:color="000000" w:sz="4" w:space="0"/>
                    <w:bottom w:val="single" w:color="000000" w:sz="4" w:space="0"/>
                    <w:right w:val="single" w:color="000000" w:sz="4" w:space="0"/>
                  </w:tcBorders>
                  <w:noWrap w:val="0"/>
                  <w:vAlign w:val="center"/>
                </w:tcPr>
                <w:p w14:paraId="01F6CC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highlight w:val="none"/>
                      <w:u w:val="none"/>
                    </w:rPr>
                  </w:pPr>
                  <w:r>
                    <w:rPr>
                      <w:rStyle w:val="65"/>
                      <w:color w:val="000000"/>
                      <w:sz w:val="21"/>
                      <w:szCs w:val="21"/>
                      <w:highlight w:val="none"/>
                      <w:lang w:val="en-US" w:eastAsia="zh-CN" w:bidi="ar"/>
                    </w:rPr>
                    <w:t>甲类工人工预算单价计算表</w:t>
                  </w:r>
                </w:p>
              </w:tc>
            </w:tr>
            <w:tr w14:paraId="7E584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0BC59D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地区类别</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371C83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十一类工资地区三类生活补贴区</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2E12D3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定额人工等级</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242E79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甲类工</w:t>
                  </w:r>
                </w:p>
              </w:tc>
            </w:tr>
            <w:tr w14:paraId="56CA4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36DBAA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535635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项目</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355600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计算式</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0E8653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单价（元）</w:t>
                  </w:r>
                </w:p>
              </w:tc>
            </w:tr>
            <w:tr w14:paraId="1096A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5F4222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105A10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基本工资</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36127C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1540×12÷（250-10）</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511499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u w:val="none"/>
                      <w:lang w:val="en-US" w:eastAsia="zh-CN" w:bidi="ar"/>
                    </w:rPr>
                    <w:t>77.00</w:t>
                  </w:r>
                </w:p>
              </w:tc>
            </w:tr>
            <w:tr w14:paraId="5A2D4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0C969C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54B884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辅助工资</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10A26A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(1)+(2)+(3)+(4)</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6A195A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u w:val="none"/>
                      <w:lang w:val="en-US" w:eastAsia="zh-CN" w:bidi="ar"/>
                    </w:rPr>
                    <w:t>11.88</w:t>
                  </w:r>
                </w:p>
              </w:tc>
            </w:tr>
            <w:tr w14:paraId="20C85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18B336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405E02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地区津贴</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34EE94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73×12÷(250-10)</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35F87A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3.65</w:t>
                  </w:r>
                </w:p>
              </w:tc>
            </w:tr>
            <w:tr w14:paraId="653FF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3E1FB0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043994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施工津贴</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3FDFAD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3.5×365×0.95÷（250-10）</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598C22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5.06</w:t>
                  </w:r>
                </w:p>
              </w:tc>
            </w:tr>
            <w:tr w14:paraId="4808B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67161A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5CFB0C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夜餐津贴</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67C0F7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(4.5+3.5)÷2×0.2</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2F3573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0.80</w:t>
                  </w:r>
                </w:p>
              </w:tc>
            </w:tr>
            <w:tr w14:paraId="0F39D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033FA1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2621B9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节日加班津贴</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64B3A1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77×2×11÷250×0.35</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762489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2.37</w:t>
                  </w:r>
                </w:p>
              </w:tc>
            </w:tr>
            <w:tr w14:paraId="724F9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3BA2C5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5A9191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工资附加费</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17D4C0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(1)+(2)+(3)+(4)+(5)+(6)+(7)</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5A515E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u w:val="none"/>
                      <w:lang w:val="en-US" w:eastAsia="zh-CN" w:bidi="ar"/>
                    </w:rPr>
                    <w:t>51.99</w:t>
                  </w:r>
                </w:p>
              </w:tc>
            </w:tr>
            <w:tr w14:paraId="47395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6F51EC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2EB9FB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职工福利基金</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47908B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（77+11.88）×14%</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2C36E4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12.44</w:t>
                  </w:r>
                </w:p>
              </w:tc>
            </w:tr>
            <w:tr w14:paraId="4C159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4B1AB6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71BD00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工会经费</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75606F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（77+11.88）×2%</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148D80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1.78</w:t>
                  </w:r>
                </w:p>
              </w:tc>
            </w:tr>
            <w:tr w14:paraId="484C7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4ACAC2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523042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养老保险费</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3BA8D3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（77+11.88）×16%</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01DA9D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14.22</w:t>
                  </w:r>
                </w:p>
              </w:tc>
            </w:tr>
            <w:tr w14:paraId="67C26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1E8175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732255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医疗保险费</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5AE3CD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（77+11.88）×8%</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3E557C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7.11</w:t>
                  </w:r>
                </w:p>
              </w:tc>
            </w:tr>
            <w:tr w14:paraId="7A825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54BF82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1FEA4F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工伤保险费</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37CEB2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（77+11.88）×1.5%</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4AC00F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1.33</w:t>
                  </w:r>
                </w:p>
              </w:tc>
            </w:tr>
            <w:tr w14:paraId="555E8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1A99FF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165A38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职工失业保险基金</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1776A9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（77+11.88）×0.5%</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3A0F67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4.44</w:t>
                  </w:r>
                </w:p>
              </w:tc>
            </w:tr>
            <w:tr w14:paraId="35DA9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1D9694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3A4AA3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住房公积金</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65AED0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（77+11.88）×12%</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5E60C1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10.67</w:t>
                  </w:r>
                </w:p>
              </w:tc>
            </w:tr>
            <w:tr w14:paraId="01523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5A8A88C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5975D5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人工工日预算单价</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258921F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06B2DB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u w:val="none"/>
                      <w:lang w:val="en-US" w:eastAsia="zh-CN" w:bidi="ar"/>
                    </w:rPr>
                    <w:t>140.87</w:t>
                  </w:r>
                </w:p>
              </w:tc>
            </w:tr>
            <w:tr w14:paraId="7F378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8620" w:type="dxa"/>
                  <w:gridSpan w:val="4"/>
                  <w:tcBorders>
                    <w:top w:val="single" w:color="000000" w:sz="4" w:space="0"/>
                    <w:left w:val="single" w:color="000000" w:sz="4" w:space="0"/>
                    <w:bottom w:val="single" w:color="000000" w:sz="4" w:space="0"/>
                    <w:right w:val="single" w:color="000000" w:sz="4" w:space="0"/>
                  </w:tcBorders>
                  <w:noWrap w:val="0"/>
                  <w:vAlign w:val="center"/>
                </w:tcPr>
                <w:p w14:paraId="0145A8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highlight w:val="none"/>
                      <w:u w:val="none"/>
                    </w:rPr>
                  </w:pPr>
                  <w:r>
                    <w:rPr>
                      <w:rStyle w:val="65"/>
                      <w:color w:val="000000"/>
                      <w:sz w:val="21"/>
                      <w:szCs w:val="21"/>
                      <w:highlight w:val="none"/>
                      <w:lang w:val="en-US" w:eastAsia="zh-CN" w:bidi="ar"/>
                    </w:rPr>
                    <w:t>乙类工人工预算单价计算表</w:t>
                  </w:r>
                </w:p>
              </w:tc>
            </w:tr>
            <w:tr w14:paraId="4EB61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3CC5CB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地区类别</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3D341A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十一类工资地区三类生活补贴区</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7A84AB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定额人工等级</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63FA44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乙类工</w:t>
                  </w:r>
                </w:p>
              </w:tc>
            </w:tr>
            <w:tr w14:paraId="421D2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448E3D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340465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项目</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7CFD9B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计算式</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48029C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单价（元）</w:t>
                  </w:r>
                </w:p>
              </w:tc>
            </w:tr>
            <w:tr w14:paraId="7C272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46232E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239FE2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基本工资</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611D91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1540×12÷（250-10）</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2E4A2F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u w:val="none"/>
                      <w:lang w:val="en-US" w:eastAsia="zh-CN" w:bidi="ar"/>
                    </w:rPr>
                    <w:t>77.00</w:t>
                  </w:r>
                </w:p>
              </w:tc>
            </w:tr>
            <w:tr w14:paraId="3C536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2E9D28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4A83E5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辅助工资</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715EA3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(1)+(2)+(3)+(4)</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203983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u w:val="none"/>
                      <w:lang w:val="en-US" w:eastAsia="zh-CN" w:bidi="ar"/>
                    </w:rPr>
                    <w:t>7.76</w:t>
                  </w:r>
                </w:p>
              </w:tc>
            </w:tr>
            <w:tr w14:paraId="5C88D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3B472D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57213E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地区津贴</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6E038A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73×12÷(250-10)</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43A9FD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3.65</w:t>
                  </w:r>
                </w:p>
              </w:tc>
            </w:tr>
            <w:tr w14:paraId="6A0E0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12F581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7271BE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施工津贴</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244799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2.0×365×0.95÷（250-10）</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3DFF56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2.89</w:t>
                  </w:r>
                </w:p>
              </w:tc>
            </w:tr>
            <w:tr w14:paraId="0B72B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424172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3B7AB1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夜餐津贴</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5FB3BE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(4.5+3.5)÷2×0.05</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09CAB2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0.20</w:t>
                  </w:r>
                </w:p>
              </w:tc>
            </w:tr>
            <w:tr w14:paraId="783B3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021EA9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56C2E3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节日加班津贴</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7823DB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77×2×11÷250×0.15</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2DAA3C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1.02</w:t>
                  </w:r>
                </w:p>
              </w:tc>
            </w:tr>
            <w:tr w14:paraId="46136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58A8FB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5F8A79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工资附加费</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72A0B4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(1)+(2)+(3)+(4)+(5)+(6)+(7)</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5340F9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u w:val="none"/>
                      <w:lang w:val="en-US" w:eastAsia="zh-CN" w:bidi="ar"/>
                    </w:rPr>
                    <w:t>45.77</w:t>
                  </w:r>
                </w:p>
              </w:tc>
            </w:tr>
            <w:tr w14:paraId="38A9C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055800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3FBF25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职工福利基金</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75F158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（77+7.76）×14%</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3DD2F4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11.87</w:t>
                  </w:r>
                </w:p>
              </w:tc>
            </w:tr>
            <w:tr w14:paraId="03374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27BB10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2D8F2B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工会经费</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63D388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（77+7.76）×2%</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677709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1.70</w:t>
                  </w:r>
                </w:p>
              </w:tc>
            </w:tr>
            <w:tr w14:paraId="5586B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51A79C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497586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养老保险费</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355134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（77+7.76）×16%</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440283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13.56</w:t>
                  </w:r>
                </w:p>
              </w:tc>
            </w:tr>
            <w:tr w14:paraId="0F38C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1B054A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2AD728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医疗保险费</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1C3A84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（77+7.76）×8%</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70AFBF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6.78</w:t>
                  </w:r>
                </w:p>
              </w:tc>
            </w:tr>
            <w:tr w14:paraId="32426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110F26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5DAC53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工伤保险费</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32FAEB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（77+7.76）×1.5%</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5A52B7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1.27</w:t>
                  </w:r>
                </w:p>
              </w:tc>
            </w:tr>
            <w:tr w14:paraId="780A3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5EDCF5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12BD4E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职工失业保险基金</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2DE20E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（77+7.76）×0.5%</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117759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0.42</w:t>
                  </w:r>
                </w:p>
              </w:tc>
            </w:tr>
            <w:tr w14:paraId="72727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316D30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75ADF6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住房公积金</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755D17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（77+7.76）×12%</w:t>
                  </w: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56EC7D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10.17</w:t>
                  </w:r>
                </w:p>
              </w:tc>
            </w:tr>
            <w:tr w14:paraId="00702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exact"/>
              </w:trPr>
              <w:tc>
                <w:tcPr>
                  <w:tcW w:w="1105" w:type="dxa"/>
                  <w:tcBorders>
                    <w:top w:val="single" w:color="000000" w:sz="4" w:space="0"/>
                    <w:left w:val="single" w:color="000000" w:sz="4" w:space="0"/>
                    <w:bottom w:val="single" w:color="000000" w:sz="4" w:space="0"/>
                    <w:right w:val="single" w:color="000000" w:sz="4" w:space="0"/>
                  </w:tcBorders>
                  <w:noWrap w:val="0"/>
                  <w:vAlign w:val="center"/>
                </w:tcPr>
                <w:p w14:paraId="5F14660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70A631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人工工日预算单价</w:t>
                  </w:r>
                </w:p>
              </w:tc>
              <w:tc>
                <w:tcPr>
                  <w:tcW w:w="3687" w:type="dxa"/>
                  <w:tcBorders>
                    <w:top w:val="single" w:color="000000" w:sz="4" w:space="0"/>
                    <w:left w:val="single" w:color="000000" w:sz="4" w:space="0"/>
                    <w:bottom w:val="single" w:color="000000" w:sz="4" w:space="0"/>
                    <w:right w:val="single" w:color="000000" w:sz="4" w:space="0"/>
                  </w:tcBorders>
                  <w:noWrap w:val="0"/>
                  <w:vAlign w:val="center"/>
                </w:tcPr>
                <w:p w14:paraId="586CD75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532" w:type="dxa"/>
                  <w:tcBorders>
                    <w:top w:val="single" w:color="000000" w:sz="4" w:space="0"/>
                    <w:left w:val="single" w:color="000000" w:sz="4" w:space="0"/>
                    <w:bottom w:val="single" w:color="000000" w:sz="4" w:space="0"/>
                    <w:right w:val="single" w:color="000000" w:sz="4" w:space="0"/>
                  </w:tcBorders>
                  <w:noWrap w:val="0"/>
                  <w:vAlign w:val="center"/>
                </w:tcPr>
                <w:p w14:paraId="2106D9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u w:val="none"/>
                      <w:lang w:val="en-US" w:eastAsia="zh-CN" w:bidi="ar"/>
                    </w:rPr>
                    <w:t>130.53</w:t>
                  </w:r>
                </w:p>
              </w:tc>
            </w:tr>
          </w:tbl>
          <w:p w14:paraId="474878A6">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定额材料费是定额中各种材料估算价格与定额消耗量的乘积之和，计算办法参照《土地开发整理项目预算定额标准》（财综[2011]128号），材料价格按新疆工程造价信息网发布的</w:t>
            </w:r>
            <w:r>
              <w:rPr>
                <w:rFonts w:hint="eastAsia" w:ascii="宋体" w:hAnsi="宋体" w:eastAsia="宋体" w:cs="Times New Roman"/>
                <w:color w:val="000000"/>
                <w:sz w:val="24"/>
                <w:highlight w:val="none"/>
                <w:lang w:val="en-US" w:eastAsia="zh-CN"/>
              </w:rPr>
              <w:t>哈密市</w:t>
            </w:r>
            <w:r>
              <w:rPr>
                <w:rFonts w:hint="eastAsia" w:ascii="宋体" w:hAnsi="宋体" w:eastAsia="宋体" w:cs="Times New Roman"/>
                <w:color w:val="000000"/>
                <w:sz w:val="24"/>
                <w:highlight w:val="none"/>
              </w:rPr>
              <w:t>202</w:t>
            </w:r>
            <w:r>
              <w:rPr>
                <w:rFonts w:hint="eastAsia" w:ascii="宋体" w:hAnsi="宋体" w:eastAsia="宋体" w:cs="Times New Roman"/>
                <w:color w:val="000000"/>
                <w:sz w:val="24"/>
                <w:highlight w:val="none"/>
                <w:lang w:val="en-US" w:eastAsia="zh-CN"/>
              </w:rPr>
              <w:t>4</w:t>
            </w:r>
            <w:r>
              <w:rPr>
                <w:rFonts w:hint="eastAsia" w:ascii="宋体" w:hAnsi="宋体" w:eastAsia="宋体" w:cs="Times New Roman"/>
                <w:color w:val="000000"/>
                <w:sz w:val="24"/>
                <w:highlight w:val="none"/>
              </w:rPr>
              <w:t>年</w:t>
            </w:r>
            <w:r>
              <w:rPr>
                <w:rFonts w:hint="eastAsia" w:ascii="宋体" w:hAnsi="宋体" w:eastAsia="宋体" w:cs="Times New Roman"/>
                <w:color w:val="000000"/>
                <w:sz w:val="24"/>
                <w:highlight w:val="none"/>
                <w:lang w:val="en-US" w:eastAsia="zh-CN"/>
              </w:rPr>
              <w:t>1</w:t>
            </w:r>
            <w:r>
              <w:rPr>
                <w:rFonts w:hint="eastAsia" w:ascii="宋体" w:hAnsi="宋体" w:cs="Times New Roman"/>
                <w:color w:val="000000"/>
                <w:sz w:val="24"/>
                <w:highlight w:val="none"/>
                <w:lang w:val="en-US" w:eastAsia="zh-CN"/>
              </w:rPr>
              <w:t>1</w:t>
            </w:r>
            <w:r>
              <w:rPr>
                <w:rFonts w:hint="eastAsia" w:ascii="宋体" w:hAnsi="宋体" w:eastAsia="宋体" w:cs="Times New Roman"/>
                <w:color w:val="000000"/>
                <w:sz w:val="24"/>
                <w:highlight w:val="none"/>
              </w:rPr>
              <w:t>月定额材料价格以及实地调查价格进行估算。</w:t>
            </w:r>
          </w:p>
          <w:p w14:paraId="11018F5E">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施工机械使用费是指消耗在工程项目上的机械磨损、维修和动力燃料费用等。具体计算办法参照《土地开发整理项目预算定额标准》（财综[2011]128号）进行估算。</w:t>
            </w:r>
          </w:p>
          <w:p w14:paraId="16984B42">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②措施费</w:t>
            </w:r>
          </w:p>
          <w:p w14:paraId="1D078D66">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措施费是指为完成工程项目施工，发</w:t>
            </w:r>
            <w:r>
              <w:rPr>
                <w:rFonts w:hint="eastAsia" w:ascii="宋体" w:hAnsi="宋体" w:eastAsia="宋体" w:cs="Times New Roman"/>
                <w:color w:val="000000"/>
                <w:sz w:val="24"/>
                <w:highlight w:val="none"/>
                <w:lang w:eastAsia="zh-CN"/>
              </w:rPr>
              <w:t>生于</w:t>
            </w:r>
            <w:r>
              <w:rPr>
                <w:rFonts w:hint="eastAsia" w:ascii="宋体" w:hAnsi="宋体" w:eastAsia="宋体" w:cs="Times New Roman"/>
                <w:color w:val="000000"/>
                <w:sz w:val="24"/>
                <w:highlight w:val="none"/>
              </w:rPr>
              <w:t>该工程施工前和施工过程中非工程实体项目的费用。主要包括临时设施费、冬雨季施工增加费、夜间施工增加费、施工辅助费、特殊地区施工增加费和安全施工措施费。《土地开发整理项目预算定额标准》</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财综[2011]128号</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的规定，结合本项目施工特点，临时设施费按直接工程费的2%计取，冬雨季施工增加费按直接工程费的0.7%计取，施工辅助费按直接工程费的0.7%计取，安全施工措施费按直接工程费的0.2%计取，特殊地区施工增加费不计算。则措施费按直接工程费的3.6%计取。</w:t>
            </w:r>
          </w:p>
          <w:p w14:paraId="7702D53C">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2）间接费</w:t>
            </w:r>
          </w:p>
          <w:p w14:paraId="07C54363">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间接费由规费和企业管理费组成。结合项目土地复垦工程特点，间接费可按直接费的5%计算。</w:t>
            </w:r>
          </w:p>
          <w:p w14:paraId="679109BD">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3）利润</w:t>
            </w:r>
          </w:p>
          <w:p w14:paraId="7ACDB868">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利润是指施工企业完成所承包工程获得的盈利，按直接费和间接费之和的3%计算。</w:t>
            </w:r>
          </w:p>
          <w:p w14:paraId="579A2C7E">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4）税金</w:t>
            </w:r>
          </w:p>
          <w:p w14:paraId="316F32AB">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税金是指按国家税法应计入造价内的营业税、城市管护建设税和教育费附加。依据《土地开发整理项目预算编制规定》和《财政部税务总局海关总署关于深化增值税改革有关政策的公告》（财政部税务总局海关总署公告2019年第39号）规定，本项目为建设项目，税率为9%。</w:t>
            </w:r>
          </w:p>
          <w:p w14:paraId="7ED8C8A8">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税金=（直接费+间接费+利润）×综合税率。</w:t>
            </w:r>
          </w:p>
          <w:p w14:paraId="2A6EEF21">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b）设备购置费</w:t>
            </w:r>
          </w:p>
          <w:p w14:paraId="5BA96658">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设备购置费是指在土地复垦过程中，因需要购置各种永久性设备所发生的费用。根据本项目的实际情况，土地复垦过程中所</w:t>
            </w:r>
            <w:r>
              <w:rPr>
                <w:rFonts w:hint="eastAsia" w:ascii="宋体" w:hAnsi="宋体" w:eastAsia="宋体" w:cs="Times New Roman"/>
                <w:color w:val="000000"/>
                <w:sz w:val="24"/>
                <w:highlight w:val="none"/>
                <w:lang w:eastAsia="zh-CN"/>
              </w:rPr>
              <w:t>涉及的</w:t>
            </w:r>
            <w:r>
              <w:rPr>
                <w:rFonts w:hint="eastAsia" w:ascii="宋体" w:hAnsi="宋体" w:eastAsia="宋体" w:cs="Times New Roman"/>
                <w:color w:val="000000"/>
                <w:sz w:val="24"/>
                <w:highlight w:val="none"/>
              </w:rPr>
              <w:t>复垦机械设备均由复垦工程具体施工单位提供或采用租用方式，故本方案不存在购买设备的费用。</w:t>
            </w:r>
          </w:p>
          <w:p w14:paraId="41B18977">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c）其他费用</w:t>
            </w:r>
          </w:p>
          <w:p w14:paraId="63C77D2B">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其他费用包括前期工作费、工程监理费、竣工验收费和业主管理费。</w:t>
            </w:r>
          </w:p>
          <w:p w14:paraId="77417F4C">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1）前期工作费</w:t>
            </w:r>
          </w:p>
          <w:p w14:paraId="7738F603">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前期工作费是指土地复垦工程在施工前所发生的各项支出，包括土地清查费、项目可行性研究费、项目勘测费、项目设计与预算编制费和项目招标代理费。根据《土地开发整理项目预算定额标准》</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财综[2011]128号</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，前期工作费按工程施工费的6%</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土地清查费</w:t>
            </w:r>
            <w:r>
              <w:rPr>
                <w:rFonts w:hint="eastAsia" w:ascii="宋体" w:hAnsi="宋体" w:eastAsia="宋体" w:cs="Times New Roman"/>
                <w:color w:val="000000"/>
                <w:sz w:val="24"/>
                <w:highlight w:val="none"/>
                <w:lang w:val="en-US" w:eastAsia="zh-CN"/>
              </w:rPr>
              <w:t>0.5%</w:t>
            </w:r>
            <w:r>
              <w:rPr>
                <w:rFonts w:hint="eastAsia" w:ascii="宋体" w:hAnsi="宋体" w:eastAsia="宋体" w:cs="Times New Roman"/>
                <w:color w:val="000000"/>
                <w:sz w:val="24"/>
                <w:highlight w:val="none"/>
              </w:rPr>
              <w:t>、项目可行性研究费</w:t>
            </w:r>
            <w:r>
              <w:rPr>
                <w:rFonts w:hint="eastAsia" w:ascii="宋体" w:hAnsi="宋体" w:eastAsia="宋体" w:cs="Times New Roman"/>
                <w:color w:val="000000"/>
                <w:sz w:val="24"/>
                <w:highlight w:val="none"/>
                <w:lang w:val="en-US" w:eastAsia="zh-CN"/>
              </w:rPr>
              <w:t>1%</w:t>
            </w:r>
            <w:r>
              <w:rPr>
                <w:rFonts w:hint="eastAsia" w:ascii="宋体" w:hAnsi="宋体" w:eastAsia="宋体" w:cs="Times New Roman"/>
                <w:color w:val="000000"/>
                <w:sz w:val="24"/>
                <w:highlight w:val="none"/>
              </w:rPr>
              <w:t>、项目勘测费</w:t>
            </w:r>
            <w:r>
              <w:rPr>
                <w:rFonts w:hint="eastAsia" w:ascii="宋体" w:hAnsi="宋体" w:eastAsia="宋体" w:cs="Times New Roman"/>
                <w:color w:val="000000"/>
                <w:sz w:val="24"/>
                <w:highlight w:val="none"/>
                <w:lang w:val="en-US" w:eastAsia="zh-CN"/>
              </w:rPr>
              <w:t>1.5</w:t>
            </w:r>
            <w:r>
              <w:rPr>
                <w:rFonts w:hint="eastAsia" w:ascii="宋体" w:hAnsi="宋体" w:eastAsia="宋体" w:cs="Times New Roman"/>
                <w:color w:val="000000"/>
                <w:sz w:val="24"/>
                <w:highlight w:val="none"/>
              </w:rPr>
              <w:t>、项目设计与预算编制费</w:t>
            </w:r>
            <w:r>
              <w:rPr>
                <w:rFonts w:hint="eastAsia" w:ascii="宋体" w:hAnsi="宋体" w:eastAsia="宋体" w:cs="Times New Roman"/>
                <w:color w:val="000000"/>
                <w:sz w:val="24"/>
                <w:highlight w:val="none"/>
                <w:lang w:val="en-US" w:eastAsia="zh-CN"/>
              </w:rPr>
              <w:t>2.5</w:t>
            </w:r>
            <w:r>
              <w:rPr>
                <w:rFonts w:hint="eastAsia" w:ascii="宋体" w:hAnsi="宋体" w:eastAsia="宋体" w:cs="Times New Roman"/>
                <w:color w:val="000000"/>
                <w:sz w:val="24"/>
                <w:highlight w:val="none"/>
              </w:rPr>
              <w:t>和项目招标代理费</w:t>
            </w:r>
            <w:r>
              <w:rPr>
                <w:rFonts w:hint="eastAsia" w:ascii="宋体" w:hAnsi="宋体" w:eastAsia="宋体" w:cs="Times New Roman"/>
                <w:color w:val="000000"/>
                <w:sz w:val="24"/>
                <w:highlight w:val="none"/>
                <w:lang w:val="en-US" w:eastAsia="zh-CN"/>
              </w:rPr>
              <w:t>0.5%</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计取。</w:t>
            </w:r>
          </w:p>
          <w:p w14:paraId="0525E53E">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2）工程监理费</w:t>
            </w:r>
          </w:p>
          <w:p w14:paraId="52E6521D">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工程监理费是指项目承担单位委托具有工程监理资质的单位，按国家有关规定进行全过程的监督与管理所发生的费用，本项目按工程施工费的2%计取。</w:t>
            </w:r>
          </w:p>
          <w:p w14:paraId="05DBF120">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3）竣工验收费</w:t>
            </w:r>
          </w:p>
          <w:p w14:paraId="00C23A58">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竣工验收费是指项目工程完工后，因项目竣工验收、决算、成果的管理等发生的各项支出，包括工程复核费、工程验收费、项目决算编制与审计费、整理后土地重估与登记费、标识设定费等费用。根据《土地开发整理项目预算定额标准》</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财综[2011]128号</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，竣工验收费以工程施工费与设备购置费之和作为计费基数，采用分档定额计费方式计算。本项目无设备购置费，竣工验收费按工程施工费的2%计取。</w:t>
            </w:r>
          </w:p>
          <w:p w14:paraId="6745896C">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4）业主管理费</w:t>
            </w:r>
          </w:p>
          <w:p w14:paraId="2B5D7A8B">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业主管理费指项目承担单位为项目的组织、管理所发生的各项管理性支出。根据《土地开发整理项目预算定额标准》</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财综[2011]128号</w:t>
            </w:r>
            <w:r>
              <w:rPr>
                <w:rFonts w:hint="eastAsia" w:ascii="宋体" w:hAnsi="宋体" w:eastAsia="宋体" w:cs="Times New Roman"/>
                <w:color w:val="000000"/>
                <w:sz w:val="24"/>
                <w:highlight w:val="none"/>
                <w:lang w:eastAsia="zh-CN"/>
              </w:rPr>
              <w:t>）</w:t>
            </w:r>
            <w:r>
              <w:rPr>
                <w:rFonts w:hint="eastAsia" w:ascii="宋体" w:hAnsi="宋体" w:eastAsia="宋体" w:cs="Times New Roman"/>
                <w:color w:val="000000"/>
                <w:sz w:val="24"/>
                <w:highlight w:val="none"/>
              </w:rPr>
              <w:t>规定，业主管理费按工程施工费、前期工作费、工程监理费和竣工验收费四项之和作为计费基数，采用差额定率累进法计算，费率为2.8%。</w:t>
            </w:r>
          </w:p>
          <w:p w14:paraId="07FFC239">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d）监测费</w:t>
            </w:r>
          </w:p>
          <w:p w14:paraId="60B7F726">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rPr>
              <w:t>监测费主要根据监测指标、监测点数量、监测次数等确定费用，本项目监测主要为专业监测。委托专业</w:t>
            </w:r>
            <w:r>
              <w:rPr>
                <w:rFonts w:hint="eastAsia" w:ascii="宋体" w:hAnsi="宋体" w:eastAsia="宋体" w:cs="Times New Roman"/>
                <w:color w:val="000000"/>
                <w:sz w:val="24"/>
                <w:highlight w:val="none"/>
                <w:lang w:val="en-US" w:eastAsia="zh-CN"/>
              </w:rPr>
              <w:t>机</w:t>
            </w:r>
            <w:r>
              <w:rPr>
                <w:rFonts w:hint="eastAsia" w:ascii="宋体" w:hAnsi="宋体" w:eastAsia="宋体" w:cs="Times New Roman"/>
                <w:color w:val="000000"/>
                <w:sz w:val="24"/>
                <w:highlight w:val="none"/>
              </w:rPr>
              <w:t>构监测项目按次进行收费。本项目土地复垦监测费为土地损毁监测。土地损毁监测</w:t>
            </w:r>
            <w:r>
              <w:rPr>
                <w:rFonts w:hint="eastAsia" w:ascii="宋体" w:hAnsi="宋体" w:eastAsia="宋体" w:cs="Times New Roman"/>
                <w:color w:val="000000"/>
                <w:sz w:val="24"/>
                <w:highlight w:val="none"/>
                <w:lang w:val="en-US" w:eastAsia="zh-CN"/>
              </w:rPr>
              <w:t>按每次260元计取。</w:t>
            </w:r>
          </w:p>
          <w:p w14:paraId="73F184D0">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e）预备费</w:t>
            </w:r>
          </w:p>
          <w:p w14:paraId="0C32779D">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预备费</w:t>
            </w:r>
            <w:r>
              <w:rPr>
                <w:rFonts w:hint="eastAsia" w:ascii="宋体" w:hAnsi="宋体" w:eastAsia="宋体" w:cs="Times New Roman"/>
                <w:color w:val="000000"/>
                <w:sz w:val="24"/>
                <w:highlight w:val="none"/>
                <w:lang w:eastAsia="zh-CN"/>
              </w:rPr>
              <w:t>是</w:t>
            </w:r>
            <w:r>
              <w:rPr>
                <w:rFonts w:hint="eastAsia" w:ascii="宋体" w:hAnsi="宋体" w:eastAsia="宋体" w:cs="Times New Roman"/>
                <w:color w:val="000000"/>
                <w:sz w:val="24"/>
                <w:highlight w:val="none"/>
              </w:rPr>
              <w:t>考虑了土地复垦期间可能发生的风险因素，从而导致复垦费用增加的一项费用。本项目周期较短，预备费主要包括基本预备费。</w:t>
            </w:r>
          </w:p>
          <w:p w14:paraId="7B562F9E">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基本预备费：根据《土地开发整理项目预算定额标准》财综[2011]128号规定，基本预备费指解决在工程施工过程中因自然灾害、设计变更等因素的变化而增加的费用，以工程施工费、监测费、设备费和其他费用之和的3%计取。</w:t>
            </w:r>
          </w:p>
          <w:p w14:paraId="67D8711A">
            <w:pPr>
              <w:keepNext w:val="0"/>
              <w:keepLines w:val="0"/>
              <w:suppressLineNumbers w:val="0"/>
              <w:spacing w:before="0" w:beforeAutospacing="0" w:after="0" w:afterAutospacing="0" w:line="460" w:lineRule="exact"/>
              <w:ind w:left="0" w:right="0" w:firstLine="460" w:firstLineChars="19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3.投资概算</w:t>
            </w:r>
          </w:p>
          <w:p w14:paraId="7BB3791E">
            <w:pPr>
              <w:keepNext w:val="0"/>
              <w:keepLines w:val="0"/>
              <w:suppressLineNumbers w:val="0"/>
              <w:spacing w:before="0" w:beforeAutospacing="0" w:after="0" w:afterAutospacing="0" w:line="460" w:lineRule="exact"/>
              <w:ind w:left="0" w:right="0" w:firstLine="460" w:firstLineChars="192"/>
              <w:jc w:val="left"/>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本项目</w:t>
            </w:r>
            <w:r>
              <w:rPr>
                <w:rFonts w:hint="eastAsia" w:ascii="宋体" w:hAnsi="宋体" w:eastAsia="宋体" w:cs="宋体"/>
                <w:color w:val="000000"/>
                <w:sz w:val="24"/>
                <w:szCs w:val="24"/>
                <w:highlight w:val="none"/>
                <w:lang w:eastAsia="zh-CN"/>
              </w:rPr>
              <w:t>临时用地</w:t>
            </w:r>
            <w:r>
              <w:rPr>
                <w:rFonts w:hint="eastAsia" w:ascii="宋体" w:hAnsi="宋体" w:eastAsia="宋体" w:cs="宋体"/>
                <w:color w:val="000000"/>
                <w:sz w:val="24"/>
                <w:szCs w:val="24"/>
                <w:highlight w:val="none"/>
              </w:rPr>
              <w:t>土地复</w:t>
            </w:r>
            <w:r>
              <w:rPr>
                <w:rFonts w:hint="eastAsia" w:ascii="宋体" w:hAnsi="宋体" w:eastAsia="宋体" w:cs="宋体"/>
                <w:color w:val="000000"/>
                <w:sz w:val="24"/>
                <w:szCs w:val="24"/>
                <w:highlight w:val="none"/>
                <w:lang w:eastAsia="zh-CN"/>
              </w:rPr>
              <w:t>垦工程总预算价为</w:t>
            </w:r>
            <w:r>
              <w:rPr>
                <w:rFonts w:hint="eastAsia" w:ascii="宋体" w:hAnsi="宋体" w:eastAsia="宋体" w:cs="宋体"/>
                <w:color w:val="000000"/>
                <w:sz w:val="24"/>
                <w:szCs w:val="24"/>
                <w:highlight w:val="none"/>
                <w:lang w:val="en-US" w:eastAsia="zh-CN"/>
              </w:rPr>
              <w:t>99</w:t>
            </w:r>
            <w:r>
              <w:rPr>
                <w:rFonts w:hint="eastAsia" w:ascii="宋体" w:hAnsi="宋体" w:cs="宋体"/>
                <w:color w:val="000000"/>
                <w:sz w:val="24"/>
                <w:szCs w:val="24"/>
                <w:highlight w:val="none"/>
                <w:lang w:val="en-US" w:eastAsia="zh-CN"/>
              </w:rPr>
              <w:t>557.27</w:t>
            </w:r>
            <w:r>
              <w:rPr>
                <w:rFonts w:hint="eastAsia" w:ascii="宋体" w:hAnsi="宋体" w:eastAsia="宋体" w:cs="宋体"/>
                <w:color w:val="000000"/>
                <w:sz w:val="24"/>
                <w:szCs w:val="24"/>
                <w:highlight w:val="none"/>
                <w:lang w:eastAsia="zh-CN"/>
              </w:rPr>
              <w:t>元（具体见预算表1），</w:t>
            </w:r>
            <w:r>
              <w:rPr>
                <w:rFonts w:hint="eastAsia" w:ascii="宋体" w:hAnsi="宋体" w:eastAsia="宋体" w:cs="宋体"/>
                <w:color w:val="000000"/>
                <w:sz w:val="24"/>
                <w:szCs w:val="24"/>
                <w:highlight w:val="none"/>
                <w:lang w:val="en-US" w:eastAsia="zh-CN"/>
              </w:rPr>
              <w:t>项目区亩均投资1</w:t>
            </w:r>
            <w:r>
              <w:rPr>
                <w:rFonts w:hint="eastAsia" w:ascii="宋体" w:hAnsi="宋体" w:cs="宋体"/>
                <w:color w:val="000000"/>
                <w:sz w:val="24"/>
                <w:szCs w:val="24"/>
                <w:highlight w:val="none"/>
                <w:lang w:val="en-US" w:eastAsia="zh-CN"/>
              </w:rPr>
              <w:t>802.27</w:t>
            </w:r>
            <w:r>
              <w:rPr>
                <w:rFonts w:hint="eastAsia" w:ascii="宋体" w:hAnsi="宋体" w:eastAsia="宋体" w:cs="宋体"/>
                <w:color w:val="000000"/>
                <w:sz w:val="24"/>
                <w:szCs w:val="24"/>
                <w:highlight w:val="none"/>
                <w:lang w:val="en-US" w:eastAsia="zh-CN"/>
              </w:rPr>
              <w:t>元，</w:t>
            </w:r>
            <w:r>
              <w:rPr>
                <w:rFonts w:hint="eastAsia" w:ascii="宋体" w:hAnsi="宋体" w:eastAsia="宋体" w:cs="宋体"/>
                <w:color w:val="000000"/>
                <w:sz w:val="24"/>
                <w:szCs w:val="24"/>
                <w:highlight w:val="none"/>
                <w:lang w:eastAsia="zh-CN"/>
              </w:rPr>
              <w:t>技术经济指标构成：</w:t>
            </w:r>
          </w:p>
          <w:p w14:paraId="7BF3BD00">
            <w:pPr>
              <w:keepNext w:val="0"/>
              <w:keepLines w:val="0"/>
              <w:suppressLineNumbers w:val="0"/>
              <w:spacing w:before="0" w:beforeAutospacing="0" w:after="0" w:afterAutospacing="0" w:line="460" w:lineRule="exact"/>
              <w:ind w:left="0" w:right="0" w:firstLine="460" w:firstLineChars="192"/>
              <w:jc w:val="left"/>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工程施工费</w:t>
            </w:r>
            <w:r>
              <w:rPr>
                <w:rFonts w:hint="eastAsia" w:ascii="宋体" w:hAnsi="宋体" w:cs="宋体"/>
                <w:color w:val="000000"/>
                <w:sz w:val="24"/>
                <w:szCs w:val="24"/>
                <w:highlight w:val="none"/>
                <w:lang w:val="en-US" w:eastAsia="zh-CN"/>
              </w:rPr>
              <w:t>65397.51</w:t>
            </w:r>
            <w:r>
              <w:rPr>
                <w:rFonts w:hint="eastAsia" w:ascii="宋体" w:hAnsi="宋体" w:eastAsia="宋体" w:cs="宋体"/>
                <w:color w:val="000000"/>
                <w:sz w:val="24"/>
                <w:szCs w:val="24"/>
                <w:highlight w:val="none"/>
                <w:lang w:eastAsia="zh-CN"/>
              </w:rPr>
              <w:t>元，占经费总预算的</w:t>
            </w:r>
            <w:r>
              <w:rPr>
                <w:rFonts w:hint="eastAsia" w:ascii="宋体" w:hAnsi="宋体" w:cs="宋体"/>
                <w:color w:val="000000"/>
                <w:sz w:val="24"/>
                <w:szCs w:val="24"/>
                <w:highlight w:val="none"/>
                <w:lang w:val="en-US" w:eastAsia="zh-CN"/>
              </w:rPr>
              <w:t>65.69</w:t>
            </w:r>
            <w:r>
              <w:rPr>
                <w:rFonts w:hint="eastAsia" w:ascii="宋体" w:hAnsi="宋体" w:eastAsia="宋体" w:cs="宋体"/>
                <w:color w:val="000000"/>
                <w:sz w:val="24"/>
                <w:szCs w:val="24"/>
                <w:highlight w:val="none"/>
                <w:lang w:eastAsia="zh-CN"/>
              </w:rPr>
              <w:t>%；其他费用</w:t>
            </w:r>
            <w:r>
              <w:rPr>
                <w:rFonts w:hint="eastAsia" w:ascii="宋体" w:hAnsi="宋体" w:cs="宋体"/>
                <w:color w:val="000000"/>
                <w:sz w:val="24"/>
                <w:szCs w:val="24"/>
                <w:highlight w:val="none"/>
                <w:lang w:val="en-US" w:eastAsia="zh-CN"/>
              </w:rPr>
              <w:t>9804.45</w:t>
            </w:r>
            <w:r>
              <w:rPr>
                <w:rFonts w:hint="eastAsia" w:ascii="宋体" w:hAnsi="宋体" w:eastAsia="宋体" w:cs="宋体"/>
                <w:color w:val="000000"/>
                <w:sz w:val="24"/>
                <w:szCs w:val="24"/>
                <w:highlight w:val="none"/>
                <w:lang w:eastAsia="zh-CN"/>
              </w:rPr>
              <w:t>元，占总经费的</w:t>
            </w:r>
            <w:r>
              <w:rPr>
                <w:rFonts w:hint="eastAsia" w:ascii="宋体" w:hAnsi="宋体" w:cs="宋体"/>
                <w:color w:val="000000"/>
                <w:sz w:val="24"/>
                <w:szCs w:val="24"/>
                <w:highlight w:val="none"/>
                <w:lang w:val="en-US" w:eastAsia="zh-CN"/>
              </w:rPr>
              <w:t>9.85</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管护与监测费</w:t>
            </w:r>
            <w:r>
              <w:rPr>
                <w:rFonts w:hint="eastAsia" w:ascii="宋体" w:hAnsi="宋体" w:cs="宋体"/>
                <w:color w:val="000000"/>
                <w:sz w:val="24"/>
                <w:szCs w:val="24"/>
                <w:highlight w:val="none"/>
                <w:lang w:val="en-US" w:eastAsia="zh-CN"/>
              </w:rPr>
              <w:t>18720</w:t>
            </w:r>
            <w:r>
              <w:rPr>
                <w:rFonts w:hint="eastAsia" w:ascii="宋体" w:hAnsi="宋体" w:eastAsia="宋体" w:cs="宋体"/>
                <w:color w:val="000000"/>
                <w:sz w:val="24"/>
                <w:szCs w:val="24"/>
                <w:highlight w:val="none"/>
                <w:lang w:val="en-US" w:eastAsia="zh-CN"/>
              </w:rPr>
              <w:t>元，</w:t>
            </w:r>
            <w:r>
              <w:rPr>
                <w:rFonts w:hint="eastAsia" w:ascii="宋体" w:hAnsi="宋体" w:eastAsia="宋体" w:cs="宋体"/>
                <w:color w:val="000000"/>
                <w:sz w:val="24"/>
                <w:szCs w:val="24"/>
                <w:highlight w:val="none"/>
                <w:lang w:eastAsia="zh-CN"/>
              </w:rPr>
              <w:t>占总经费的</w:t>
            </w:r>
            <w:r>
              <w:rPr>
                <w:rFonts w:hint="eastAsia" w:ascii="宋体" w:hAnsi="宋体" w:eastAsia="宋体" w:cs="宋体"/>
                <w:color w:val="000000"/>
                <w:sz w:val="24"/>
                <w:szCs w:val="24"/>
                <w:highlight w:val="none"/>
                <w:lang w:val="en-US" w:eastAsia="zh-CN"/>
              </w:rPr>
              <w:t>1</w:t>
            </w: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lang w:val="en-US" w:eastAsia="zh-CN"/>
              </w:rPr>
              <w:t>.</w:t>
            </w: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lang w:eastAsia="zh-CN"/>
              </w:rPr>
              <w:t>%；预备费</w:t>
            </w:r>
            <w:r>
              <w:rPr>
                <w:rFonts w:hint="eastAsia" w:ascii="宋体" w:hAnsi="宋体" w:eastAsia="宋体" w:cs="宋体"/>
                <w:color w:val="000000"/>
                <w:sz w:val="24"/>
                <w:szCs w:val="24"/>
                <w:highlight w:val="none"/>
                <w:lang w:val="en-US" w:eastAsia="zh-CN"/>
              </w:rPr>
              <w:t>28</w:t>
            </w:r>
            <w:r>
              <w:rPr>
                <w:rFonts w:hint="eastAsia" w:ascii="宋体" w:hAnsi="宋体" w:cs="宋体"/>
                <w:color w:val="000000"/>
                <w:sz w:val="24"/>
                <w:szCs w:val="24"/>
                <w:highlight w:val="none"/>
                <w:lang w:val="en-US" w:eastAsia="zh-CN"/>
              </w:rPr>
              <w:t>17.66</w:t>
            </w:r>
            <w:r>
              <w:rPr>
                <w:rFonts w:hint="eastAsia" w:ascii="宋体" w:hAnsi="宋体" w:eastAsia="宋体" w:cs="宋体"/>
                <w:color w:val="000000"/>
                <w:sz w:val="24"/>
                <w:szCs w:val="24"/>
                <w:highlight w:val="none"/>
                <w:lang w:eastAsia="zh-CN"/>
              </w:rPr>
              <w:t>元，占经费总预算的</w:t>
            </w:r>
            <w:r>
              <w:rPr>
                <w:rFonts w:hint="eastAsia" w:ascii="宋体" w:hAnsi="宋体" w:eastAsia="宋体" w:cs="宋体"/>
                <w:color w:val="000000"/>
                <w:sz w:val="24"/>
                <w:szCs w:val="24"/>
                <w:highlight w:val="none"/>
                <w:lang w:val="en-US" w:eastAsia="zh-CN"/>
              </w:rPr>
              <w:t>2.83</w:t>
            </w:r>
            <w:r>
              <w:rPr>
                <w:rFonts w:hint="eastAsia" w:ascii="宋体" w:hAnsi="宋体" w:eastAsia="宋体" w:cs="宋体"/>
                <w:color w:val="000000"/>
                <w:sz w:val="24"/>
                <w:szCs w:val="24"/>
                <w:highlight w:val="none"/>
                <w:lang w:eastAsia="zh-CN"/>
              </w:rPr>
              <w:t>%。</w:t>
            </w:r>
          </w:p>
          <w:p w14:paraId="6AD74BF7">
            <w:pPr>
              <w:keepNext w:val="0"/>
              <w:keepLines w:val="0"/>
              <w:suppressLineNumbers w:val="0"/>
              <w:spacing w:before="0" w:beforeAutospacing="0" w:after="0" w:afterAutospacing="0" w:line="460" w:lineRule="exact"/>
              <w:ind w:left="0" w:right="0" w:firstLine="460" w:firstLineChars="192"/>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根据本项目的特点，本预算符合项目需求，预</w:t>
            </w:r>
            <w:r>
              <w:rPr>
                <w:rFonts w:hint="eastAsia" w:ascii="宋体" w:hAnsi="宋体" w:eastAsia="宋体" w:cs="宋体"/>
                <w:color w:val="000000"/>
                <w:sz w:val="24"/>
                <w:szCs w:val="24"/>
                <w:highlight w:val="none"/>
              </w:rPr>
              <w:t>算构成合理、可靠，能满足本项目的工作需求。通过本项目的实施，能有效改善当地地质环境现状，产生良好的经济和社会效益，</w:t>
            </w:r>
            <w:r>
              <w:rPr>
                <w:rFonts w:hint="eastAsia" w:ascii="宋体" w:hAnsi="宋体" w:eastAsia="宋体" w:cs="宋体"/>
                <w:color w:val="000000"/>
                <w:sz w:val="24"/>
                <w:szCs w:val="24"/>
                <w:highlight w:val="none"/>
                <w:lang w:val="en-US" w:eastAsia="zh-CN"/>
              </w:rPr>
              <w:t>项目</w:t>
            </w:r>
            <w:r>
              <w:rPr>
                <w:rFonts w:hint="eastAsia" w:ascii="宋体" w:hAnsi="宋体" w:eastAsia="宋体" w:cs="宋体"/>
                <w:color w:val="000000"/>
                <w:sz w:val="24"/>
                <w:szCs w:val="24"/>
                <w:highlight w:val="none"/>
              </w:rPr>
              <w:t>区可恢复</w:t>
            </w:r>
            <w:r>
              <w:rPr>
                <w:rFonts w:hint="eastAsia" w:ascii="宋体" w:hAnsi="宋体" w:eastAsia="宋体" w:cs="宋体"/>
                <w:color w:val="000000"/>
                <w:sz w:val="24"/>
                <w:szCs w:val="24"/>
                <w:highlight w:val="none"/>
                <w:lang w:eastAsia="zh-CN"/>
              </w:rPr>
              <w:t>损毁</w:t>
            </w:r>
            <w:r>
              <w:rPr>
                <w:rFonts w:hint="eastAsia" w:ascii="宋体" w:hAnsi="宋体" w:eastAsia="宋体" w:cs="宋体"/>
                <w:color w:val="000000"/>
                <w:sz w:val="24"/>
                <w:szCs w:val="24"/>
                <w:highlight w:val="none"/>
              </w:rPr>
              <w:t>的土地面积</w:t>
            </w:r>
            <w:r>
              <w:rPr>
                <w:rFonts w:hint="eastAsia" w:ascii="宋体" w:hAnsi="宋体" w:eastAsia="宋体" w:cs="宋体"/>
                <w:color w:val="000000"/>
                <w:sz w:val="24"/>
                <w:szCs w:val="24"/>
                <w:highlight w:val="none"/>
                <w:lang w:val="en-US" w:eastAsia="zh-CN"/>
              </w:rPr>
              <w:t>3.6828</w:t>
            </w:r>
            <w:r>
              <w:rPr>
                <w:rFonts w:hint="eastAsia" w:ascii="宋体" w:hAnsi="宋体" w:eastAsia="宋体" w:cs="宋体"/>
                <w:color w:val="000000"/>
                <w:sz w:val="24"/>
                <w:szCs w:val="24"/>
                <w:highlight w:val="none"/>
              </w:rPr>
              <w:t>公顷。</w:t>
            </w:r>
          </w:p>
          <w:p w14:paraId="6D3BCF5C">
            <w:pPr>
              <w:keepNext w:val="0"/>
              <w:keepLines w:val="0"/>
              <w:suppressLineNumbers w:val="0"/>
              <w:spacing w:before="0" w:beforeAutospacing="0" w:after="0" w:afterAutospacing="0" w:line="460" w:lineRule="exact"/>
              <w:ind w:left="0" w:right="0" w:firstLine="460" w:firstLineChars="192"/>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项目实施所需要的资金由公司自筹，设立专门账户，专款专用，资金使用接受自然资源主管部门的监管。</w:t>
            </w:r>
          </w:p>
          <w:p w14:paraId="4BCE3388">
            <w:pPr>
              <w:keepNext w:val="0"/>
              <w:keepLines w:val="0"/>
              <w:suppressLineNumbers w:val="0"/>
              <w:spacing w:before="0" w:beforeAutospacing="0" w:after="0" w:afterAutospacing="0" w:line="460" w:lineRule="exact"/>
              <w:ind w:left="0" w:right="0"/>
              <w:jc w:val="center"/>
              <w:rPr>
                <w:rFonts w:hint="eastAsia" w:ascii="宋体" w:hAnsi="宋体"/>
                <w:b/>
                <w:bCs/>
                <w:color w:val="000000"/>
                <w:sz w:val="24"/>
                <w:highlight w:val="none"/>
              </w:rPr>
            </w:pPr>
            <w:r>
              <w:rPr>
                <w:rFonts w:hint="eastAsia" w:ascii="宋体" w:hAnsi="宋体"/>
                <w:b/>
                <w:bCs/>
                <w:color w:val="000000"/>
                <w:sz w:val="24"/>
                <w:highlight w:val="none"/>
              </w:rPr>
              <w:t>表1投资估算</w:t>
            </w:r>
          </w:p>
          <w:tbl>
            <w:tblPr>
              <w:tblStyle w:val="19"/>
              <w:tblW w:w="86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79"/>
              <w:gridCol w:w="2683"/>
              <w:gridCol w:w="2260"/>
              <w:gridCol w:w="2278"/>
            </w:tblGrid>
            <w:tr w14:paraId="08F94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1379" w:type="dxa"/>
                  <w:tcBorders>
                    <w:top w:val="single" w:color="000000" w:sz="4" w:space="0"/>
                    <w:left w:val="single" w:color="000000" w:sz="4" w:space="0"/>
                    <w:bottom w:val="single" w:color="000000" w:sz="4" w:space="0"/>
                    <w:right w:val="single" w:color="000000" w:sz="4" w:space="0"/>
                  </w:tcBorders>
                  <w:noWrap w:val="0"/>
                  <w:vAlign w:val="center"/>
                </w:tcPr>
                <w:p w14:paraId="5EFFDB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序号</w:t>
                  </w:r>
                </w:p>
              </w:tc>
              <w:tc>
                <w:tcPr>
                  <w:tcW w:w="2683" w:type="dxa"/>
                  <w:tcBorders>
                    <w:top w:val="single" w:color="000000" w:sz="4" w:space="0"/>
                    <w:left w:val="single" w:color="000000" w:sz="4" w:space="0"/>
                    <w:bottom w:val="single" w:color="000000" w:sz="4" w:space="0"/>
                    <w:right w:val="single" w:color="000000" w:sz="4" w:space="0"/>
                  </w:tcBorders>
                  <w:noWrap w:val="0"/>
                  <w:vAlign w:val="center"/>
                </w:tcPr>
                <w:p w14:paraId="73EB4C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工程或费用名称</w:t>
                  </w:r>
                </w:p>
              </w:tc>
              <w:tc>
                <w:tcPr>
                  <w:tcW w:w="2260" w:type="dxa"/>
                  <w:tcBorders>
                    <w:top w:val="single" w:color="000000" w:sz="4" w:space="0"/>
                    <w:left w:val="single" w:color="000000" w:sz="4" w:space="0"/>
                    <w:bottom w:val="single" w:color="000000" w:sz="4" w:space="0"/>
                    <w:right w:val="single" w:color="000000" w:sz="4" w:space="0"/>
                  </w:tcBorders>
                  <w:noWrap w:val="0"/>
                  <w:vAlign w:val="center"/>
                </w:tcPr>
                <w:p w14:paraId="065913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预算金额(元)</w:t>
                  </w:r>
                </w:p>
              </w:tc>
              <w:tc>
                <w:tcPr>
                  <w:tcW w:w="2278" w:type="dxa"/>
                  <w:tcBorders>
                    <w:top w:val="single" w:color="000000" w:sz="4" w:space="0"/>
                    <w:left w:val="single" w:color="000000" w:sz="4" w:space="0"/>
                    <w:bottom w:val="single" w:color="000000" w:sz="4" w:space="0"/>
                    <w:right w:val="single" w:color="000000" w:sz="4" w:space="0"/>
                  </w:tcBorders>
                  <w:noWrap w:val="0"/>
                  <w:vAlign w:val="center"/>
                </w:tcPr>
                <w:p w14:paraId="3BB23A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经费比例（%）</w:t>
                  </w:r>
                </w:p>
              </w:tc>
            </w:tr>
            <w:tr w14:paraId="61D81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1379" w:type="dxa"/>
                  <w:tcBorders>
                    <w:top w:val="single" w:color="000000" w:sz="4" w:space="0"/>
                    <w:left w:val="single" w:color="000000" w:sz="4" w:space="0"/>
                    <w:bottom w:val="single" w:color="000000" w:sz="4" w:space="0"/>
                    <w:right w:val="single" w:color="000000" w:sz="4" w:space="0"/>
                  </w:tcBorders>
                  <w:noWrap w:val="0"/>
                  <w:vAlign w:val="center"/>
                </w:tcPr>
                <w:p w14:paraId="3A9DBA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一</w:t>
                  </w:r>
                </w:p>
              </w:tc>
              <w:tc>
                <w:tcPr>
                  <w:tcW w:w="2683" w:type="dxa"/>
                  <w:tcBorders>
                    <w:top w:val="single" w:color="000000" w:sz="4" w:space="0"/>
                    <w:left w:val="single" w:color="000000" w:sz="4" w:space="0"/>
                    <w:bottom w:val="single" w:color="000000" w:sz="4" w:space="0"/>
                    <w:right w:val="single" w:color="000000" w:sz="4" w:space="0"/>
                  </w:tcBorders>
                  <w:noWrap w:val="0"/>
                  <w:vAlign w:val="center"/>
                </w:tcPr>
                <w:p w14:paraId="37A8F1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工程施工费</w:t>
                  </w:r>
                </w:p>
              </w:tc>
              <w:tc>
                <w:tcPr>
                  <w:tcW w:w="2260" w:type="dxa"/>
                  <w:tcBorders>
                    <w:top w:val="single" w:color="000000" w:sz="4" w:space="0"/>
                    <w:left w:val="single" w:color="000000" w:sz="4" w:space="0"/>
                    <w:bottom w:val="single" w:color="000000" w:sz="4" w:space="0"/>
                    <w:right w:val="single" w:color="000000" w:sz="4" w:space="0"/>
                  </w:tcBorders>
                  <w:noWrap w:val="0"/>
                  <w:vAlign w:val="center"/>
                </w:tcPr>
                <w:p w14:paraId="108EBA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65397.51 </w:t>
                  </w:r>
                </w:p>
              </w:tc>
              <w:tc>
                <w:tcPr>
                  <w:tcW w:w="2278" w:type="dxa"/>
                  <w:tcBorders>
                    <w:top w:val="single" w:color="000000" w:sz="4" w:space="0"/>
                    <w:left w:val="single" w:color="000000" w:sz="4" w:space="0"/>
                    <w:bottom w:val="single" w:color="000000" w:sz="4" w:space="0"/>
                    <w:right w:val="single" w:color="000000" w:sz="4" w:space="0"/>
                  </w:tcBorders>
                  <w:noWrap w:val="0"/>
                  <w:vAlign w:val="center"/>
                </w:tcPr>
                <w:p w14:paraId="4D7E87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65.69 </w:t>
                  </w:r>
                </w:p>
              </w:tc>
            </w:tr>
            <w:tr w14:paraId="30ED8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1379" w:type="dxa"/>
                  <w:tcBorders>
                    <w:top w:val="single" w:color="000000" w:sz="4" w:space="0"/>
                    <w:left w:val="single" w:color="000000" w:sz="4" w:space="0"/>
                    <w:bottom w:val="single" w:color="000000" w:sz="4" w:space="0"/>
                    <w:right w:val="single" w:color="000000" w:sz="4" w:space="0"/>
                  </w:tcBorders>
                  <w:noWrap w:val="0"/>
                  <w:vAlign w:val="center"/>
                </w:tcPr>
                <w:p w14:paraId="5F9736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二</w:t>
                  </w:r>
                </w:p>
              </w:tc>
              <w:tc>
                <w:tcPr>
                  <w:tcW w:w="2683" w:type="dxa"/>
                  <w:tcBorders>
                    <w:top w:val="single" w:color="000000" w:sz="4" w:space="0"/>
                    <w:left w:val="single" w:color="000000" w:sz="4" w:space="0"/>
                    <w:bottom w:val="single" w:color="000000" w:sz="4" w:space="0"/>
                    <w:right w:val="single" w:color="000000" w:sz="4" w:space="0"/>
                  </w:tcBorders>
                  <w:noWrap w:val="0"/>
                  <w:vAlign w:val="center"/>
                </w:tcPr>
                <w:p w14:paraId="208648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设备费</w:t>
                  </w:r>
                </w:p>
              </w:tc>
              <w:tc>
                <w:tcPr>
                  <w:tcW w:w="2260" w:type="dxa"/>
                  <w:tcBorders>
                    <w:top w:val="single" w:color="000000" w:sz="4" w:space="0"/>
                    <w:left w:val="single" w:color="000000" w:sz="4" w:space="0"/>
                    <w:bottom w:val="single" w:color="000000" w:sz="4" w:space="0"/>
                    <w:right w:val="single" w:color="000000" w:sz="4" w:space="0"/>
                  </w:tcBorders>
                  <w:noWrap w:val="0"/>
                  <w:vAlign w:val="center"/>
                </w:tcPr>
                <w:p w14:paraId="693EDCD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2278" w:type="dxa"/>
                  <w:tcBorders>
                    <w:top w:val="single" w:color="000000" w:sz="4" w:space="0"/>
                    <w:left w:val="single" w:color="000000" w:sz="4" w:space="0"/>
                    <w:bottom w:val="single" w:color="000000" w:sz="4" w:space="0"/>
                    <w:right w:val="single" w:color="000000" w:sz="4" w:space="0"/>
                  </w:tcBorders>
                  <w:noWrap w:val="0"/>
                  <w:vAlign w:val="center"/>
                </w:tcPr>
                <w:p w14:paraId="1A8D78D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r>
            <w:tr w14:paraId="56F6A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1379" w:type="dxa"/>
                  <w:tcBorders>
                    <w:top w:val="single" w:color="000000" w:sz="4" w:space="0"/>
                    <w:left w:val="single" w:color="000000" w:sz="4" w:space="0"/>
                    <w:bottom w:val="single" w:color="000000" w:sz="4" w:space="0"/>
                    <w:right w:val="single" w:color="000000" w:sz="4" w:space="0"/>
                  </w:tcBorders>
                  <w:noWrap w:val="0"/>
                  <w:vAlign w:val="center"/>
                </w:tcPr>
                <w:p w14:paraId="343DC3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三</w:t>
                  </w:r>
                </w:p>
              </w:tc>
              <w:tc>
                <w:tcPr>
                  <w:tcW w:w="2683" w:type="dxa"/>
                  <w:tcBorders>
                    <w:top w:val="single" w:color="000000" w:sz="4" w:space="0"/>
                    <w:left w:val="single" w:color="000000" w:sz="4" w:space="0"/>
                    <w:bottom w:val="single" w:color="000000" w:sz="4" w:space="0"/>
                    <w:right w:val="single" w:color="000000" w:sz="4" w:space="0"/>
                  </w:tcBorders>
                  <w:noWrap w:val="0"/>
                  <w:vAlign w:val="center"/>
                </w:tcPr>
                <w:p w14:paraId="5EB2A0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其他费用</w:t>
                  </w:r>
                </w:p>
              </w:tc>
              <w:tc>
                <w:tcPr>
                  <w:tcW w:w="2260" w:type="dxa"/>
                  <w:tcBorders>
                    <w:top w:val="single" w:color="000000" w:sz="4" w:space="0"/>
                    <w:left w:val="single" w:color="000000" w:sz="4" w:space="0"/>
                    <w:bottom w:val="single" w:color="000000" w:sz="4" w:space="0"/>
                    <w:right w:val="single" w:color="000000" w:sz="4" w:space="0"/>
                  </w:tcBorders>
                  <w:noWrap w:val="0"/>
                  <w:vAlign w:val="center"/>
                </w:tcPr>
                <w:p w14:paraId="5A3843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9804.45 </w:t>
                  </w:r>
                </w:p>
              </w:tc>
              <w:tc>
                <w:tcPr>
                  <w:tcW w:w="2278" w:type="dxa"/>
                  <w:tcBorders>
                    <w:top w:val="single" w:color="000000" w:sz="4" w:space="0"/>
                    <w:left w:val="single" w:color="000000" w:sz="4" w:space="0"/>
                    <w:bottom w:val="single" w:color="000000" w:sz="4" w:space="0"/>
                    <w:right w:val="single" w:color="000000" w:sz="4" w:space="0"/>
                  </w:tcBorders>
                  <w:noWrap w:val="0"/>
                  <w:vAlign w:val="center"/>
                </w:tcPr>
                <w:p w14:paraId="7774BF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9.85 </w:t>
                  </w:r>
                </w:p>
              </w:tc>
            </w:tr>
            <w:tr w14:paraId="2CB0D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1379" w:type="dxa"/>
                  <w:tcBorders>
                    <w:top w:val="single" w:color="000000" w:sz="4" w:space="0"/>
                    <w:left w:val="single" w:color="000000" w:sz="4" w:space="0"/>
                    <w:bottom w:val="single" w:color="000000" w:sz="4" w:space="0"/>
                    <w:right w:val="single" w:color="000000" w:sz="4" w:space="0"/>
                  </w:tcBorders>
                  <w:noWrap w:val="0"/>
                  <w:vAlign w:val="center"/>
                </w:tcPr>
                <w:p w14:paraId="775302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四</w:t>
                  </w:r>
                </w:p>
              </w:tc>
              <w:tc>
                <w:tcPr>
                  <w:tcW w:w="2683" w:type="dxa"/>
                  <w:tcBorders>
                    <w:top w:val="single" w:color="000000" w:sz="4" w:space="0"/>
                    <w:left w:val="single" w:color="000000" w:sz="4" w:space="0"/>
                    <w:bottom w:val="single" w:color="000000" w:sz="4" w:space="0"/>
                    <w:right w:val="single" w:color="000000" w:sz="4" w:space="0"/>
                  </w:tcBorders>
                  <w:noWrap w:val="0"/>
                  <w:vAlign w:val="center"/>
                </w:tcPr>
                <w:p w14:paraId="3A96F1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管护与监测费</w:t>
                  </w:r>
                </w:p>
              </w:tc>
              <w:tc>
                <w:tcPr>
                  <w:tcW w:w="2260" w:type="dxa"/>
                  <w:tcBorders>
                    <w:top w:val="single" w:color="000000" w:sz="4" w:space="0"/>
                    <w:left w:val="single" w:color="000000" w:sz="4" w:space="0"/>
                    <w:bottom w:val="single" w:color="000000" w:sz="4" w:space="0"/>
                    <w:right w:val="single" w:color="000000" w:sz="4" w:space="0"/>
                  </w:tcBorders>
                  <w:noWrap w:val="0"/>
                  <w:vAlign w:val="center"/>
                </w:tcPr>
                <w:p w14:paraId="71FB3E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18720.00 </w:t>
                  </w:r>
                </w:p>
              </w:tc>
              <w:tc>
                <w:tcPr>
                  <w:tcW w:w="2278" w:type="dxa"/>
                  <w:tcBorders>
                    <w:top w:val="single" w:color="000000" w:sz="4" w:space="0"/>
                    <w:left w:val="single" w:color="000000" w:sz="4" w:space="0"/>
                    <w:bottom w:val="single" w:color="000000" w:sz="4" w:space="0"/>
                    <w:right w:val="single" w:color="000000" w:sz="4" w:space="0"/>
                  </w:tcBorders>
                  <w:noWrap w:val="0"/>
                  <w:vAlign w:val="center"/>
                </w:tcPr>
                <w:p w14:paraId="0F238F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18.80 </w:t>
                  </w:r>
                </w:p>
              </w:tc>
            </w:tr>
            <w:tr w14:paraId="4DBB1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1379" w:type="dxa"/>
                  <w:tcBorders>
                    <w:top w:val="single" w:color="000000" w:sz="4" w:space="0"/>
                    <w:left w:val="single" w:color="000000" w:sz="4" w:space="0"/>
                    <w:bottom w:val="single" w:color="000000" w:sz="4" w:space="0"/>
                    <w:right w:val="single" w:color="000000" w:sz="4" w:space="0"/>
                  </w:tcBorders>
                  <w:noWrap w:val="0"/>
                  <w:vAlign w:val="center"/>
                </w:tcPr>
                <w:p w14:paraId="2D9695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五</w:t>
                  </w:r>
                </w:p>
              </w:tc>
              <w:tc>
                <w:tcPr>
                  <w:tcW w:w="2683" w:type="dxa"/>
                  <w:tcBorders>
                    <w:top w:val="single" w:color="000000" w:sz="4" w:space="0"/>
                    <w:left w:val="single" w:color="000000" w:sz="4" w:space="0"/>
                    <w:bottom w:val="single" w:color="000000" w:sz="4" w:space="0"/>
                    <w:right w:val="single" w:color="000000" w:sz="4" w:space="0"/>
                  </w:tcBorders>
                  <w:noWrap w:val="0"/>
                  <w:vAlign w:val="center"/>
                </w:tcPr>
                <w:p w14:paraId="20A8B2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预备费</w:t>
                  </w:r>
                </w:p>
              </w:tc>
              <w:tc>
                <w:tcPr>
                  <w:tcW w:w="2260" w:type="dxa"/>
                  <w:tcBorders>
                    <w:top w:val="single" w:color="000000" w:sz="4" w:space="0"/>
                    <w:left w:val="single" w:color="000000" w:sz="4" w:space="0"/>
                    <w:bottom w:val="single" w:color="000000" w:sz="4" w:space="0"/>
                    <w:right w:val="single" w:color="000000" w:sz="4" w:space="0"/>
                  </w:tcBorders>
                  <w:noWrap w:val="0"/>
                  <w:vAlign w:val="center"/>
                </w:tcPr>
                <w:p w14:paraId="16F6C1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2817.66 </w:t>
                  </w:r>
                </w:p>
              </w:tc>
              <w:tc>
                <w:tcPr>
                  <w:tcW w:w="2278" w:type="dxa"/>
                  <w:tcBorders>
                    <w:top w:val="single" w:color="000000" w:sz="4" w:space="0"/>
                    <w:left w:val="single" w:color="000000" w:sz="4" w:space="0"/>
                    <w:bottom w:val="single" w:color="000000" w:sz="4" w:space="0"/>
                    <w:right w:val="single" w:color="000000" w:sz="4" w:space="0"/>
                  </w:tcBorders>
                  <w:noWrap w:val="0"/>
                  <w:vAlign w:val="center"/>
                </w:tcPr>
                <w:p w14:paraId="1B82B6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2.83 </w:t>
                  </w:r>
                </w:p>
              </w:tc>
            </w:tr>
            <w:tr w14:paraId="73EBA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1379" w:type="dxa"/>
                  <w:tcBorders>
                    <w:top w:val="single" w:color="000000" w:sz="4" w:space="0"/>
                    <w:left w:val="single" w:color="000000" w:sz="4" w:space="0"/>
                    <w:bottom w:val="single" w:color="000000" w:sz="4" w:space="0"/>
                    <w:right w:val="single" w:color="000000" w:sz="4" w:space="0"/>
                  </w:tcBorders>
                  <w:noWrap w:val="0"/>
                  <w:vAlign w:val="center"/>
                </w:tcPr>
                <w:p w14:paraId="7AE68B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(一)</w:t>
                  </w:r>
                </w:p>
              </w:tc>
              <w:tc>
                <w:tcPr>
                  <w:tcW w:w="2683" w:type="dxa"/>
                  <w:tcBorders>
                    <w:top w:val="single" w:color="000000" w:sz="4" w:space="0"/>
                    <w:left w:val="single" w:color="000000" w:sz="4" w:space="0"/>
                    <w:bottom w:val="single" w:color="000000" w:sz="4" w:space="0"/>
                    <w:right w:val="single" w:color="000000" w:sz="4" w:space="0"/>
                  </w:tcBorders>
                  <w:noWrap w:val="0"/>
                  <w:vAlign w:val="center"/>
                </w:tcPr>
                <w:p w14:paraId="09AAAB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基本预备费</w:t>
                  </w:r>
                </w:p>
              </w:tc>
              <w:tc>
                <w:tcPr>
                  <w:tcW w:w="2260" w:type="dxa"/>
                  <w:tcBorders>
                    <w:top w:val="single" w:color="000000" w:sz="4" w:space="0"/>
                    <w:left w:val="single" w:color="000000" w:sz="4" w:space="0"/>
                    <w:bottom w:val="single" w:color="000000" w:sz="4" w:space="0"/>
                    <w:right w:val="single" w:color="000000" w:sz="4" w:space="0"/>
                  </w:tcBorders>
                  <w:noWrap w:val="0"/>
                  <w:vAlign w:val="center"/>
                </w:tcPr>
                <w:p w14:paraId="462232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2817.66 </w:t>
                  </w:r>
                </w:p>
              </w:tc>
              <w:tc>
                <w:tcPr>
                  <w:tcW w:w="2278" w:type="dxa"/>
                  <w:tcBorders>
                    <w:top w:val="single" w:color="000000" w:sz="4" w:space="0"/>
                    <w:left w:val="single" w:color="000000" w:sz="4" w:space="0"/>
                    <w:bottom w:val="single" w:color="000000" w:sz="4" w:space="0"/>
                    <w:right w:val="single" w:color="000000" w:sz="4" w:space="0"/>
                  </w:tcBorders>
                  <w:noWrap w:val="0"/>
                  <w:vAlign w:val="center"/>
                </w:tcPr>
                <w:p w14:paraId="66A4FD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2.83 </w:t>
                  </w:r>
                </w:p>
              </w:tc>
            </w:tr>
            <w:tr w14:paraId="1068B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379" w:type="dxa"/>
                  <w:tcBorders>
                    <w:top w:val="single" w:color="000000" w:sz="4" w:space="0"/>
                    <w:left w:val="single" w:color="000000" w:sz="4" w:space="0"/>
                    <w:bottom w:val="single" w:color="000000" w:sz="4" w:space="0"/>
                    <w:right w:val="single" w:color="000000" w:sz="4" w:space="0"/>
                  </w:tcBorders>
                  <w:noWrap w:val="0"/>
                  <w:vAlign w:val="center"/>
                </w:tcPr>
                <w:p w14:paraId="2C009F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六</w:t>
                  </w:r>
                </w:p>
              </w:tc>
              <w:tc>
                <w:tcPr>
                  <w:tcW w:w="2683" w:type="dxa"/>
                  <w:tcBorders>
                    <w:top w:val="single" w:color="000000" w:sz="4" w:space="0"/>
                    <w:left w:val="single" w:color="000000" w:sz="4" w:space="0"/>
                    <w:bottom w:val="single" w:color="000000" w:sz="4" w:space="0"/>
                    <w:right w:val="single" w:color="000000" w:sz="4" w:space="0"/>
                  </w:tcBorders>
                  <w:noWrap w:val="0"/>
                  <w:vAlign w:val="center"/>
                </w:tcPr>
                <w:p w14:paraId="6FB2AA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总投资</w:t>
                  </w:r>
                </w:p>
              </w:tc>
              <w:tc>
                <w:tcPr>
                  <w:tcW w:w="2260" w:type="dxa"/>
                  <w:tcBorders>
                    <w:top w:val="single" w:color="000000" w:sz="4" w:space="0"/>
                    <w:left w:val="single" w:color="000000" w:sz="4" w:space="0"/>
                    <w:bottom w:val="single" w:color="000000" w:sz="4" w:space="0"/>
                    <w:right w:val="single" w:color="000000" w:sz="4" w:space="0"/>
                  </w:tcBorders>
                  <w:noWrap w:val="0"/>
                  <w:vAlign w:val="center"/>
                </w:tcPr>
                <w:p w14:paraId="743892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99557.27 </w:t>
                  </w:r>
                </w:p>
              </w:tc>
              <w:tc>
                <w:tcPr>
                  <w:tcW w:w="2278" w:type="dxa"/>
                  <w:tcBorders>
                    <w:top w:val="single" w:color="000000" w:sz="4" w:space="0"/>
                    <w:left w:val="single" w:color="000000" w:sz="4" w:space="0"/>
                    <w:bottom w:val="single" w:color="000000" w:sz="4" w:space="0"/>
                    <w:right w:val="single" w:color="000000" w:sz="4" w:space="0"/>
                  </w:tcBorders>
                  <w:noWrap w:val="0"/>
                  <w:vAlign w:val="center"/>
                </w:tcPr>
                <w:p w14:paraId="5569E1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100</w:t>
                  </w:r>
                </w:p>
              </w:tc>
            </w:tr>
          </w:tbl>
          <w:p w14:paraId="57038ABF">
            <w:pPr>
              <w:keepNext w:val="0"/>
              <w:keepLines w:val="0"/>
              <w:suppressLineNumbers w:val="0"/>
              <w:spacing w:before="0" w:beforeAutospacing="0" w:after="0" w:afterAutospacing="0" w:line="460" w:lineRule="exact"/>
              <w:ind w:left="0" w:right="0"/>
              <w:jc w:val="center"/>
              <w:rPr>
                <w:rFonts w:hint="eastAsia" w:ascii="宋体" w:hAnsi="宋体"/>
                <w:b/>
                <w:bCs/>
                <w:color w:val="000000"/>
                <w:sz w:val="24"/>
                <w:highlight w:val="none"/>
              </w:rPr>
            </w:pPr>
            <w:r>
              <w:rPr>
                <w:rFonts w:hint="eastAsia" w:ascii="宋体" w:hAnsi="宋体"/>
                <w:b/>
                <w:bCs/>
                <w:color w:val="000000"/>
                <w:sz w:val="24"/>
                <w:highlight w:val="none"/>
              </w:rPr>
              <w:t>表2工程施工费预算表</w:t>
            </w:r>
          </w:p>
          <w:tbl>
            <w:tblPr>
              <w:tblStyle w:val="19"/>
              <w:tblW w:w="8380" w:type="dxa"/>
              <w:jc w:val="center"/>
              <w:shd w:val="clear" w:color="auto" w:fill="auto"/>
              <w:tblLayout w:type="fixed"/>
              <w:tblCellMar>
                <w:top w:w="0" w:type="dxa"/>
                <w:left w:w="0" w:type="dxa"/>
                <w:bottom w:w="0" w:type="dxa"/>
                <w:right w:w="0" w:type="dxa"/>
              </w:tblCellMar>
            </w:tblPr>
            <w:tblGrid>
              <w:gridCol w:w="917"/>
              <w:gridCol w:w="1245"/>
              <w:gridCol w:w="2"/>
              <w:gridCol w:w="1245"/>
              <w:gridCol w:w="736"/>
              <w:gridCol w:w="1036"/>
              <w:gridCol w:w="1277"/>
              <w:gridCol w:w="1922"/>
            </w:tblGrid>
            <w:tr w14:paraId="1A8FDF30">
              <w:tblPrEx>
                <w:tblCellMar>
                  <w:top w:w="0" w:type="dxa"/>
                  <w:left w:w="0" w:type="dxa"/>
                  <w:bottom w:w="0" w:type="dxa"/>
                  <w:right w:w="0" w:type="dxa"/>
                </w:tblCellMar>
              </w:tblPrEx>
              <w:trPr>
                <w:trHeight w:val="201" w:hRule="atLeast"/>
                <w:jc w:val="center"/>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665A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A741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定额编号</w:t>
                  </w:r>
                </w:p>
              </w:tc>
              <w:tc>
                <w:tcPr>
                  <w:tcW w:w="1247"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01EC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单项名称</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6839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653C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工程量</w:t>
                  </w:r>
                </w:p>
              </w:tc>
              <w:tc>
                <w:tcPr>
                  <w:tcW w:w="127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8A62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单价（元）</w:t>
                  </w:r>
                </w:p>
              </w:tc>
              <w:tc>
                <w:tcPr>
                  <w:tcW w:w="1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1B6C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工程费（元）</w:t>
                  </w:r>
                </w:p>
              </w:tc>
            </w:tr>
            <w:tr w14:paraId="4A1F9A20">
              <w:tblPrEx>
                <w:shd w:val="clear" w:color="auto" w:fill="auto"/>
                <w:tblCellMar>
                  <w:top w:w="0" w:type="dxa"/>
                  <w:left w:w="0" w:type="dxa"/>
                  <w:bottom w:w="0" w:type="dxa"/>
                  <w:right w:w="0" w:type="dxa"/>
                </w:tblCellMar>
              </w:tblPrEx>
              <w:trPr>
                <w:trHeight w:val="155" w:hRule="atLeast"/>
                <w:jc w:val="center"/>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3C43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一</w:t>
                  </w:r>
                </w:p>
              </w:tc>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126A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土地复垦工程</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6449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B3F9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AB280F6">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460E9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65397.51</w:t>
                  </w:r>
                </w:p>
              </w:tc>
            </w:tr>
            <w:tr w14:paraId="2DD3200B">
              <w:tblPrEx>
                <w:tblCellMar>
                  <w:top w:w="0" w:type="dxa"/>
                  <w:left w:w="0" w:type="dxa"/>
                  <w:bottom w:w="0" w:type="dxa"/>
                  <w:right w:w="0" w:type="dxa"/>
                </w:tblCellMar>
              </w:tblPrEx>
              <w:trPr>
                <w:trHeight w:val="155" w:hRule="atLeast"/>
                <w:jc w:val="center"/>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BEA7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（一）</w:t>
                  </w:r>
                </w:p>
              </w:tc>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BEAA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制梁场1</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FD5838">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711D09">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DF4FE46">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8CA46DD">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r>
            <w:tr w14:paraId="5A51C060">
              <w:tblPrEx>
                <w:shd w:val="clear" w:color="auto" w:fill="auto"/>
                <w:tblCellMar>
                  <w:top w:w="0" w:type="dxa"/>
                  <w:left w:w="0" w:type="dxa"/>
                  <w:bottom w:w="0" w:type="dxa"/>
                  <w:right w:w="0" w:type="dxa"/>
                </w:tblCellMar>
              </w:tblPrEx>
              <w:trPr>
                <w:trHeight w:val="155" w:hRule="atLeast"/>
                <w:jc w:val="center"/>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BC60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47"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7C1C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cs="宋体"/>
                      <w:i w:val="0"/>
                      <w:color w:val="000000"/>
                      <w:kern w:val="0"/>
                      <w:sz w:val="21"/>
                      <w:szCs w:val="21"/>
                      <w:u w:val="none"/>
                      <w:lang w:val="en-US" w:eastAsia="zh-CN" w:bidi="ar"/>
                    </w:rPr>
                    <w:t>10319</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D85E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场地平整</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7AC5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100m</w:t>
                  </w:r>
                  <w:r>
                    <w:rPr>
                      <w:rFonts w:hint="eastAsia" w:ascii="宋体" w:hAnsi="宋体" w:eastAsia="宋体" w:cs="宋体"/>
                      <w:i w:val="0"/>
                      <w:color w:val="000000"/>
                      <w:kern w:val="0"/>
                      <w:sz w:val="21"/>
                      <w:szCs w:val="21"/>
                      <w:u w:val="none"/>
                      <w:vertAlign w:val="superscript"/>
                      <w:lang w:val="en-US" w:eastAsia="zh-CN" w:bidi="ar"/>
                    </w:rPr>
                    <w:t>3</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8224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7.106</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BE639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364.78</w:t>
                  </w:r>
                </w:p>
              </w:tc>
              <w:tc>
                <w:tcPr>
                  <w:tcW w:w="1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E9B32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2592.16</w:t>
                  </w:r>
                </w:p>
              </w:tc>
            </w:tr>
            <w:tr w14:paraId="4B5808AF">
              <w:tblPrEx>
                <w:tblCellMar>
                  <w:top w:w="0" w:type="dxa"/>
                  <w:left w:w="0" w:type="dxa"/>
                  <w:bottom w:w="0" w:type="dxa"/>
                  <w:right w:w="0" w:type="dxa"/>
                </w:tblCellMar>
              </w:tblPrEx>
              <w:trPr>
                <w:trHeight w:val="155" w:hRule="atLeast"/>
                <w:jc w:val="center"/>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8C01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（二）</w:t>
                  </w:r>
                </w:p>
              </w:tc>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C972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制梁场2</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E28670">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C410FF">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71FDBED">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CBBFA8B">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r>
            <w:tr w14:paraId="033BCB7F">
              <w:tblPrEx>
                <w:shd w:val="clear" w:color="auto" w:fill="auto"/>
                <w:tblCellMar>
                  <w:top w:w="0" w:type="dxa"/>
                  <w:left w:w="0" w:type="dxa"/>
                  <w:bottom w:w="0" w:type="dxa"/>
                  <w:right w:w="0" w:type="dxa"/>
                </w:tblCellMar>
              </w:tblPrEx>
              <w:trPr>
                <w:trHeight w:val="155" w:hRule="atLeast"/>
                <w:jc w:val="center"/>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18F4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47"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BF51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cs="宋体"/>
                      <w:i w:val="0"/>
                      <w:color w:val="000000"/>
                      <w:kern w:val="0"/>
                      <w:sz w:val="21"/>
                      <w:szCs w:val="21"/>
                      <w:u w:val="none"/>
                      <w:lang w:val="en-US" w:eastAsia="zh-CN" w:bidi="ar"/>
                    </w:rPr>
                    <w:t>10319</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6D75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场地平整</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C1D8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100m</w:t>
                  </w:r>
                  <w:r>
                    <w:rPr>
                      <w:rFonts w:hint="eastAsia" w:ascii="宋体" w:hAnsi="宋体" w:eastAsia="宋体" w:cs="宋体"/>
                      <w:i w:val="0"/>
                      <w:color w:val="000000"/>
                      <w:kern w:val="0"/>
                      <w:sz w:val="21"/>
                      <w:szCs w:val="21"/>
                      <w:u w:val="none"/>
                      <w:vertAlign w:val="superscript"/>
                      <w:lang w:val="en-US" w:eastAsia="zh-CN" w:bidi="ar"/>
                    </w:rPr>
                    <w:t>3</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3C4D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7.808</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D6FE4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364.78</w:t>
                  </w:r>
                </w:p>
              </w:tc>
              <w:tc>
                <w:tcPr>
                  <w:tcW w:w="1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7D6F3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2848.24</w:t>
                  </w:r>
                </w:p>
              </w:tc>
            </w:tr>
            <w:tr w14:paraId="405885B7">
              <w:tblPrEx>
                <w:shd w:val="clear" w:color="auto" w:fill="auto"/>
                <w:tblCellMar>
                  <w:top w:w="0" w:type="dxa"/>
                  <w:left w:w="0" w:type="dxa"/>
                  <w:bottom w:w="0" w:type="dxa"/>
                  <w:right w:w="0" w:type="dxa"/>
                </w:tblCellMar>
              </w:tblPrEx>
              <w:trPr>
                <w:trHeight w:val="155" w:hRule="atLeast"/>
                <w:jc w:val="center"/>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43E6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w:t>
                  </w:r>
                </w:p>
              </w:tc>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0562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材料堆场1</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489F83">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849DF5">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2030844">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0F507DA">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r>
            <w:tr w14:paraId="1410A03A">
              <w:tblPrEx>
                <w:shd w:val="clear" w:color="auto" w:fill="auto"/>
                <w:tblCellMar>
                  <w:top w:w="0" w:type="dxa"/>
                  <w:left w:w="0" w:type="dxa"/>
                  <w:bottom w:w="0" w:type="dxa"/>
                  <w:right w:w="0" w:type="dxa"/>
                </w:tblCellMar>
              </w:tblPrEx>
              <w:trPr>
                <w:trHeight w:val="155" w:hRule="atLeast"/>
                <w:jc w:val="center"/>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9A57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47"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73DA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XB40012</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3D20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硬化拆除</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D7F0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100m</w:t>
                  </w:r>
                  <w:r>
                    <w:rPr>
                      <w:rFonts w:hint="eastAsia" w:ascii="宋体" w:hAnsi="宋体" w:eastAsia="宋体" w:cs="宋体"/>
                      <w:i w:val="0"/>
                      <w:color w:val="000000"/>
                      <w:kern w:val="0"/>
                      <w:sz w:val="21"/>
                      <w:szCs w:val="21"/>
                      <w:u w:val="none"/>
                      <w:vertAlign w:val="superscript"/>
                      <w:lang w:val="en-US" w:eastAsia="zh-CN" w:bidi="ar"/>
                    </w:rPr>
                    <w:t>3</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3783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0.352</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32396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10297.22</w:t>
                  </w:r>
                </w:p>
              </w:tc>
              <w:tc>
                <w:tcPr>
                  <w:tcW w:w="1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85538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3624.62</w:t>
                  </w:r>
                </w:p>
              </w:tc>
            </w:tr>
            <w:tr w14:paraId="4F0F6719">
              <w:tblPrEx>
                <w:tblCellMar>
                  <w:top w:w="0" w:type="dxa"/>
                  <w:left w:w="0" w:type="dxa"/>
                  <w:bottom w:w="0" w:type="dxa"/>
                  <w:right w:w="0" w:type="dxa"/>
                </w:tblCellMar>
              </w:tblPrEx>
              <w:trPr>
                <w:trHeight w:val="155" w:hRule="atLeast"/>
                <w:jc w:val="center"/>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0613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1247"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EA92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cs="宋体"/>
                      <w:i w:val="0"/>
                      <w:color w:val="000000"/>
                      <w:kern w:val="0"/>
                      <w:sz w:val="21"/>
                      <w:szCs w:val="21"/>
                      <w:u w:val="none"/>
                      <w:lang w:val="en-US" w:eastAsia="zh-CN" w:bidi="ar"/>
                    </w:rPr>
                    <w:t>20293</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9DD1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垃圾清运</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D259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100m</w:t>
                  </w:r>
                  <w:r>
                    <w:rPr>
                      <w:rFonts w:hint="eastAsia" w:ascii="宋体" w:hAnsi="宋体" w:eastAsia="宋体" w:cs="宋体"/>
                      <w:i w:val="0"/>
                      <w:color w:val="000000"/>
                      <w:kern w:val="0"/>
                      <w:sz w:val="21"/>
                      <w:szCs w:val="21"/>
                      <w:u w:val="none"/>
                      <w:vertAlign w:val="superscript"/>
                      <w:lang w:val="en-US" w:eastAsia="zh-CN" w:bidi="ar"/>
                    </w:rPr>
                    <w:t>3</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2B74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0.352</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928C9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10733.85</w:t>
                  </w:r>
                </w:p>
              </w:tc>
              <w:tc>
                <w:tcPr>
                  <w:tcW w:w="1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C1F80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3778.31</w:t>
                  </w:r>
                </w:p>
              </w:tc>
            </w:tr>
            <w:tr w14:paraId="1970500E">
              <w:tblPrEx>
                <w:shd w:val="clear" w:color="auto" w:fill="auto"/>
                <w:tblCellMar>
                  <w:top w:w="0" w:type="dxa"/>
                  <w:left w:w="0" w:type="dxa"/>
                  <w:bottom w:w="0" w:type="dxa"/>
                  <w:right w:w="0" w:type="dxa"/>
                </w:tblCellMar>
              </w:tblPrEx>
              <w:trPr>
                <w:trHeight w:val="155" w:hRule="atLeast"/>
                <w:jc w:val="center"/>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9F46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1247"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7A9E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cs="宋体"/>
                      <w:i w:val="0"/>
                      <w:color w:val="000000"/>
                      <w:kern w:val="0"/>
                      <w:sz w:val="21"/>
                      <w:szCs w:val="21"/>
                      <w:u w:val="none"/>
                      <w:lang w:val="en-US" w:eastAsia="zh-CN" w:bidi="ar"/>
                    </w:rPr>
                    <w:t>10319</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05D4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场地平整</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8CD1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100m</w:t>
                  </w:r>
                  <w:r>
                    <w:rPr>
                      <w:rFonts w:hint="eastAsia" w:ascii="宋体" w:hAnsi="宋体" w:eastAsia="宋体" w:cs="宋体"/>
                      <w:i w:val="0"/>
                      <w:color w:val="000000"/>
                      <w:kern w:val="0"/>
                      <w:sz w:val="21"/>
                      <w:szCs w:val="21"/>
                      <w:u w:val="none"/>
                      <w:vertAlign w:val="superscript"/>
                      <w:lang w:val="en-US" w:eastAsia="zh-CN" w:bidi="ar"/>
                    </w:rPr>
                    <w:t>3</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A5D5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8.590</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02661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364.78</w:t>
                  </w:r>
                </w:p>
              </w:tc>
              <w:tc>
                <w:tcPr>
                  <w:tcW w:w="1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B904A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3133.50</w:t>
                  </w:r>
                </w:p>
              </w:tc>
            </w:tr>
            <w:tr w14:paraId="3AA9D779">
              <w:tblPrEx>
                <w:tblCellMar>
                  <w:top w:w="0" w:type="dxa"/>
                  <w:left w:w="0" w:type="dxa"/>
                  <w:bottom w:w="0" w:type="dxa"/>
                  <w:right w:w="0" w:type="dxa"/>
                </w:tblCellMar>
              </w:tblPrEx>
              <w:trPr>
                <w:trHeight w:val="155" w:hRule="atLeast"/>
                <w:jc w:val="center"/>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6AD1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（四）</w:t>
                  </w:r>
                </w:p>
              </w:tc>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E517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材料堆场2</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A14A7E">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3A58C0">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DA3CE50">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A1942B0">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r>
            <w:tr w14:paraId="3CFCCE15">
              <w:tblPrEx>
                <w:shd w:val="clear" w:color="auto" w:fill="auto"/>
                <w:tblCellMar>
                  <w:top w:w="0" w:type="dxa"/>
                  <w:left w:w="0" w:type="dxa"/>
                  <w:bottom w:w="0" w:type="dxa"/>
                  <w:right w:w="0" w:type="dxa"/>
                </w:tblCellMar>
              </w:tblPrEx>
              <w:trPr>
                <w:trHeight w:val="155" w:hRule="atLeast"/>
                <w:jc w:val="center"/>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6AF2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47"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D4E2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XB40012</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3500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硬化拆除</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73D3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100m</w:t>
                  </w:r>
                  <w:r>
                    <w:rPr>
                      <w:rFonts w:hint="eastAsia" w:ascii="宋体" w:hAnsi="宋体" w:eastAsia="宋体" w:cs="宋体"/>
                      <w:i w:val="0"/>
                      <w:color w:val="000000"/>
                      <w:kern w:val="0"/>
                      <w:sz w:val="21"/>
                      <w:szCs w:val="21"/>
                      <w:u w:val="none"/>
                      <w:vertAlign w:val="superscript"/>
                      <w:lang w:val="en-US" w:eastAsia="zh-CN" w:bidi="ar"/>
                    </w:rPr>
                    <w:t>3</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3F3A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1.480</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C8C4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10297.22</w:t>
                  </w:r>
                </w:p>
              </w:tc>
              <w:tc>
                <w:tcPr>
                  <w:tcW w:w="1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7E1F2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15239.89</w:t>
                  </w:r>
                </w:p>
              </w:tc>
            </w:tr>
            <w:tr w14:paraId="4DD84826">
              <w:tblPrEx>
                <w:tblCellMar>
                  <w:top w:w="0" w:type="dxa"/>
                  <w:left w:w="0" w:type="dxa"/>
                  <w:bottom w:w="0" w:type="dxa"/>
                  <w:right w:w="0" w:type="dxa"/>
                </w:tblCellMar>
              </w:tblPrEx>
              <w:trPr>
                <w:trHeight w:val="155" w:hRule="atLeast"/>
                <w:jc w:val="center"/>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0AD7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1247"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3A48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cs="宋体"/>
                      <w:i w:val="0"/>
                      <w:color w:val="000000"/>
                      <w:kern w:val="0"/>
                      <w:sz w:val="21"/>
                      <w:szCs w:val="21"/>
                      <w:u w:val="none"/>
                      <w:lang w:val="en-US" w:eastAsia="zh-CN" w:bidi="ar"/>
                    </w:rPr>
                    <w:t>20293</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2E80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垃圾清运</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DC92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100m</w:t>
                  </w:r>
                  <w:r>
                    <w:rPr>
                      <w:rFonts w:hint="eastAsia" w:ascii="宋体" w:hAnsi="宋体" w:eastAsia="宋体" w:cs="宋体"/>
                      <w:i w:val="0"/>
                      <w:color w:val="000000"/>
                      <w:kern w:val="0"/>
                      <w:sz w:val="21"/>
                      <w:szCs w:val="21"/>
                      <w:u w:val="none"/>
                      <w:vertAlign w:val="superscript"/>
                      <w:lang w:val="en-US" w:eastAsia="zh-CN" w:bidi="ar"/>
                    </w:rPr>
                    <w:t>3</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F854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1.480</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5EC5A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10733.85</w:t>
                  </w:r>
                </w:p>
              </w:tc>
              <w:tc>
                <w:tcPr>
                  <w:tcW w:w="1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C6053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15886.09</w:t>
                  </w:r>
                </w:p>
              </w:tc>
            </w:tr>
            <w:tr w14:paraId="4A3EC8DA">
              <w:tblPrEx>
                <w:shd w:val="clear" w:color="auto" w:fill="auto"/>
                <w:tblCellMar>
                  <w:top w:w="0" w:type="dxa"/>
                  <w:left w:w="0" w:type="dxa"/>
                  <w:bottom w:w="0" w:type="dxa"/>
                  <w:right w:w="0" w:type="dxa"/>
                </w:tblCellMar>
              </w:tblPrEx>
              <w:trPr>
                <w:trHeight w:val="155" w:hRule="atLeast"/>
                <w:jc w:val="center"/>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B7A8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1247"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7EC7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cs="宋体"/>
                      <w:i w:val="0"/>
                      <w:color w:val="000000"/>
                      <w:kern w:val="0"/>
                      <w:sz w:val="21"/>
                      <w:szCs w:val="21"/>
                      <w:u w:val="none"/>
                      <w:lang w:val="en-US" w:eastAsia="zh-CN" w:bidi="ar"/>
                    </w:rPr>
                    <w:t>10319</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10FF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场地平整</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19AE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100m</w:t>
                  </w:r>
                  <w:r>
                    <w:rPr>
                      <w:rFonts w:hint="eastAsia" w:ascii="宋体" w:hAnsi="宋体" w:eastAsia="宋体" w:cs="宋体"/>
                      <w:i w:val="0"/>
                      <w:color w:val="000000"/>
                      <w:kern w:val="0"/>
                      <w:sz w:val="21"/>
                      <w:szCs w:val="21"/>
                      <w:u w:val="none"/>
                      <w:vertAlign w:val="superscript"/>
                      <w:lang w:val="en-US" w:eastAsia="zh-CN" w:bidi="ar"/>
                    </w:rPr>
                    <w:t>3</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56BF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31.272</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039E1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364.78</w:t>
                  </w:r>
                </w:p>
              </w:tc>
              <w:tc>
                <w:tcPr>
                  <w:tcW w:w="1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D95C0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11407.55</w:t>
                  </w:r>
                </w:p>
              </w:tc>
            </w:tr>
            <w:tr w14:paraId="083303C9">
              <w:tblPrEx>
                <w:shd w:val="clear" w:color="auto" w:fill="auto"/>
                <w:tblCellMar>
                  <w:top w:w="0" w:type="dxa"/>
                  <w:left w:w="0" w:type="dxa"/>
                  <w:bottom w:w="0" w:type="dxa"/>
                  <w:right w:w="0" w:type="dxa"/>
                </w:tblCellMar>
              </w:tblPrEx>
              <w:trPr>
                <w:trHeight w:val="155" w:hRule="atLeast"/>
                <w:jc w:val="center"/>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6E17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（五）</w:t>
                  </w:r>
                </w:p>
              </w:tc>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2D5C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钢筋加工厂1</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C671F7">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164884">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396AA02">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F337D19">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r>
            <w:tr w14:paraId="29BA77AD">
              <w:tblPrEx>
                <w:shd w:val="clear" w:color="auto" w:fill="auto"/>
                <w:tblCellMar>
                  <w:top w:w="0" w:type="dxa"/>
                  <w:left w:w="0" w:type="dxa"/>
                  <w:bottom w:w="0" w:type="dxa"/>
                  <w:right w:w="0" w:type="dxa"/>
                </w:tblCellMar>
              </w:tblPrEx>
              <w:trPr>
                <w:trHeight w:val="155" w:hRule="atLeast"/>
                <w:jc w:val="center"/>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8810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47"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A061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cs="宋体"/>
                      <w:i w:val="0"/>
                      <w:color w:val="000000"/>
                      <w:kern w:val="0"/>
                      <w:sz w:val="21"/>
                      <w:szCs w:val="21"/>
                      <w:u w:val="none"/>
                      <w:lang w:val="en-US" w:eastAsia="zh-CN" w:bidi="ar"/>
                    </w:rPr>
                    <w:t>10319</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63BE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场地平整</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5D22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100m</w:t>
                  </w:r>
                  <w:r>
                    <w:rPr>
                      <w:rFonts w:hint="eastAsia" w:ascii="宋体" w:hAnsi="宋体" w:eastAsia="宋体" w:cs="宋体"/>
                      <w:i w:val="0"/>
                      <w:color w:val="000000"/>
                      <w:kern w:val="0"/>
                      <w:sz w:val="21"/>
                      <w:szCs w:val="21"/>
                      <w:u w:val="none"/>
                      <w:vertAlign w:val="superscript"/>
                      <w:lang w:val="en-US" w:eastAsia="zh-CN" w:bidi="ar"/>
                    </w:rPr>
                    <w:t>3</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0131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7.648</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3342C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364.78</w:t>
                  </w:r>
                </w:p>
              </w:tc>
              <w:tc>
                <w:tcPr>
                  <w:tcW w:w="1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E5AE1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2789.87</w:t>
                  </w:r>
                </w:p>
              </w:tc>
            </w:tr>
            <w:tr w14:paraId="1755D295">
              <w:tblPrEx>
                <w:shd w:val="clear" w:color="auto" w:fill="auto"/>
                <w:tblCellMar>
                  <w:top w:w="0" w:type="dxa"/>
                  <w:left w:w="0" w:type="dxa"/>
                  <w:bottom w:w="0" w:type="dxa"/>
                  <w:right w:w="0" w:type="dxa"/>
                </w:tblCellMar>
              </w:tblPrEx>
              <w:trPr>
                <w:trHeight w:val="155" w:hRule="atLeast"/>
                <w:jc w:val="center"/>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9D24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（六）</w:t>
                  </w:r>
                </w:p>
              </w:tc>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8037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钢筋加工厂2</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E98FB9">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36B538">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6F4469E">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F844A72">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r>
            <w:tr w14:paraId="6F11C299">
              <w:tblPrEx>
                <w:tblCellMar>
                  <w:top w:w="0" w:type="dxa"/>
                  <w:left w:w="0" w:type="dxa"/>
                  <w:bottom w:w="0" w:type="dxa"/>
                  <w:right w:w="0" w:type="dxa"/>
                </w:tblCellMar>
              </w:tblPrEx>
              <w:trPr>
                <w:trHeight w:val="155" w:hRule="atLeast"/>
                <w:jc w:val="center"/>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F68A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47"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192E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cs="宋体"/>
                      <w:i w:val="0"/>
                      <w:color w:val="000000"/>
                      <w:kern w:val="0"/>
                      <w:sz w:val="21"/>
                      <w:szCs w:val="21"/>
                      <w:u w:val="none"/>
                      <w:lang w:val="en-US" w:eastAsia="zh-CN" w:bidi="ar"/>
                    </w:rPr>
                    <w:t>10319</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FABC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场地平整</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89EA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100m</w:t>
                  </w:r>
                  <w:r>
                    <w:rPr>
                      <w:rFonts w:hint="eastAsia" w:ascii="宋体" w:hAnsi="宋体" w:eastAsia="宋体" w:cs="宋体"/>
                      <w:i w:val="0"/>
                      <w:color w:val="000000"/>
                      <w:kern w:val="0"/>
                      <w:sz w:val="21"/>
                      <w:szCs w:val="21"/>
                      <w:u w:val="none"/>
                      <w:vertAlign w:val="superscript"/>
                      <w:lang w:val="en-US" w:eastAsia="zh-CN" w:bidi="ar"/>
                    </w:rPr>
                    <w:t>3</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C256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11.232</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B0DB8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364.78</w:t>
                  </w:r>
                </w:p>
              </w:tc>
              <w:tc>
                <w:tcPr>
                  <w:tcW w:w="1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C94D4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4097.26</w:t>
                  </w:r>
                </w:p>
              </w:tc>
            </w:tr>
            <w:tr w14:paraId="278CAB5C">
              <w:tblPrEx>
                <w:shd w:val="clear" w:color="auto" w:fill="auto"/>
                <w:tblCellMar>
                  <w:top w:w="0" w:type="dxa"/>
                  <w:left w:w="0" w:type="dxa"/>
                  <w:bottom w:w="0" w:type="dxa"/>
                  <w:right w:w="0" w:type="dxa"/>
                </w:tblCellMar>
              </w:tblPrEx>
              <w:trPr>
                <w:trHeight w:val="155" w:hRule="atLeast"/>
                <w:jc w:val="center"/>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FBF8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二</w:t>
                  </w:r>
                </w:p>
              </w:tc>
              <w:tc>
                <w:tcPr>
                  <w:tcW w:w="249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07D9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监测与管护</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36BD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1507D7">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CAFF2D4">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F18DC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18720.00</w:t>
                  </w:r>
                </w:p>
              </w:tc>
            </w:tr>
            <w:tr w14:paraId="2490C582">
              <w:tblPrEx>
                <w:shd w:val="clear" w:color="auto" w:fill="auto"/>
                <w:tblCellMar>
                  <w:top w:w="0" w:type="dxa"/>
                  <w:left w:w="0" w:type="dxa"/>
                  <w:bottom w:w="0" w:type="dxa"/>
                  <w:right w:w="0" w:type="dxa"/>
                </w:tblCellMar>
              </w:tblPrEx>
              <w:trPr>
                <w:trHeight w:val="155" w:hRule="atLeast"/>
                <w:jc w:val="center"/>
              </w:trPr>
              <w:tc>
                <w:tcPr>
                  <w:tcW w:w="9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2894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（一）</w:t>
                  </w:r>
                </w:p>
              </w:tc>
              <w:tc>
                <w:tcPr>
                  <w:tcW w:w="1247"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741D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市场价</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D433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损毁监测</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4B5A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次</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1BFB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72</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0DB35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260.00</w:t>
                  </w:r>
                </w:p>
              </w:tc>
              <w:tc>
                <w:tcPr>
                  <w:tcW w:w="1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6B7B3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18720.00</w:t>
                  </w:r>
                </w:p>
              </w:tc>
            </w:tr>
            <w:tr w14:paraId="3AD57912">
              <w:tblPrEx>
                <w:shd w:val="clear" w:color="auto" w:fill="auto"/>
                <w:tblCellMar>
                  <w:top w:w="0" w:type="dxa"/>
                  <w:left w:w="0" w:type="dxa"/>
                  <w:bottom w:w="0" w:type="dxa"/>
                  <w:right w:w="0" w:type="dxa"/>
                </w:tblCellMar>
              </w:tblPrEx>
              <w:trPr>
                <w:trHeight w:val="166" w:hRule="atLeast"/>
                <w:jc w:val="center"/>
              </w:trPr>
              <w:tc>
                <w:tcPr>
                  <w:tcW w:w="3409"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0CC9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小计</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EF2AC8C">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E63AFF">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732273D">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u w:val="none"/>
                    </w:rPr>
                  </w:pPr>
                </w:p>
              </w:tc>
              <w:tc>
                <w:tcPr>
                  <w:tcW w:w="192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23D44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84117.51</w:t>
                  </w:r>
                </w:p>
              </w:tc>
            </w:tr>
          </w:tbl>
          <w:p w14:paraId="32556036">
            <w:pPr>
              <w:keepNext w:val="0"/>
              <w:keepLines w:val="0"/>
              <w:suppressLineNumbers w:val="0"/>
              <w:spacing w:before="0" w:beforeAutospacing="0" w:after="0" w:afterAutospacing="0" w:line="460" w:lineRule="exact"/>
              <w:ind w:left="0" w:right="0"/>
              <w:jc w:val="center"/>
              <w:rPr>
                <w:rFonts w:hint="eastAsia" w:ascii="宋体" w:hAnsi="宋体"/>
                <w:b/>
                <w:bCs/>
                <w:color w:val="000000"/>
                <w:sz w:val="24"/>
                <w:highlight w:val="none"/>
              </w:rPr>
            </w:pPr>
          </w:p>
          <w:p w14:paraId="1208E3B2">
            <w:pPr>
              <w:keepNext w:val="0"/>
              <w:keepLines w:val="0"/>
              <w:suppressLineNumbers w:val="0"/>
              <w:spacing w:before="0" w:beforeAutospacing="0" w:after="0" w:afterAutospacing="0" w:line="460" w:lineRule="exact"/>
              <w:ind w:left="0" w:right="0"/>
              <w:jc w:val="center"/>
              <w:rPr>
                <w:rFonts w:hint="eastAsia" w:ascii="宋体" w:hAnsi="宋体"/>
                <w:b/>
                <w:bCs/>
                <w:color w:val="000000"/>
                <w:sz w:val="24"/>
                <w:highlight w:val="none"/>
              </w:rPr>
            </w:pPr>
            <w:r>
              <w:rPr>
                <w:rFonts w:hint="eastAsia" w:ascii="宋体" w:hAnsi="宋体"/>
                <w:b/>
                <w:bCs/>
                <w:color w:val="000000"/>
                <w:sz w:val="24"/>
                <w:highlight w:val="none"/>
              </w:rPr>
              <w:t>表3</w:t>
            </w:r>
            <w:r>
              <w:rPr>
                <w:rFonts w:hint="eastAsia" w:ascii="宋体" w:hAnsi="宋体"/>
                <w:b/>
                <w:bCs/>
                <w:color w:val="000000"/>
                <w:sz w:val="24"/>
                <w:highlight w:val="none"/>
                <w:lang w:eastAsia="zh-CN"/>
              </w:rPr>
              <w:t>其他费用</w:t>
            </w:r>
            <w:r>
              <w:rPr>
                <w:rFonts w:hint="eastAsia" w:ascii="宋体" w:hAnsi="宋体"/>
                <w:b/>
                <w:bCs/>
                <w:color w:val="000000"/>
                <w:sz w:val="24"/>
                <w:highlight w:val="none"/>
              </w:rPr>
              <w:t>预算表</w:t>
            </w:r>
          </w:p>
          <w:tbl>
            <w:tblPr>
              <w:tblStyle w:val="19"/>
              <w:tblW w:w="862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4"/>
              <w:gridCol w:w="3507"/>
              <w:gridCol w:w="1535"/>
              <w:gridCol w:w="1230"/>
              <w:gridCol w:w="1535"/>
            </w:tblGrid>
            <w:tr w14:paraId="297F2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14" w:type="dxa"/>
                  <w:tcBorders>
                    <w:top w:val="single" w:color="000000" w:sz="4" w:space="0"/>
                    <w:left w:val="single" w:color="000000" w:sz="4" w:space="0"/>
                    <w:bottom w:val="single" w:color="000000" w:sz="4" w:space="0"/>
                    <w:right w:val="single" w:color="000000" w:sz="4" w:space="0"/>
                  </w:tcBorders>
                  <w:noWrap w:val="0"/>
                  <w:vAlign w:val="center"/>
                </w:tcPr>
                <w:p w14:paraId="3F5D19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序号</w:t>
                  </w:r>
                </w:p>
              </w:tc>
              <w:tc>
                <w:tcPr>
                  <w:tcW w:w="3507" w:type="dxa"/>
                  <w:tcBorders>
                    <w:top w:val="single" w:color="000000" w:sz="4" w:space="0"/>
                    <w:left w:val="single" w:color="000000" w:sz="4" w:space="0"/>
                    <w:bottom w:val="single" w:color="000000" w:sz="4" w:space="0"/>
                    <w:right w:val="single" w:color="000000" w:sz="4" w:space="0"/>
                  </w:tcBorders>
                  <w:noWrap w:val="0"/>
                  <w:vAlign w:val="center"/>
                </w:tcPr>
                <w:p w14:paraId="208CB3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费用名称</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7F1212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工程施工费</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33201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费率%</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785D03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合计</w:t>
                  </w:r>
                </w:p>
              </w:tc>
            </w:tr>
            <w:tr w14:paraId="7718A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14" w:type="dxa"/>
                  <w:tcBorders>
                    <w:top w:val="single" w:color="000000" w:sz="4" w:space="0"/>
                    <w:left w:val="single" w:color="000000" w:sz="4" w:space="0"/>
                    <w:bottom w:val="single" w:color="000000" w:sz="4" w:space="0"/>
                    <w:right w:val="single" w:color="000000" w:sz="4" w:space="0"/>
                  </w:tcBorders>
                  <w:noWrap w:val="0"/>
                  <w:vAlign w:val="center"/>
                </w:tcPr>
                <w:p w14:paraId="267170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甲</w:t>
                  </w:r>
                </w:p>
              </w:tc>
              <w:tc>
                <w:tcPr>
                  <w:tcW w:w="3507" w:type="dxa"/>
                  <w:tcBorders>
                    <w:top w:val="single" w:color="000000" w:sz="4" w:space="0"/>
                    <w:left w:val="single" w:color="000000" w:sz="4" w:space="0"/>
                    <w:bottom w:val="single" w:color="000000" w:sz="4" w:space="0"/>
                    <w:right w:val="single" w:color="000000" w:sz="4" w:space="0"/>
                  </w:tcBorders>
                  <w:noWrap w:val="0"/>
                  <w:vAlign w:val="center"/>
                </w:tcPr>
                <w:p w14:paraId="030123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乙</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36425B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75D9F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2</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7254C2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3</w:t>
                  </w:r>
                </w:p>
              </w:tc>
            </w:tr>
            <w:tr w14:paraId="05610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14" w:type="dxa"/>
                  <w:tcBorders>
                    <w:top w:val="single" w:color="000000" w:sz="4" w:space="0"/>
                    <w:left w:val="single" w:color="000000" w:sz="4" w:space="0"/>
                    <w:bottom w:val="single" w:color="000000" w:sz="4" w:space="0"/>
                    <w:right w:val="single" w:color="000000" w:sz="4" w:space="0"/>
                  </w:tcBorders>
                  <w:noWrap w:val="0"/>
                  <w:vAlign w:val="center"/>
                </w:tcPr>
                <w:p w14:paraId="55CCA6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一</w:t>
                  </w:r>
                </w:p>
              </w:tc>
              <w:tc>
                <w:tcPr>
                  <w:tcW w:w="3507" w:type="dxa"/>
                  <w:tcBorders>
                    <w:top w:val="single" w:color="000000" w:sz="4" w:space="0"/>
                    <w:left w:val="single" w:color="000000" w:sz="4" w:space="0"/>
                    <w:bottom w:val="single" w:color="000000" w:sz="4" w:space="0"/>
                    <w:right w:val="single" w:color="000000" w:sz="4" w:space="0"/>
                  </w:tcBorders>
                  <w:noWrap w:val="0"/>
                  <w:vAlign w:val="center"/>
                </w:tcPr>
                <w:p w14:paraId="51C6D6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前期费用</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64CE90BC">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000000"/>
                      <w:kern w:val="0"/>
                      <w:sz w:val="21"/>
                      <w:szCs w:val="21"/>
                      <w:highlight w:val="none"/>
                      <w:u w:val="none"/>
                      <w:lang w:val="en-US" w:eastAsia="zh-CN" w:bidi="ar"/>
                    </w:rPr>
                  </w:pP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A2E0635">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000000"/>
                      <w:kern w:val="0"/>
                      <w:sz w:val="21"/>
                      <w:szCs w:val="21"/>
                      <w:highlight w:val="none"/>
                      <w:u w:val="none"/>
                      <w:lang w:val="en-US" w:eastAsia="zh-CN" w:bidi="ar"/>
                    </w:rPr>
                  </w:pP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2EC94D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3923.85 </w:t>
                  </w:r>
                </w:p>
              </w:tc>
            </w:tr>
            <w:tr w14:paraId="6B3CC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14" w:type="dxa"/>
                  <w:tcBorders>
                    <w:top w:val="single" w:color="000000" w:sz="4" w:space="0"/>
                    <w:left w:val="single" w:color="000000" w:sz="4" w:space="0"/>
                    <w:bottom w:val="single" w:color="000000" w:sz="4" w:space="0"/>
                    <w:right w:val="single" w:color="000000" w:sz="4" w:space="0"/>
                  </w:tcBorders>
                  <w:noWrap w:val="0"/>
                  <w:vAlign w:val="center"/>
                </w:tcPr>
                <w:p w14:paraId="537AF1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507" w:type="dxa"/>
                  <w:tcBorders>
                    <w:top w:val="single" w:color="000000" w:sz="4" w:space="0"/>
                    <w:left w:val="single" w:color="000000" w:sz="4" w:space="0"/>
                    <w:bottom w:val="single" w:color="000000" w:sz="4" w:space="0"/>
                    <w:right w:val="single" w:color="000000" w:sz="4" w:space="0"/>
                  </w:tcBorders>
                  <w:noWrap w:val="0"/>
                  <w:vAlign w:val="center"/>
                </w:tcPr>
                <w:p w14:paraId="6ACFD5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土地清查费</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0B5AB6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65397.51 </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0D1B2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0.5</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5F4AC3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326.99 </w:t>
                  </w:r>
                </w:p>
              </w:tc>
            </w:tr>
            <w:tr w14:paraId="1E664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14" w:type="dxa"/>
                  <w:tcBorders>
                    <w:top w:val="single" w:color="000000" w:sz="4" w:space="0"/>
                    <w:left w:val="single" w:color="000000" w:sz="4" w:space="0"/>
                    <w:bottom w:val="single" w:color="000000" w:sz="4" w:space="0"/>
                    <w:right w:val="single" w:color="000000" w:sz="4" w:space="0"/>
                  </w:tcBorders>
                  <w:noWrap w:val="0"/>
                  <w:vAlign w:val="center"/>
                </w:tcPr>
                <w:p w14:paraId="78D422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507" w:type="dxa"/>
                  <w:tcBorders>
                    <w:top w:val="single" w:color="000000" w:sz="4" w:space="0"/>
                    <w:left w:val="single" w:color="000000" w:sz="4" w:space="0"/>
                    <w:bottom w:val="single" w:color="000000" w:sz="4" w:space="0"/>
                    <w:right w:val="single" w:color="000000" w:sz="4" w:space="0"/>
                  </w:tcBorders>
                  <w:noWrap w:val="0"/>
                  <w:vAlign w:val="center"/>
                </w:tcPr>
                <w:p w14:paraId="216EB7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项目可行性研究费</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6EEC49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65397.51 </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DB5C20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1</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36E7B2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653.98 </w:t>
                  </w:r>
                </w:p>
              </w:tc>
            </w:tr>
            <w:tr w14:paraId="2B250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14" w:type="dxa"/>
                  <w:tcBorders>
                    <w:top w:val="single" w:color="000000" w:sz="4" w:space="0"/>
                    <w:left w:val="single" w:color="000000" w:sz="4" w:space="0"/>
                    <w:bottom w:val="single" w:color="000000" w:sz="4" w:space="0"/>
                    <w:right w:val="single" w:color="000000" w:sz="4" w:space="0"/>
                  </w:tcBorders>
                  <w:noWrap w:val="0"/>
                  <w:vAlign w:val="center"/>
                </w:tcPr>
                <w:p w14:paraId="1085FE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507" w:type="dxa"/>
                  <w:tcBorders>
                    <w:top w:val="single" w:color="000000" w:sz="4" w:space="0"/>
                    <w:left w:val="single" w:color="000000" w:sz="4" w:space="0"/>
                    <w:bottom w:val="single" w:color="000000" w:sz="4" w:space="0"/>
                    <w:right w:val="single" w:color="000000" w:sz="4" w:space="0"/>
                  </w:tcBorders>
                  <w:noWrap w:val="0"/>
                  <w:vAlign w:val="center"/>
                </w:tcPr>
                <w:p w14:paraId="0A0204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项目勘测费</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5F6744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65397.51 </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C29FA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1.5</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7BEF9D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980.96 </w:t>
                  </w:r>
                </w:p>
              </w:tc>
            </w:tr>
            <w:tr w14:paraId="11302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14" w:type="dxa"/>
                  <w:tcBorders>
                    <w:top w:val="single" w:color="000000" w:sz="4" w:space="0"/>
                    <w:left w:val="single" w:color="000000" w:sz="4" w:space="0"/>
                    <w:bottom w:val="single" w:color="000000" w:sz="4" w:space="0"/>
                    <w:right w:val="single" w:color="000000" w:sz="4" w:space="0"/>
                  </w:tcBorders>
                  <w:noWrap w:val="0"/>
                  <w:vAlign w:val="center"/>
                </w:tcPr>
                <w:p w14:paraId="3E16BA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507" w:type="dxa"/>
                  <w:tcBorders>
                    <w:top w:val="single" w:color="000000" w:sz="4" w:space="0"/>
                    <w:left w:val="single" w:color="000000" w:sz="4" w:space="0"/>
                    <w:bottom w:val="single" w:color="000000" w:sz="4" w:space="0"/>
                    <w:right w:val="single" w:color="000000" w:sz="4" w:space="0"/>
                  </w:tcBorders>
                  <w:noWrap w:val="0"/>
                  <w:vAlign w:val="center"/>
                </w:tcPr>
                <w:p w14:paraId="4A3584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项目设计与预算编制费</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7B4A2E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65397.51 </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4C3AE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2.5</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262A55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1634.94 </w:t>
                  </w:r>
                </w:p>
              </w:tc>
            </w:tr>
            <w:tr w14:paraId="24334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14" w:type="dxa"/>
                  <w:tcBorders>
                    <w:top w:val="single" w:color="000000" w:sz="4" w:space="0"/>
                    <w:left w:val="single" w:color="000000" w:sz="4" w:space="0"/>
                    <w:bottom w:val="single" w:color="000000" w:sz="4" w:space="0"/>
                    <w:right w:val="single" w:color="000000" w:sz="4" w:space="0"/>
                  </w:tcBorders>
                  <w:noWrap w:val="0"/>
                  <w:vAlign w:val="center"/>
                </w:tcPr>
                <w:p w14:paraId="099C03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3507" w:type="dxa"/>
                  <w:tcBorders>
                    <w:top w:val="single" w:color="000000" w:sz="4" w:space="0"/>
                    <w:left w:val="single" w:color="000000" w:sz="4" w:space="0"/>
                    <w:bottom w:val="single" w:color="000000" w:sz="4" w:space="0"/>
                    <w:right w:val="single" w:color="000000" w:sz="4" w:space="0"/>
                  </w:tcBorders>
                  <w:noWrap w:val="0"/>
                  <w:vAlign w:val="center"/>
                </w:tcPr>
                <w:p w14:paraId="65E69A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项目招标代理费</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6DEDCC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65397.51 </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F2A80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0.5</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7F3F31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326.99 </w:t>
                  </w:r>
                </w:p>
              </w:tc>
            </w:tr>
            <w:tr w14:paraId="6EC4C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14" w:type="dxa"/>
                  <w:tcBorders>
                    <w:top w:val="single" w:color="000000" w:sz="4" w:space="0"/>
                    <w:left w:val="single" w:color="000000" w:sz="4" w:space="0"/>
                    <w:bottom w:val="single" w:color="000000" w:sz="4" w:space="0"/>
                    <w:right w:val="single" w:color="000000" w:sz="4" w:space="0"/>
                  </w:tcBorders>
                  <w:noWrap w:val="0"/>
                  <w:vAlign w:val="center"/>
                </w:tcPr>
                <w:p w14:paraId="20238F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二</w:t>
                  </w:r>
                </w:p>
              </w:tc>
              <w:tc>
                <w:tcPr>
                  <w:tcW w:w="3507" w:type="dxa"/>
                  <w:tcBorders>
                    <w:top w:val="single" w:color="000000" w:sz="4" w:space="0"/>
                    <w:left w:val="single" w:color="000000" w:sz="4" w:space="0"/>
                    <w:bottom w:val="single" w:color="000000" w:sz="4" w:space="0"/>
                    <w:right w:val="single" w:color="000000" w:sz="4" w:space="0"/>
                  </w:tcBorders>
                  <w:noWrap w:val="0"/>
                  <w:vAlign w:val="center"/>
                </w:tcPr>
                <w:p w14:paraId="70D20C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工程监理费</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4A4D46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65397.51 </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21F1D5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2</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31881B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1307.95 </w:t>
                  </w:r>
                </w:p>
              </w:tc>
            </w:tr>
            <w:tr w14:paraId="230AE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14" w:type="dxa"/>
                  <w:tcBorders>
                    <w:top w:val="single" w:color="000000" w:sz="4" w:space="0"/>
                    <w:left w:val="single" w:color="000000" w:sz="4" w:space="0"/>
                    <w:bottom w:val="single" w:color="000000" w:sz="4" w:space="0"/>
                    <w:right w:val="single" w:color="000000" w:sz="4" w:space="0"/>
                  </w:tcBorders>
                  <w:noWrap w:val="0"/>
                  <w:vAlign w:val="center"/>
                </w:tcPr>
                <w:p w14:paraId="3FFC2C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三</w:t>
                  </w:r>
                </w:p>
              </w:tc>
              <w:tc>
                <w:tcPr>
                  <w:tcW w:w="3507" w:type="dxa"/>
                  <w:tcBorders>
                    <w:top w:val="single" w:color="000000" w:sz="4" w:space="0"/>
                    <w:left w:val="single" w:color="000000" w:sz="4" w:space="0"/>
                    <w:bottom w:val="single" w:color="000000" w:sz="4" w:space="0"/>
                    <w:right w:val="single" w:color="000000" w:sz="4" w:space="0"/>
                  </w:tcBorders>
                  <w:noWrap w:val="0"/>
                  <w:vAlign w:val="center"/>
                </w:tcPr>
                <w:p w14:paraId="39CEBF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竣工验收费</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5D9CE409">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000000"/>
                      <w:kern w:val="0"/>
                      <w:sz w:val="21"/>
                      <w:szCs w:val="21"/>
                      <w:highlight w:val="none"/>
                      <w:u w:val="none"/>
                      <w:lang w:val="en-US" w:eastAsia="zh-CN" w:bidi="ar"/>
                    </w:rPr>
                  </w:pP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29CEC8F">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000000"/>
                      <w:kern w:val="0"/>
                      <w:sz w:val="21"/>
                      <w:szCs w:val="21"/>
                      <w:highlight w:val="none"/>
                      <w:u w:val="none"/>
                      <w:lang w:val="en-US" w:eastAsia="zh-CN" w:bidi="ar"/>
                    </w:rPr>
                  </w:pP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15AC48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2524.34 </w:t>
                  </w:r>
                </w:p>
              </w:tc>
            </w:tr>
            <w:tr w14:paraId="5C0D6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14" w:type="dxa"/>
                  <w:tcBorders>
                    <w:top w:val="single" w:color="000000" w:sz="4" w:space="0"/>
                    <w:left w:val="single" w:color="000000" w:sz="4" w:space="0"/>
                    <w:bottom w:val="single" w:color="000000" w:sz="4" w:space="0"/>
                    <w:right w:val="single" w:color="000000" w:sz="4" w:space="0"/>
                  </w:tcBorders>
                  <w:noWrap w:val="0"/>
                  <w:vAlign w:val="center"/>
                </w:tcPr>
                <w:p w14:paraId="774FDA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507" w:type="dxa"/>
                  <w:tcBorders>
                    <w:top w:val="single" w:color="000000" w:sz="4" w:space="0"/>
                    <w:left w:val="single" w:color="000000" w:sz="4" w:space="0"/>
                    <w:bottom w:val="single" w:color="000000" w:sz="4" w:space="0"/>
                    <w:right w:val="single" w:color="000000" w:sz="4" w:space="0"/>
                  </w:tcBorders>
                  <w:noWrap w:val="0"/>
                  <w:vAlign w:val="center"/>
                </w:tcPr>
                <w:p w14:paraId="508407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工程复核费</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502BAB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65397.51 </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2BC10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0.7</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075510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457.78 </w:t>
                  </w:r>
                </w:p>
              </w:tc>
            </w:tr>
            <w:tr w14:paraId="14202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14" w:type="dxa"/>
                  <w:tcBorders>
                    <w:top w:val="single" w:color="000000" w:sz="4" w:space="0"/>
                    <w:left w:val="single" w:color="000000" w:sz="4" w:space="0"/>
                    <w:bottom w:val="single" w:color="000000" w:sz="4" w:space="0"/>
                    <w:right w:val="single" w:color="000000" w:sz="4" w:space="0"/>
                  </w:tcBorders>
                  <w:noWrap w:val="0"/>
                  <w:vAlign w:val="center"/>
                </w:tcPr>
                <w:p w14:paraId="22E6A7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507" w:type="dxa"/>
                  <w:tcBorders>
                    <w:top w:val="single" w:color="000000" w:sz="4" w:space="0"/>
                    <w:left w:val="single" w:color="000000" w:sz="4" w:space="0"/>
                    <w:bottom w:val="single" w:color="000000" w:sz="4" w:space="0"/>
                    <w:right w:val="single" w:color="000000" w:sz="4" w:space="0"/>
                  </w:tcBorders>
                  <w:noWrap w:val="0"/>
                  <w:vAlign w:val="center"/>
                </w:tcPr>
                <w:p w14:paraId="1F9C5A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工程验收费</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13B004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65397.51 </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61467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1.4</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5727C5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915.57 </w:t>
                  </w:r>
                </w:p>
              </w:tc>
            </w:tr>
            <w:tr w14:paraId="0AAC8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14" w:type="dxa"/>
                  <w:tcBorders>
                    <w:top w:val="single" w:color="000000" w:sz="4" w:space="0"/>
                    <w:left w:val="single" w:color="000000" w:sz="4" w:space="0"/>
                    <w:bottom w:val="single" w:color="000000" w:sz="4" w:space="0"/>
                    <w:right w:val="single" w:color="000000" w:sz="4" w:space="0"/>
                  </w:tcBorders>
                  <w:noWrap w:val="0"/>
                  <w:vAlign w:val="center"/>
                </w:tcPr>
                <w:p w14:paraId="242A74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507" w:type="dxa"/>
                  <w:tcBorders>
                    <w:top w:val="single" w:color="000000" w:sz="4" w:space="0"/>
                    <w:left w:val="single" w:color="000000" w:sz="4" w:space="0"/>
                    <w:bottom w:val="single" w:color="000000" w:sz="4" w:space="0"/>
                    <w:right w:val="single" w:color="000000" w:sz="4" w:space="0"/>
                  </w:tcBorders>
                  <w:noWrap w:val="0"/>
                  <w:vAlign w:val="center"/>
                </w:tcPr>
                <w:p w14:paraId="0A1F8A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项目决算编制与审计费</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4ECABE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65397.51 </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A2CC1D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1</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5BA67A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653.98 </w:t>
                  </w:r>
                </w:p>
              </w:tc>
            </w:tr>
            <w:tr w14:paraId="62947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14" w:type="dxa"/>
                  <w:tcBorders>
                    <w:top w:val="single" w:color="000000" w:sz="4" w:space="0"/>
                    <w:left w:val="single" w:color="000000" w:sz="4" w:space="0"/>
                    <w:bottom w:val="single" w:color="000000" w:sz="4" w:space="0"/>
                    <w:right w:val="single" w:color="000000" w:sz="4" w:space="0"/>
                  </w:tcBorders>
                  <w:noWrap w:val="0"/>
                  <w:vAlign w:val="center"/>
                </w:tcPr>
                <w:p w14:paraId="78A975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507" w:type="dxa"/>
                  <w:tcBorders>
                    <w:top w:val="single" w:color="000000" w:sz="4" w:space="0"/>
                    <w:left w:val="single" w:color="000000" w:sz="4" w:space="0"/>
                    <w:bottom w:val="single" w:color="000000" w:sz="4" w:space="0"/>
                    <w:right w:val="single" w:color="000000" w:sz="4" w:space="0"/>
                  </w:tcBorders>
                  <w:noWrap w:val="0"/>
                  <w:vAlign w:val="center"/>
                </w:tcPr>
                <w:p w14:paraId="105193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整理后土地的重估预登记费</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20CFB0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65397.51 </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9CC1F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0.65</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283045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425.08 </w:t>
                  </w:r>
                </w:p>
              </w:tc>
            </w:tr>
            <w:tr w14:paraId="70E13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14" w:type="dxa"/>
                  <w:tcBorders>
                    <w:top w:val="single" w:color="000000" w:sz="4" w:space="0"/>
                    <w:left w:val="single" w:color="000000" w:sz="4" w:space="0"/>
                    <w:bottom w:val="single" w:color="000000" w:sz="4" w:space="0"/>
                    <w:right w:val="single" w:color="000000" w:sz="4" w:space="0"/>
                  </w:tcBorders>
                  <w:noWrap w:val="0"/>
                  <w:vAlign w:val="center"/>
                </w:tcPr>
                <w:p w14:paraId="03800D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3507" w:type="dxa"/>
                  <w:tcBorders>
                    <w:top w:val="single" w:color="000000" w:sz="4" w:space="0"/>
                    <w:left w:val="single" w:color="000000" w:sz="4" w:space="0"/>
                    <w:bottom w:val="single" w:color="000000" w:sz="4" w:space="0"/>
                    <w:right w:val="single" w:color="000000" w:sz="4" w:space="0"/>
                  </w:tcBorders>
                  <w:noWrap w:val="0"/>
                  <w:vAlign w:val="center"/>
                </w:tcPr>
                <w:p w14:paraId="5E67DE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标识设定费</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2DD2D1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65397.51 </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9984F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0.11</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34CF86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71.94 </w:t>
                  </w:r>
                </w:p>
              </w:tc>
            </w:tr>
            <w:tr w14:paraId="2FA31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14" w:type="dxa"/>
                  <w:tcBorders>
                    <w:top w:val="single" w:color="000000" w:sz="4" w:space="0"/>
                    <w:left w:val="single" w:color="000000" w:sz="4" w:space="0"/>
                    <w:bottom w:val="single" w:color="000000" w:sz="4" w:space="0"/>
                    <w:right w:val="single" w:color="000000" w:sz="4" w:space="0"/>
                  </w:tcBorders>
                  <w:noWrap w:val="0"/>
                  <w:vAlign w:val="center"/>
                </w:tcPr>
                <w:p w14:paraId="24C9A4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四</w:t>
                  </w:r>
                </w:p>
              </w:tc>
              <w:tc>
                <w:tcPr>
                  <w:tcW w:w="3507" w:type="dxa"/>
                  <w:tcBorders>
                    <w:top w:val="single" w:color="000000" w:sz="4" w:space="0"/>
                    <w:left w:val="single" w:color="000000" w:sz="4" w:space="0"/>
                    <w:bottom w:val="single" w:color="000000" w:sz="4" w:space="0"/>
                    <w:right w:val="single" w:color="000000" w:sz="4" w:space="0"/>
                  </w:tcBorders>
                  <w:noWrap w:val="0"/>
                  <w:vAlign w:val="center"/>
                </w:tcPr>
                <w:p w14:paraId="0BBACF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业主管理费</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3500CF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73153.65 </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BD501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2.8</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5CFA0E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2048.30 </w:t>
                  </w:r>
                </w:p>
              </w:tc>
            </w:tr>
            <w:tr w14:paraId="5D28F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21" w:type="dxa"/>
                  <w:gridSpan w:val="2"/>
                  <w:tcBorders>
                    <w:top w:val="single" w:color="000000" w:sz="4" w:space="0"/>
                    <w:left w:val="single" w:color="000000" w:sz="4" w:space="0"/>
                    <w:bottom w:val="single" w:color="000000" w:sz="4" w:space="0"/>
                    <w:right w:val="single" w:color="000000" w:sz="4" w:space="0"/>
                  </w:tcBorders>
                  <w:noWrap w:val="0"/>
                  <w:vAlign w:val="center"/>
                </w:tcPr>
                <w:p w14:paraId="457AE4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合计</w:t>
                  </w: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3ABB7CF4">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000000"/>
                      <w:kern w:val="0"/>
                      <w:sz w:val="21"/>
                      <w:szCs w:val="21"/>
                      <w:highlight w:val="none"/>
                      <w:u w:val="none"/>
                      <w:lang w:val="en-US" w:eastAsia="zh-CN" w:bidi="ar"/>
                    </w:rPr>
                  </w:pP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FB63A06">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000000"/>
                      <w:kern w:val="0"/>
                      <w:sz w:val="21"/>
                      <w:szCs w:val="21"/>
                      <w:highlight w:val="none"/>
                      <w:u w:val="none"/>
                      <w:lang w:val="en-US" w:eastAsia="zh-CN" w:bidi="ar"/>
                    </w:rPr>
                  </w:pPr>
                </w:p>
              </w:tc>
              <w:tc>
                <w:tcPr>
                  <w:tcW w:w="1535" w:type="dxa"/>
                  <w:tcBorders>
                    <w:top w:val="single" w:color="000000" w:sz="4" w:space="0"/>
                    <w:left w:val="single" w:color="000000" w:sz="4" w:space="0"/>
                    <w:bottom w:val="single" w:color="000000" w:sz="4" w:space="0"/>
                    <w:right w:val="single" w:color="000000" w:sz="4" w:space="0"/>
                  </w:tcBorders>
                  <w:noWrap w:val="0"/>
                  <w:vAlign w:val="center"/>
                </w:tcPr>
                <w:p w14:paraId="26DEBF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9804.45 </w:t>
                  </w:r>
                </w:p>
              </w:tc>
            </w:tr>
          </w:tbl>
          <w:p w14:paraId="52658CB8">
            <w:pPr>
              <w:keepNext w:val="0"/>
              <w:keepLines w:val="0"/>
              <w:suppressLineNumbers w:val="0"/>
              <w:bidi w:val="0"/>
              <w:spacing w:before="0" w:beforeAutospacing="0" w:after="0" w:afterAutospacing="0"/>
              <w:ind w:left="0" w:right="0"/>
              <w:rPr>
                <w:rFonts w:hint="eastAsia"/>
              </w:rPr>
            </w:pPr>
          </w:p>
          <w:tbl>
            <w:tblPr>
              <w:tblStyle w:val="19"/>
              <w:tblW w:w="85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85"/>
              <w:gridCol w:w="706"/>
              <w:gridCol w:w="268"/>
              <w:gridCol w:w="425"/>
              <w:gridCol w:w="937"/>
              <w:gridCol w:w="470"/>
              <w:gridCol w:w="462"/>
              <w:gridCol w:w="428"/>
              <w:gridCol w:w="419"/>
              <w:gridCol w:w="941"/>
              <w:gridCol w:w="121"/>
              <w:gridCol w:w="1001"/>
              <w:gridCol w:w="238"/>
              <w:gridCol w:w="4"/>
              <w:gridCol w:w="721"/>
              <w:gridCol w:w="986"/>
              <w:gridCol w:w="8"/>
            </w:tblGrid>
            <w:tr w14:paraId="49B42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jc w:val="center"/>
              </w:trPr>
              <w:tc>
                <w:tcPr>
                  <w:tcW w:w="8520" w:type="dxa"/>
                  <w:gridSpan w:val="17"/>
                  <w:tcBorders>
                    <w:top w:val="nil"/>
                    <w:left w:val="nil"/>
                    <w:bottom w:val="nil"/>
                    <w:right w:val="nil"/>
                  </w:tcBorders>
                  <w:noWrap/>
                  <w:vAlign w:val="center"/>
                </w:tcPr>
                <w:p w14:paraId="49C4DC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附表1-1材料费单价表</w:t>
                  </w:r>
                </w:p>
              </w:tc>
            </w:tr>
            <w:tr w14:paraId="5C9E4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385" w:type="dxa"/>
                  <w:vMerge w:val="restart"/>
                  <w:tcBorders>
                    <w:top w:val="single" w:color="000000" w:sz="4" w:space="0"/>
                    <w:left w:val="single" w:color="000000" w:sz="4" w:space="0"/>
                    <w:bottom w:val="single" w:color="000000" w:sz="4" w:space="0"/>
                    <w:right w:val="single" w:color="000000" w:sz="4" w:space="0"/>
                  </w:tcBorders>
                  <w:noWrap w:val="0"/>
                  <w:vAlign w:val="center"/>
                </w:tcPr>
                <w:p w14:paraId="1025EB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706" w:type="dxa"/>
                  <w:vMerge w:val="restart"/>
                  <w:tcBorders>
                    <w:top w:val="single" w:color="000000" w:sz="4" w:space="0"/>
                    <w:left w:val="single" w:color="000000" w:sz="4" w:space="0"/>
                    <w:bottom w:val="single" w:color="000000" w:sz="4" w:space="0"/>
                    <w:right w:val="single" w:color="000000" w:sz="4" w:space="0"/>
                  </w:tcBorders>
                  <w:noWrap w:val="0"/>
                  <w:vAlign w:val="center"/>
                </w:tcPr>
                <w:p w14:paraId="39F187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名称及规格</w:t>
                  </w:r>
                </w:p>
              </w:tc>
              <w:tc>
                <w:tcPr>
                  <w:tcW w:w="693"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7F1983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单位</w:t>
                  </w:r>
                </w:p>
              </w:tc>
              <w:tc>
                <w:tcPr>
                  <w:tcW w:w="1407"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505D1C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原价依据</w:t>
                  </w:r>
                </w:p>
              </w:tc>
              <w:tc>
                <w:tcPr>
                  <w:tcW w:w="5329" w:type="dxa"/>
                  <w:gridSpan w:val="11"/>
                  <w:tcBorders>
                    <w:top w:val="single" w:color="000000" w:sz="4" w:space="0"/>
                    <w:left w:val="single" w:color="000000" w:sz="4" w:space="0"/>
                    <w:bottom w:val="single" w:color="000000" w:sz="4" w:space="0"/>
                    <w:right w:val="single" w:color="000000" w:sz="4" w:space="0"/>
                  </w:tcBorders>
                  <w:noWrap w:val="0"/>
                  <w:vAlign w:val="center"/>
                </w:tcPr>
                <w:p w14:paraId="5DEB76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价格（元）</w:t>
                  </w:r>
                </w:p>
              </w:tc>
            </w:tr>
            <w:tr w14:paraId="3FA2C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3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3462E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1876E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69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7BD9DD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40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1E58B4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462" w:type="dxa"/>
                  <w:tcBorders>
                    <w:top w:val="single" w:color="000000" w:sz="4" w:space="0"/>
                    <w:left w:val="single" w:color="000000" w:sz="4" w:space="0"/>
                    <w:bottom w:val="single" w:color="000000" w:sz="4" w:space="0"/>
                    <w:right w:val="single" w:color="000000" w:sz="4" w:space="0"/>
                  </w:tcBorders>
                  <w:noWrap w:val="0"/>
                  <w:vAlign w:val="center"/>
                </w:tcPr>
                <w:p w14:paraId="53A002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原价</w:t>
                  </w:r>
                </w:p>
              </w:tc>
              <w:tc>
                <w:tcPr>
                  <w:tcW w:w="847" w:type="dxa"/>
                  <w:gridSpan w:val="2"/>
                  <w:tcBorders>
                    <w:top w:val="single" w:color="000000" w:sz="4" w:space="0"/>
                    <w:left w:val="single" w:color="000000" w:sz="4" w:space="0"/>
                    <w:bottom w:val="single" w:color="000000" w:sz="4" w:space="0"/>
                    <w:right w:val="single" w:color="000000" w:sz="4" w:space="0"/>
                  </w:tcBorders>
                  <w:noWrap w:val="0"/>
                  <w:vAlign w:val="center"/>
                </w:tcPr>
                <w:p w14:paraId="16D701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运杂费（6%）</w:t>
                  </w:r>
                </w:p>
              </w:tc>
              <w:tc>
                <w:tcPr>
                  <w:tcW w:w="1062" w:type="dxa"/>
                  <w:gridSpan w:val="2"/>
                  <w:tcBorders>
                    <w:top w:val="single" w:color="000000" w:sz="4" w:space="0"/>
                    <w:left w:val="single" w:color="000000" w:sz="4" w:space="0"/>
                    <w:bottom w:val="single" w:color="000000" w:sz="4" w:space="0"/>
                    <w:right w:val="single" w:color="000000" w:sz="4" w:space="0"/>
                  </w:tcBorders>
                  <w:noWrap w:val="0"/>
                  <w:vAlign w:val="center"/>
                </w:tcPr>
                <w:p w14:paraId="658AFB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采购及保管费（2.17%）</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14:paraId="3675D3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到工地价格</w:t>
                  </w:r>
                </w:p>
              </w:tc>
              <w:tc>
                <w:tcPr>
                  <w:tcW w:w="963" w:type="dxa"/>
                  <w:gridSpan w:val="3"/>
                  <w:tcBorders>
                    <w:top w:val="single" w:color="000000" w:sz="4" w:space="0"/>
                    <w:left w:val="single" w:color="000000" w:sz="4" w:space="0"/>
                    <w:bottom w:val="single" w:color="000000" w:sz="4" w:space="0"/>
                    <w:right w:val="single" w:color="000000" w:sz="4" w:space="0"/>
                  </w:tcBorders>
                  <w:noWrap w:val="0"/>
                  <w:vAlign w:val="center"/>
                </w:tcPr>
                <w:p w14:paraId="38C735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材料价差</w:t>
                  </w:r>
                </w:p>
              </w:tc>
              <w:tc>
                <w:tcPr>
                  <w:tcW w:w="994" w:type="dxa"/>
                  <w:gridSpan w:val="2"/>
                  <w:tcBorders>
                    <w:top w:val="single" w:color="000000" w:sz="4" w:space="0"/>
                    <w:left w:val="single" w:color="000000" w:sz="4" w:space="0"/>
                    <w:bottom w:val="single" w:color="000000" w:sz="4" w:space="0"/>
                    <w:right w:val="single" w:color="000000" w:sz="4" w:space="0"/>
                  </w:tcBorders>
                  <w:noWrap w:val="0"/>
                  <w:vAlign w:val="center"/>
                </w:tcPr>
                <w:p w14:paraId="4BB04D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预算价格</w:t>
                  </w:r>
                </w:p>
              </w:tc>
            </w:tr>
            <w:tr w14:paraId="5FB54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385" w:type="dxa"/>
                  <w:tcBorders>
                    <w:top w:val="single" w:color="000000" w:sz="4" w:space="0"/>
                    <w:left w:val="single" w:color="000000" w:sz="4" w:space="0"/>
                    <w:bottom w:val="single" w:color="auto" w:sz="4" w:space="0"/>
                    <w:right w:val="single" w:color="000000" w:sz="4" w:space="0"/>
                  </w:tcBorders>
                  <w:noWrap w:val="0"/>
                  <w:vAlign w:val="center"/>
                </w:tcPr>
                <w:p w14:paraId="5D7263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706" w:type="dxa"/>
                  <w:tcBorders>
                    <w:top w:val="single" w:color="000000" w:sz="4" w:space="0"/>
                    <w:left w:val="single" w:color="000000" w:sz="4" w:space="0"/>
                    <w:bottom w:val="single" w:color="auto" w:sz="4" w:space="0"/>
                    <w:right w:val="single" w:color="000000" w:sz="4" w:space="0"/>
                  </w:tcBorders>
                  <w:noWrap w:val="0"/>
                  <w:vAlign w:val="center"/>
                </w:tcPr>
                <w:p w14:paraId="6E7F81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柴油</w:t>
                  </w:r>
                </w:p>
              </w:tc>
              <w:tc>
                <w:tcPr>
                  <w:tcW w:w="693" w:type="dxa"/>
                  <w:gridSpan w:val="2"/>
                  <w:tcBorders>
                    <w:top w:val="single" w:color="000000" w:sz="4" w:space="0"/>
                    <w:left w:val="single" w:color="000000" w:sz="4" w:space="0"/>
                    <w:bottom w:val="single" w:color="auto" w:sz="4" w:space="0"/>
                    <w:right w:val="single" w:color="000000" w:sz="4" w:space="0"/>
                  </w:tcBorders>
                  <w:noWrap w:val="0"/>
                  <w:vAlign w:val="center"/>
                </w:tcPr>
                <w:p w14:paraId="79B0C0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吨</w:t>
                  </w:r>
                </w:p>
              </w:tc>
              <w:tc>
                <w:tcPr>
                  <w:tcW w:w="1407" w:type="dxa"/>
                  <w:gridSpan w:val="2"/>
                  <w:tcBorders>
                    <w:top w:val="single" w:color="000000" w:sz="4" w:space="0"/>
                    <w:left w:val="single" w:color="000000" w:sz="4" w:space="0"/>
                    <w:bottom w:val="single" w:color="auto" w:sz="4" w:space="0"/>
                    <w:right w:val="single" w:color="000000" w:sz="4" w:space="0"/>
                  </w:tcBorders>
                  <w:noWrap w:val="0"/>
                  <w:vAlign w:val="center"/>
                </w:tcPr>
                <w:p w14:paraId="54F3D9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哈密市工程信息（11月）</w:t>
                  </w:r>
                </w:p>
              </w:tc>
              <w:tc>
                <w:tcPr>
                  <w:tcW w:w="462" w:type="dxa"/>
                  <w:tcBorders>
                    <w:top w:val="single" w:color="000000" w:sz="4" w:space="0"/>
                    <w:left w:val="single" w:color="000000" w:sz="4" w:space="0"/>
                    <w:bottom w:val="single" w:color="auto" w:sz="4" w:space="0"/>
                    <w:right w:val="single" w:color="000000" w:sz="4" w:space="0"/>
                  </w:tcBorders>
                  <w:noWrap w:val="0"/>
                  <w:vAlign w:val="center"/>
                </w:tcPr>
                <w:p w14:paraId="6EA3FB8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1"/>
                      <w:szCs w:val="21"/>
                      <w:highlight w:val="none"/>
                      <w:u w:val="none"/>
                      <w:lang w:val="en-US" w:eastAsia="zh-CN" w:bidi="ar"/>
                    </w:rPr>
                  </w:pPr>
                </w:p>
              </w:tc>
              <w:tc>
                <w:tcPr>
                  <w:tcW w:w="847" w:type="dxa"/>
                  <w:gridSpan w:val="2"/>
                  <w:tcBorders>
                    <w:top w:val="single" w:color="000000" w:sz="4" w:space="0"/>
                    <w:left w:val="single" w:color="000000" w:sz="4" w:space="0"/>
                    <w:bottom w:val="single" w:color="auto" w:sz="4" w:space="0"/>
                    <w:right w:val="single" w:color="000000" w:sz="4" w:space="0"/>
                  </w:tcBorders>
                  <w:noWrap w:val="0"/>
                  <w:vAlign w:val="center"/>
                </w:tcPr>
                <w:p w14:paraId="47657C5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1"/>
                      <w:szCs w:val="21"/>
                      <w:highlight w:val="none"/>
                      <w:u w:val="none"/>
                      <w:lang w:val="en-US" w:eastAsia="zh-CN" w:bidi="ar"/>
                    </w:rPr>
                  </w:pPr>
                </w:p>
              </w:tc>
              <w:tc>
                <w:tcPr>
                  <w:tcW w:w="1062" w:type="dxa"/>
                  <w:gridSpan w:val="2"/>
                  <w:tcBorders>
                    <w:top w:val="single" w:color="000000" w:sz="4" w:space="0"/>
                    <w:left w:val="single" w:color="000000" w:sz="4" w:space="0"/>
                    <w:bottom w:val="single" w:color="auto" w:sz="4" w:space="0"/>
                    <w:right w:val="single" w:color="000000" w:sz="4" w:space="0"/>
                  </w:tcBorders>
                  <w:noWrap w:val="0"/>
                  <w:vAlign w:val="center"/>
                </w:tcPr>
                <w:p w14:paraId="55FF46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001" w:type="dxa"/>
                  <w:tcBorders>
                    <w:top w:val="single" w:color="000000" w:sz="4" w:space="0"/>
                    <w:left w:val="single" w:color="000000" w:sz="4" w:space="0"/>
                    <w:bottom w:val="single" w:color="auto" w:sz="4" w:space="0"/>
                    <w:right w:val="single" w:color="000000" w:sz="4" w:space="0"/>
                  </w:tcBorders>
                  <w:noWrap w:val="0"/>
                  <w:vAlign w:val="center"/>
                </w:tcPr>
                <w:p w14:paraId="56C730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8133.00</w:t>
                  </w:r>
                </w:p>
              </w:tc>
              <w:tc>
                <w:tcPr>
                  <w:tcW w:w="963" w:type="dxa"/>
                  <w:gridSpan w:val="3"/>
                  <w:tcBorders>
                    <w:top w:val="single" w:color="000000" w:sz="4" w:space="0"/>
                    <w:left w:val="single" w:color="000000" w:sz="4" w:space="0"/>
                    <w:bottom w:val="single" w:color="auto" w:sz="4" w:space="0"/>
                    <w:right w:val="single" w:color="000000" w:sz="4" w:space="0"/>
                  </w:tcBorders>
                  <w:noWrap w:val="0"/>
                  <w:vAlign w:val="center"/>
                </w:tcPr>
                <w:p w14:paraId="76DA43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3633.00</w:t>
                  </w:r>
                </w:p>
              </w:tc>
              <w:tc>
                <w:tcPr>
                  <w:tcW w:w="994" w:type="dxa"/>
                  <w:gridSpan w:val="2"/>
                  <w:tcBorders>
                    <w:top w:val="single" w:color="000000" w:sz="4" w:space="0"/>
                    <w:left w:val="single" w:color="000000" w:sz="4" w:space="0"/>
                    <w:bottom w:val="single" w:color="auto" w:sz="4" w:space="0"/>
                    <w:right w:val="single" w:color="000000" w:sz="4" w:space="0"/>
                  </w:tcBorders>
                  <w:noWrap w:val="0"/>
                  <w:vAlign w:val="center"/>
                </w:tcPr>
                <w:p w14:paraId="2C2708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4500.00</w:t>
                  </w:r>
                </w:p>
              </w:tc>
            </w:tr>
            <w:tr w14:paraId="41C03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jc w:val="center"/>
              </w:trPr>
              <w:tc>
                <w:tcPr>
                  <w:tcW w:w="8520" w:type="dxa"/>
                  <w:gridSpan w:val="17"/>
                  <w:tcBorders>
                    <w:top w:val="single" w:color="auto" w:sz="4" w:space="0"/>
                    <w:left w:val="nil"/>
                    <w:bottom w:val="nil"/>
                    <w:right w:val="nil"/>
                  </w:tcBorders>
                  <w:noWrap/>
                  <w:vAlign w:val="center"/>
                </w:tcPr>
                <w:p w14:paraId="769361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p>
                <w:p w14:paraId="72975B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附表1-2机械定额单价表</w:t>
                  </w:r>
                </w:p>
              </w:tc>
            </w:tr>
            <w:tr w14:paraId="48C87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327" w:hRule="atLeast"/>
                <w:jc w:val="center"/>
              </w:trPr>
              <w:tc>
                <w:tcPr>
                  <w:tcW w:w="2721" w:type="dxa"/>
                  <w:gridSpan w:val="5"/>
                  <w:tcBorders>
                    <w:top w:val="single" w:color="000000" w:sz="4" w:space="0"/>
                    <w:left w:val="single" w:color="000000" w:sz="4" w:space="0"/>
                    <w:bottom w:val="single" w:color="000000" w:sz="4" w:space="0"/>
                    <w:right w:val="single" w:color="000000" w:sz="4" w:space="0"/>
                  </w:tcBorders>
                  <w:noWrap w:val="0"/>
                  <w:vAlign w:val="top"/>
                </w:tcPr>
                <w:p w14:paraId="09192164">
                  <w:pPr>
                    <w:keepNext w:val="0"/>
                    <w:keepLines w:val="0"/>
                    <w:widowControl/>
                    <w:suppressLineNumbers w:val="0"/>
                    <w:spacing w:before="0" w:beforeAutospacing="0" w:after="0" w:afterAutospacing="0"/>
                    <w:ind w:left="0" w:right="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定额编号：1004</w:t>
                  </w:r>
                </w:p>
              </w:tc>
              <w:tc>
                <w:tcPr>
                  <w:tcW w:w="4084" w:type="dxa"/>
                  <w:gridSpan w:val="9"/>
                  <w:tcBorders>
                    <w:top w:val="single" w:color="000000" w:sz="4" w:space="0"/>
                    <w:left w:val="single" w:color="000000" w:sz="4" w:space="0"/>
                    <w:bottom w:val="single" w:color="000000" w:sz="4" w:space="0"/>
                    <w:right w:val="single" w:color="000000" w:sz="4" w:space="0"/>
                  </w:tcBorders>
                  <w:noWrap w:val="0"/>
                  <w:vAlign w:val="top"/>
                </w:tcPr>
                <w:p w14:paraId="514DAAC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(挖掘机油动1m³）</w:t>
                  </w:r>
                </w:p>
              </w:tc>
              <w:tc>
                <w:tcPr>
                  <w:tcW w:w="1707" w:type="dxa"/>
                  <w:gridSpan w:val="2"/>
                  <w:tcBorders>
                    <w:top w:val="single" w:color="000000" w:sz="4" w:space="0"/>
                    <w:left w:val="single" w:color="000000" w:sz="4" w:space="0"/>
                    <w:bottom w:val="single" w:color="000000" w:sz="4" w:space="0"/>
                    <w:right w:val="single" w:color="000000" w:sz="4" w:space="0"/>
                  </w:tcBorders>
                  <w:noWrap w:val="0"/>
                  <w:vAlign w:val="top"/>
                </w:tcPr>
                <w:p w14:paraId="7146EAF7">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金额单位:元</w:t>
                  </w:r>
                </w:p>
              </w:tc>
            </w:tr>
            <w:tr w14:paraId="3E44B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327" w:hRule="atLeast"/>
                <w:jc w:val="center"/>
              </w:trPr>
              <w:tc>
                <w:tcPr>
                  <w:tcW w:w="1359" w:type="dxa"/>
                  <w:gridSpan w:val="3"/>
                  <w:tcBorders>
                    <w:top w:val="single" w:color="000000" w:sz="4" w:space="0"/>
                    <w:left w:val="single" w:color="000000" w:sz="4" w:space="0"/>
                    <w:bottom w:val="single" w:color="000000" w:sz="4" w:space="0"/>
                    <w:right w:val="single" w:color="000000" w:sz="4" w:space="0"/>
                  </w:tcBorders>
                  <w:noWrap w:val="0"/>
                  <w:vAlign w:val="top"/>
                </w:tcPr>
                <w:p w14:paraId="621317B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1362" w:type="dxa"/>
                  <w:gridSpan w:val="2"/>
                  <w:tcBorders>
                    <w:top w:val="single" w:color="000000" w:sz="4" w:space="0"/>
                    <w:left w:val="single" w:color="000000" w:sz="4" w:space="0"/>
                    <w:bottom w:val="single" w:color="000000" w:sz="4" w:space="0"/>
                    <w:right w:val="single" w:color="000000" w:sz="4" w:space="0"/>
                  </w:tcBorders>
                  <w:noWrap w:val="0"/>
                  <w:vAlign w:val="top"/>
                </w:tcPr>
                <w:p w14:paraId="1F256132">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费用名称</w:t>
                  </w:r>
                </w:p>
              </w:tc>
              <w:tc>
                <w:tcPr>
                  <w:tcW w:w="1360" w:type="dxa"/>
                  <w:gridSpan w:val="3"/>
                  <w:tcBorders>
                    <w:top w:val="single" w:color="000000" w:sz="4" w:space="0"/>
                    <w:left w:val="single" w:color="000000" w:sz="4" w:space="0"/>
                    <w:bottom w:val="single" w:color="000000" w:sz="4" w:space="0"/>
                    <w:right w:val="single" w:color="000000" w:sz="4" w:space="0"/>
                  </w:tcBorders>
                  <w:noWrap w:val="0"/>
                  <w:vAlign w:val="top"/>
                </w:tcPr>
                <w:p w14:paraId="5D302DD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单位</w:t>
                  </w:r>
                </w:p>
              </w:tc>
              <w:tc>
                <w:tcPr>
                  <w:tcW w:w="1360" w:type="dxa"/>
                  <w:gridSpan w:val="2"/>
                  <w:tcBorders>
                    <w:top w:val="single" w:color="000000" w:sz="4" w:space="0"/>
                    <w:left w:val="single" w:color="000000" w:sz="4" w:space="0"/>
                    <w:bottom w:val="single" w:color="000000" w:sz="4" w:space="0"/>
                    <w:right w:val="single" w:color="000000" w:sz="4" w:space="0"/>
                  </w:tcBorders>
                  <w:noWrap w:val="0"/>
                  <w:vAlign w:val="top"/>
                </w:tcPr>
                <w:p w14:paraId="60A20FAC">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数量</w:t>
                  </w:r>
                </w:p>
              </w:tc>
              <w:tc>
                <w:tcPr>
                  <w:tcW w:w="1364" w:type="dxa"/>
                  <w:gridSpan w:val="4"/>
                  <w:tcBorders>
                    <w:top w:val="single" w:color="000000" w:sz="4" w:space="0"/>
                    <w:left w:val="single" w:color="000000" w:sz="4" w:space="0"/>
                    <w:bottom w:val="single" w:color="000000" w:sz="4" w:space="0"/>
                    <w:right w:val="single" w:color="000000" w:sz="4" w:space="0"/>
                  </w:tcBorders>
                  <w:noWrap w:val="0"/>
                  <w:vAlign w:val="top"/>
                </w:tcPr>
                <w:p w14:paraId="62B0112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单价</w:t>
                  </w:r>
                </w:p>
              </w:tc>
              <w:tc>
                <w:tcPr>
                  <w:tcW w:w="1707" w:type="dxa"/>
                  <w:gridSpan w:val="2"/>
                  <w:tcBorders>
                    <w:top w:val="single" w:color="000000" w:sz="4" w:space="0"/>
                    <w:left w:val="single" w:color="000000" w:sz="4" w:space="0"/>
                    <w:bottom w:val="single" w:color="000000" w:sz="4" w:space="0"/>
                    <w:right w:val="single" w:color="000000" w:sz="4" w:space="0"/>
                  </w:tcBorders>
                  <w:noWrap w:val="0"/>
                  <w:vAlign w:val="top"/>
                </w:tcPr>
                <w:p w14:paraId="096A1FC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小计</w:t>
                  </w:r>
                </w:p>
              </w:tc>
            </w:tr>
            <w:tr w14:paraId="2358B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327" w:hRule="atLeast"/>
                <w:jc w:val="center"/>
              </w:trPr>
              <w:tc>
                <w:tcPr>
                  <w:tcW w:w="1359" w:type="dxa"/>
                  <w:gridSpan w:val="3"/>
                  <w:tcBorders>
                    <w:top w:val="single" w:color="000000" w:sz="4" w:space="0"/>
                    <w:left w:val="single" w:color="000000" w:sz="4" w:space="0"/>
                    <w:bottom w:val="single" w:color="000000" w:sz="4" w:space="0"/>
                    <w:right w:val="single" w:color="000000" w:sz="4" w:space="0"/>
                  </w:tcBorders>
                  <w:noWrap w:val="0"/>
                  <w:vAlign w:val="top"/>
                </w:tcPr>
                <w:p w14:paraId="7E9B09C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62" w:type="dxa"/>
                  <w:gridSpan w:val="2"/>
                  <w:tcBorders>
                    <w:top w:val="single" w:color="000000" w:sz="4" w:space="0"/>
                    <w:left w:val="single" w:color="000000" w:sz="4" w:space="0"/>
                    <w:bottom w:val="single" w:color="000000" w:sz="4" w:space="0"/>
                    <w:right w:val="single" w:color="000000" w:sz="4" w:space="0"/>
                  </w:tcBorders>
                  <w:noWrap w:val="0"/>
                  <w:vAlign w:val="top"/>
                </w:tcPr>
                <w:p w14:paraId="74CE7201">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一类费用</w:t>
                  </w:r>
                </w:p>
              </w:tc>
              <w:tc>
                <w:tcPr>
                  <w:tcW w:w="1360" w:type="dxa"/>
                  <w:gridSpan w:val="3"/>
                  <w:tcBorders>
                    <w:top w:val="single" w:color="000000" w:sz="4" w:space="0"/>
                    <w:left w:val="single" w:color="000000" w:sz="4" w:space="0"/>
                    <w:bottom w:val="single" w:color="000000" w:sz="4" w:space="0"/>
                    <w:right w:val="single" w:color="000000" w:sz="4" w:space="0"/>
                  </w:tcBorders>
                  <w:noWrap w:val="0"/>
                  <w:vAlign w:val="top"/>
                </w:tcPr>
                <w:p w14:paraId="0357BE2A">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元</w:t>
                  </w:r>
                </w:p>
              </w:tc>
              <w:tc>
                <w:tcPr>
                  <w:tcW w:w="1360" w:type="dxa"/>
                  <w:gridSpan w:val="2"/>
                  <w:tcBorders>
                    <w:top w:val="single" w:color="000000" w:sz="4" w:space="0"/>
                    <w:left w:val="single" w:color="000000" w:sz="4" w:space="0"/>
                    <w:bottom w:val="single" w:color="000000" w:sz="4" w:space="0"/>
                    <w:right w:val="single" w:color="000000" w:sz="4" w:space="0"/>
                  </w:tcBorders>
                  <w:noWrap w:val="0"/>
                  <w:vAlign w:val="top"/>
                </w:tcPr>
                <w:p w14:paraId="5730451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364" w:type="dxa"/>
                  <w:gridSpan w:val="4"/>
                  <w:tcBorders>
                    <w:top w:val="single" w:color="000000" w:sz="4" w:space="0"/>
                    <w:left w:val="single" w:color="000000" w:sz="4" w:space="0"/>
                    <w:bottom w:val="single" w:color="000000" w:sz="4" w:space="0"/>
                    <w:right w:val="single" w:color="000000" w:sz="4" w:space="0"/>
                  </w:tcBorders>
                  <w:noWrap w:val="0"/>
                  <w:vAlign w:val="top"/>
                </w:tcPr>
                <w:p w14:paraId="394D293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707" w:type="dxa"/>
                  <w:gridSpan w:val="2"/>
                  <w:tcBorders>
                    <w:top w:val="single" w:color="000000" w:sz="4" w:space="0"/>
                    <w:left w:val="single" w:color="000000" w:sz="4" w:space="0"/>
                    <w:bottom w:val="single" w:color="000000" w:sz="4" w:space="0"/>
                    <w:right w:val="single" w:color="000000" w:sz="4" w:space="0"/>
                  </w:tcBorders>
                  <w:noWrap w:val="0"/>
                  <w:vAlign w:val="top"/>
                </w:tcPr>
                <w:p w14:paraId="2C6414D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336.41</w:t>
                  </w:r>
                </w:p>
              </w:tc>
            </w:tr>
            <w:tr w14:paraId="0A9DD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327" w:hRule="atLeast"/>
                <w:jc w:val="center"/>
              </w:trPr>
              <w:tc>
                <w:tcPr>
                  <w:tcW w:w="1359" w:type="dxa"/>
                  <w:gridSpan w:val="3"/>
                  <w:tcBorders>
                    <w:top w:val="single" w:color="000000" w:sz="4" w:space="0"/>
                    <w:left w:val="single" w:color="000000" w:sz="4" w:space="0"/>
                    <w:bottom w:val="single" w:color="000000" w:sz="4" w:space="0"/>
                    <w:right w:val="single" w:color="000000" w:sz="4" w:space="0"/>
                  </w:tcBorders>
                  <w:noWrap w:val="0"/>
                  <w:vAlign w:val="top"/>
                </w:tcPr>
                <w:p w14:paraId="642E6DBB">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362" w:type="dxa"/>
                  <w:gridSpan w:val="2"/>
                  <w:tcBorders>
                    <w:top w:val="single" w:color="000000" w:sz="4" w:space="0"/>
                    <w:left w:val="single" w:color="000000" w:sz="4" w:space="0"/>
                    <w:bottom w:val="single" w:color="000000" w:sz="4" w:space="0"/>
                    <w:right w:val="single" w:color="000000" w:sz="4" w:space="0"/>
                  </w:tcBorders>
                  <w:noWrap w:val="0"/>
                  <w:vAlign w:val="top"/>
                </w:tcPr>
                <w:p w14:paraId="3B9C2E6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二类费用</w:t>
                  </w:r>
                </w:p>
              </w:tc>
              <w:tc>
                <w:tcPr>
                  <w:tcW w:w="1360" w:type="dxa"/>
                  <w:gridSpan w:val="3"/>
                  <w:tcBorders>
                    <w:top w:val="single" w:color="000000" w:sz="4" w:space="0"/>
                    <w:left w:val="single" w:color="000000" w:sz="4" w:space="0"/>
                    <w:bottom w:val="single" w:color="000000" w:sz="4" w:space="0"/>
                    <w:right w:val="single" w:color="000000" w:sz="4" w:space="0"/>
                  </w:tcBorders>
                  <w:noWrap w:val="0"/>
                  <w:vAlign w:val="top"/>
                </w:tcPr>
                <w:p w14:paraId="49CF991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360" w:type="dxa"/>
                  <w:gridSpan w:val="2"/>
                  <w:tcBorders>
                    <w:top w:val="single" w:color="000000" w:sz="4" w:space="0"/>
                    <w:left w:val="single" w:color="000000" w:sz="4" w:space="0"/>
                    <w:bottom w:val="single" w:color="000000" w:sz="4" w:space="0"/>
                    <w:right w:val="single" w:color="000000" w:sz="4" w:space="0"/>
                  </w:tcBorders>
                  <w:noWrap w:val="0"/>
                  <w:vAlign w:val="top"/>
                </w:tcPr>
                <w:p w14:paraId="30326E6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364" w:type="dxa"/>
                  <w:gridSpan w:val="4"/>
                  <w:tcBorders>
                    <w:top w:val="single" w:color="000000" w:sz="4" w:space="0"/>
                    <w:left w:val="single" w:color="000000" w:sz="4" w:space="0"/>
                    <w:bottom w:val="single" w:color="000000" w:sz="4" w:space="0"/>
                    <w:right w:val="single" w:color="000000" w:sz="4" w:space="0"/>
                  </w:tcBorders>
                  <w:noWrap w:val="0"/>
                  <w:vAlign w:val="top"/>
                </w:tcPr>
                <w:p w14:paraId="1058ED5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707" w:type="dxa"/>
                  <w:gridSpan w:val="2"/>
                  <w:tcBorders>
                    <w:top w:val="single" w:color="000000" w:sz="4" w:space="0"/>
                    <w:left w:val="single" w:color="000000" w:sz="4" w:space="0"/>
                    <w:bottom w:val="single" w:color="000000" w:sz="4" w:space="0"/>
                    <w:right w:val="single" w:color="000000" w:sz="4" w:space="0"/>
                  </w:tcBorders>
                  <w:noWrap w:val="0"/>
                  <w:vAlign w:val="top"/>
                </w:tcPr>
                <w:p w14:paraId="40D4B617">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605.74</w:t>
                  </w:r>
                </w:p>
              </w:tc>
            </w:tr>
            <w:tr w14:paraId="3229F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327" w:hRule="atLeast"/>
                <w:jc w:val="center"/>
              </w:trPr>
              <w:tc>
                <w:tcPr>
                  <w:tcW w:w="1359" w:type="dxa"/>
                  <w:gridSpan w:val="3"/>
                  <w:tcBorders>
                    <w:top w:val="single" w:color="000000" w:sz="4" w:space="0"/>
                    <w:left w:val="single" w:color="000000" w:sz="4" w:space="0"/>
                    <w:bottom w:val="single" w:color="000000" w:sz="4" w:space="0"/>
                    <w:right w:val="single" w:color="000000" w:sz="4" w:space="0"/>
                  </w:tcBorders>
                  <w:noWrap w:val="0"/>
                  <w:vAlign w:val="top"/>
                </w:tcPr>
                <w:p w14:paraId="265A4ED5">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62" w:type="dxa"/>
                  <w:gridSpan w:val="2"/>
                  <w:tcBorders>
                    <w:top w:val="single" w:color="000000" w:sz="4" w:space="0"/>
                    <w:left w:val="single" w:color="000000" w:sz="4" w:space="0"/>
                    <w:bottom w:val="single" w:color="000000" w:sz="4" w:space="0"/>
                    <w:right w:val="single" w:color="000000" w:sz="4" w:space="0"/>
                  </w:tcBorders>
                  <w:noWrap w:val="0"/>
                  <w:vAlign w:val="top"/>
                </w:tcPr>
                <w:p w14:paraId="1C25457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人工</w:t>
                  </w:r>
                </w:p>
              </w:tc>
              <w:tc>
                <w:tcPr>
                  <w:tcW w:w="1360" w:type="dxa"/>
                  <w:gridSpan w:val="3"/>
                  <w:tcBorders>
                    <w:top w:val="single" w:color="000000" w:sz="4" w:space="0"/>
                    <w:left w:val="single" w:color="000000" w:sz="4" w:space="0"/>
                    <w:bottom w:val="single" w:color="000000" w:sz="4" w:space="0"/>
                    <w:right w:val="single" w:color="000000" w:sz="4" w:space="0"/>
                  </w:tcBorders>
                  <w:noWrap w:val="0"/>
                  <w:vAlign w:val="top"/>
                </w:tcPr>
                <w:p w14:paraId="09C776AC">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工日</w:t>
                  </w:r>
                </w:p>
              </w:tc>
              <w:tc>
                <w:tcPr>
                  <w:tcW w:w="1360" w:type="dxa"/>
                  <w:gridSpan w:val="2"/>
                  <w:tcBorders>
                    <w:top w:val="single" w:color="000000" w:sz="4" w:space="0"/>
                    <w:left w:val="single" w:color="000000" w:sz="4" w:space="0"/>
                    <w:bottom w:val="single" w:color="000000" w:sz="4" w:space="0"/>
                    <w:right w:val="single" w:color="000000" w:sz="4" w:space="0"/>
                  </w:tcBorders>
                  <w:noWrap w:val="0"/>
                  <w:vAlign w:val="top"/>
                </w:tcPr>
                <w:p w14:paraId="76EE8950">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2</w:t>
                  </w:r>
                </w:p>
              </w:tc>
              <w:tc>
                <w:tcPr>
                  <w:tcW w:w="1364" w:type="dxa"/>
                  <w:gridSpan w:val="4"/>
                  <w:tcBorders>
                    <w:top w:val="single" w:color="000000" w:sz="4" w:space="0"/>
                    <w:left w:val="single" w:color="000000" w:sz="4" w:space="0"/>
                    <w:bottom w:val="single" w:color="000000" w:sz="4" w:space="0"/>
                    <w:right w:val="single" w:color="000000" w:sz="4" w:space="0"/>
                  </w:tcBorders>
                  <w:noWrap w:val="0"/>
                  <w:vAlign w:val="top"/>
                </w:tcPr>
                <w:p w14:paraId="6C129F37">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140.87</w:t>
                  </w:r>
                </w:p>
              </w:tc>
              <w:tc>
                <w:tcPr>
                  <w:tcW w:w="1707" w:type="dxa"/>
                  <w:gridSpan w:val="2"/>
                  <w:tcBorders>
                    <w:top w:val="single" w:color="000000" w:sz="4" w:space="0"/>
                    <w:left w:val="single" w:color="000000" w:sz="4" w:space="0"/>
                    <w:bottom w:val="single" w:color="000000" w:sz="4" w:space="0"/>
                    <w:right w:val="single" w:color="000000" w:sz="4" w:space="0"/>
                  </w:tcBorders>
                  <w:noWrap w:val="0"/>
                  <w:vAlign w:val="top"/>
                </w:tcPr>
                <w:p w14:paraId="236E5B34">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281.74</w:t>
                  </w:r>
                </w:p>
              </w:tc>
            </w:tr>
            <w:tr w14:paraId="7614D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357" w:hRule="atLeast"/>
                <w:jc w:val="center"/>
              </w:trPr>
              <w:tc>
                <w:tcPr>
                  <w:tcW w:w="1359" w:type="dxa"/>
                  <w:gridSpan w:val="3"/>
                  <w:tcBorders>
                    <w:top w:val="single" w:color="000000" w:sz="4" w:space="0"/>
                    <w:left w:val="single" w:color="000000" w:sz="4" w:space="0"/>
                    <w:bottom w:val="single" w:color="000000" w:sz="4" w:space="0"/>
                    <w:right w:val="single" w:color="000000" w:sz="4" w:space="0"/>
                  </w:tcBorders>
                  <w:noWrap w:val="0"/>
                  <w:vAlign w:val="top"/>
                </w:tcPr>
                <w:p w14:paraId="3B50B94B">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362" w:type="dxa"/>
                  <w:gridSpan w:val="2"/>
                  <w:tcBorders>
                    <w:top w:val="single" w:color="000000" w:sz="4" w:space="0"/>
                    <w:left w:val="single" w:color="000000" w:sz="4" w:space="0"/>
                    <w:bottom w:val="single" w:color="000000" w:sz="4" w:space="0"/>
                    <w:right w:val="single" w:color="000000" w:sz="4" w:space="0"/>
                  </w:tcBorders>
                  <w:noWrap w:val="0"/>
                  <w:vAlign w:val="top"/>
                </w:tcPr>
                <w:p w14:paraId="5B4C97B4">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柴油</w:t>
                  </w:r>
                </w:p>
              </w:tc>
              <w:tc>
                <w:tcPr>
                  <w:tcW w:w="1360" w:type="dxa"/>
                  <w:gridSpan w:val="3"/>
                  <w:tcBorders>
                    <w:top w:val="single" w:color="000000" w:sz="4" w:space="0"/>
                    <w:left w:val="single" w:color="000000" w:sz="4" w:space="0"/>
                    <w:bottom w:val="single" w:color="000000" w:sz="4" w:space="0"/>
                    <w:right w:val="single" w:color="000000" w:sz="4" w:space="0"/>
                  </w:tcBorders>
                  <w:noWrap w:val="0"/>
                  <w:vAlign w:val="top"/>
                </w:tcPr>
                <w:p w14:paraId="2D111D6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Kg</w:t>
                  </w:r>
                </w:p>
              </w:tc>
              <w:tc>
                <w:tcPr>
                  <w:tcW w:w="1360" w:type="dxa"/>
                  <w:gridSpan w:val="2"/>
                  <w:tcBorders>
                    <w:top w:val="single" w:color="000000" w:sz="4" w:space="0"/>
                    <w:left w:val="single" w:color="000000" w:sz="4" w:space="0"/>
                    <w:bottom w:val="single" w:color="000000" w:sz="4" w:space="0"/>
                    <w:right w:val="single" w:color="000000" w:sz="4" w:space="0"/>
                  </w:tcBorders>
                  <w:noWrap w:val="0"/>
                  <w:vAlign w:val="top"/>
                </w:tcPr>
                <w:p w14:paraId="1D8D91A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72</w:t>
                  </w:r>
                </w:p>
              </w:tc>
              <w:tc>
                <w:tcPr>
                  <w:tcW w:w="1364" w:type="dxa"/>
                  <w:gridSpan w:val="4"/>
                  <w:tcBorders>
                    <w:top w:val="single" w:color="000000" w:sz="4" w:space="0"/>
                    <w:left w:val="single" w:color="000000" w:sz="4" w:space="0"/>
                    <w:bottom w:val="single" w:color="000000" w:sz="4" w:space="0"/>
                    <w:right w:val="single" w:color="000000" w:sz="4" w:space="0"/>
                  </w:tcBorders>
                  <w:noWrap w:val="0"/>
                  <w:vAlign w:val="top"/>
                </w:tcPr>
                <w:p w14:paraId="41F641D7">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4.5</w:t>
                  </w:r>
                </w:p>
              </w:tc>
              <w:tc>
                <w:tcPr>
                  <w:tcW w:w="1707" w:type="dxa"/>
                  <w:gridSpan w:val="2"/>
                  <w:tcBorders>
                    <w:top w:val="single" w:color="000000" w:sz="4" w:space="0"/>
                    <w:left w:val="single" w:color="000000" w:sz="4" w:space="0"/>
                    <w:bottom w:val="single" w:color="000000" w:sz="4" w:space="0"/>
                    <w:right w:val="single" w:color="000000" w:sz="4" w:space="0"/>
                  </w:tcBorders>
                  <w:noWrap w:val="0"/>
                  <w:vAlign w:val="top"/>
                </w:tcPr>
                <w:p w14:paraId="532D0AA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324</w:t>
                  </w:r>
                </w:p>
              </w:tc>
            </w:tr>
            <w:tr w14:paraId="3B2B7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327" w:hRule="atLeast"/>
                <w:jc w:val="center"/>
              </w:trPr>
              <w:tc>
                <w:tcPr>
                  <w:tcW w:w="2721" w:type="dxa"/>
                  <w:gridSpan w:val="5"/>
                  <w:tcBorders>
                    <w:top w:val="single" w:color="000000" w:sz="4" w:space="0"/>
                    <w:left w:val="single" w:color="000000" w:sz="4" w:space="0"/>
                    <w:bottom w:val="single" w:color="000000" w:sz="4" w:space="0"/>
                    <w:right w:val="single" w:color="000000" w:sz="4" w:space="0"/>
                  </w:tcBorders>
                  <w:noWrap w:val="0"/>
                  <w:vAlign w:val="top"/>
                </w:tcPr>
                <w:p w14:paraId="7574733C">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合计</w:t>
                  </w:r>
                </w:p>
              </w:tc>
              <w:tc>
                <w:tcPr>
                  <w:tcW w:w="1360" w:type="dxa"/>
                  <w:gridSpan w:val="3"/>
                  <w:tcBorders>
                    <w:top w:val="single" w:color="000000" w:sz="4" w:space="0"/>
                    <w:left w:val="single" w:color="000000" w:sz="4" w:space="0"/>
                    <w:bottom w:val="single" w:color="000000" w:sz="4" w:space="0"/>
                    <w:right w:val="single" w:color="000000" w:sz="4" w:space="0"/>
                  </w:tcBorders>
                  <w:noWrap w:val="0"/>
                  <w:vAlign w:val="top"/>
                </w:tcPr>
                <w:p w14:paraId="008FE98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360" w:type="dxa"/>
                  <w:gridSpan w:val="2"/>
                  <w:tcBorders>
                    <w:top w:val="single" w:color="000000" w:sz="4" w:space="0"/>
                    <w:left w:val="single" w:color="000000" w:sz="4" w:space="0"/>
                    <w:bottom w:val="single" w:color="000000" w:sz="4" w:space="0"/>
                    <w:right w:val="single" w:color="000000" w:sz="4" w:space="0"/>
                  </w:tcBorders>
                  <w:noWrap w:val="0"/>
                  <w:vAlign w:val="top"/>
                </w:tcPr>
                <w:p w14:paraId="392AE7D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364" w:type="dxa"/>
                  <w:gridSpan w:val="4"/>
                  <w:tcBorders>
                    <w:top w:val="single" w:color="000000" w:sz="4" w:space="0"/>
                    <w:left w:val="single" w:color="000000" w:sz="4" w:space="0"/>
                    <w:bottom w:val="single" w:color="000000" w:sz="4" w:space="0"/>
                    <w:right w:val="single" w:color="000000" w:sz="4" w:space="0"/>
                  </w:tcBorders>
                  <w:noWrap w:val="0"/>
                  <w:vAlign w:val="top"/>
                </w:tcPr>
                <w:p w14:paraId="1F162F3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707" w:type="dxa"/>
                  <w:gridSpan w:val="2"/>
                  <w:tcBorders>
                    <w:top w:val="single" w:color="000000" w:sz="4" w:space="0"/>
                    <w:left w:val="single" w:color="000000" w:sz="4" w:space="0"/>
                    <w:bottom w:val="single" w:color="000000" w:sz="4" w:space="0"/>
                    <w:right w:val="single" w:color="000000" w:sz="4" w:space="0"/>
                  </w:tcBorders>
                  <w:noWrap w:val="0"/>
                  <w:vAlign w:val="top"/>
                </w:tcPr>
                <w:p w14:paraId="5BF042EA">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b/>
                      <w:bCs/>
                      <w:i w:val="0"/>
                      <w:color w:val="000000"/>
                      <w:kern w:val="0"/>
                      <w:sz w:val="21"/>
                      <w:szCs w:val="21"/>
                      <w:u w:val="none"/>
                      <w:lang w:val="en-US" w:eastAsia="zh-CN" w:bidi="ar"/>
                    </w:rPr>
                    <w:t>942.15</w:t>
                  </w:r>
                </w:p>
              </w:tc>
            </w:tr>
            <w:tr w14:paraId="7D5CB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1359" w:type="dxa"/>
                  <w:gridSpan w:val="3"/>
                  <w:tcBorders>
                    <w:top w:val="nil"/>
                    <w:left w:val="nil"/>
                    <w:bottom w:val="nil"/>
                    <w:right w:val="nil"/>
                  </w:tcBorders>
                  <w:noWrap w:val="0"/>
                  <w:vAlign w:val="top"/>
                </w:tcPr>
                <w:p w14:paraId="4D14726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362" w:type="dxa"/>
                  <w:gridSpan w:val="2"/>
                  <w:tcBorders>
                    <w:top w:val="nil"/>
                    <w:left w:val="nil"/>
                    <w:bottom w:val="nil"/>
                    <w:right w:val="nil"/>
                  </w:tcBorders>
                  <w:noWrap w:val="0"/>
                  <w:vAlign w:val="top"/>
                </w:tcPr>
                <w:p w14:paraId="4C41BD4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360" w:type="dxa"/>
                  <w:gridSpan w:val="3"/>
                  <w:tcBorders>
                    <w:top w:val="nil"/>
                    <w:left w:val="nil"/>
                    <w:bottom w:val="nil"/>
                    <w:right w:val="nil"/>
                  </w:tcBorders>
                  <w:noWrap w:val="0"/>
                  <w:vAlign w:val="top"/>
                </w:tcPr>
                <w:p w14:paraId="19C7E80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360" w:type="dxa"/>
                  <w:gridSpan w:val="2"/>
                  <w:tcBorders>
                    <w:top w:val="nil"/>
                    <w:left w:val="nil"/>
                    <w:bottom w:val="nil"/>
                    <w:right w:val="nil"/>
                  </w:tcBorders>
                  <w:noWrap w:val="0"/>
                  <w:vAlign w:val="top"/>
                </w:tcPr>
                <w:p w14:paraId="1920A74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360" w:type="dxa"/>
                  <w:gridSpan w:val="3"/>
                  <w:tcBorders>
                    <w:top w:val="nil"/>
                    <w:left w:val="nil"/>
                    <w:bottom w:val="nil"/>
                    <w:right w:val="nil"/>
                  </w:tcBorders>
                  <w:noWrap w:val="0"/>
                  <w:vAlign w:val="top"/>
                </w:tcPr>
                <w:p w14:paraId="2B8AA15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719" w:type="dxa"/>
                  <w:gridSpan w:val="4"/>
                  <w:tcBorders>
                    <w:top w:val="nil"/>
                    <w:left w:val="nil"/>
                    <w:bottom w:val="nil"/>
                    <w:right w:val="nil"/>
                  </w:tcBorders>
                  <w:noWrap w:val="0"/>
                  <w:vAlign w:val="top"/>
                </w:tcPr>
                <w:p w14:paraId="02ADDB9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r>
            <w:tr w14:paraId="458C9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327" w:hRule="atLeast"/>
                <w:jc w:val="center"/>
              </w:trPr>
              <w:tc>
                <w:tcPr>
                  <w:tcW w:w="2721" w:type="dxa"/>
                  <w:gridSpan w:val="5"/>
                  <w:tcBorders>
                    <w:top w:val="single" w:color="000000" w:sz="4" w:space="0"/>
                    <w:left w:val="single" w:color="000000" w:sz="4" w:space="0"/>
                    <w:bottom w:val="single" w:color="000000" w:sz="4" w:space="0"/>
                    <w:right w:val="single" w:color="000000" w:sz="4" w:space="0"/>
                  </w:tcBorders>
                  <w:noWrap w:val="0"/>
                  <w:vAlign w:val="top"/>
                </w:tcPr>
                <w:p w14:paraId="6A8CBD87">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定额编号:4012</w:t>
                  </w:r>
                </w:p>
              </w:tc>
              <w:tc>
                <w:tcPr>
                  <w:tcW w:w="4084" w:type="dxa"/>
                  <w:gridSpan w:val="9"/>
                  <w:tcBorders>
                    <w:top w:val="single" w:color="000000" w:sz="4" w:space="0"/>
                    <w:left w:val="single" w:color="000000" w:sz="4" w:space="0"/>
                    <w:bottom w:val="single" w:color="000000" w:sz="4" w:space="0"/>
                    <w:right w:val="single" w:color="000000" w:sz="4" w:space="0"/>
                  </w:tcBorders>
                  <w:noWrap w:val="0"/>
                  <w:vAlign w:val="top"/>
                </w:tcPr>
                <w:p w14:paraId="17A2DADB">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自卸汽车8t</w:t>
                  </w:r>
                </w:p>
              </w:tc>
              <w:tc>
                <w:tcPr>
                  <w:tcW w:w="1707" w:type="dxa"/>
                  <w:gridSpan w:val="2"/>
                  <w:tcBorders>
                    <w:top w:val="single" w:color="000000" w:sz="4" w:space="0"/>
                    <w:left w:val="single" w:color="000000" w:sz="4" w:space="0"/>
                    <w:bottom w:val="single" w:color="000000" w:sz="4" w:space="0"/>
                    <w:right w:val="single" w:color="000000" w:sz="4" w:space="0"/>
                  </w:tcBorders>
                  <w:noWrap w:val="0"/>
                  <w:vAlign w:val="top"/>
                </w:tcPr>
                <w:p w14:paraId="7EF9AE3C">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金额单位:元</w:t>
                  </w:r>
                </w:p>
              </w:tc>
            </w:tr>
            <w:tr w14:paraId="05A8D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327" w:hRule="atLeast"/>
                <w:jc w:val="center"/>
              </w:trPr>
              <w:tc>
                <w:tcPr>
                  <w:tcW w:w="1359" w:type="dxa"/>
                  <w:gridSpan w:val="3"/>
                  <w:tcBorders>
                    <w:top w:val="single" w:color="000000" w:sz="4" w:space="0"/>
                    <w:left w:val="single" w:color="000000" w:sz="4" w:space="0"/>
                    <w:bottom w:val="single" w:color="000000" w:sz="4" w:space="0"/>
                    <w:right w:val="single" w:color="000000" w:sz="4" w:space="0"/>
                  </w:tcBorders>
                  <w:noWrap w:val="0"/>
                  <w:vAlign w:val="top"/>
                </w:tcPr>
                <w:p w14:paraId="378A0F6C">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1362" w:type="dxa"/>
                  <w:gridSpan w:val="2"/>
                  <w:tcBorders>
                    <w:top w:val="single" w:color="000000" w:sz="4" w:space="0"/>
                    <w:left w:val="single" w:color="000000" w:sz="4" w:space="0"/>
                    <w:bottom w:val="single" w:color="000000" w:sz="4" w:space="0"/>
                    <w:right w:val="single" w:color="000000" w:sz="4" w:space="0"/>
                  </w:tcBorders>
                  <w:noWrap w:val="0"/>
                  <w:vAlign w:val="top"/>
                </w:tcPr>
                <w:p w14:paraId="43354E3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费用名称</w:t>
                  </w:r>
                </w:p>
              </w:tc>
              <w:tc>
                <w:tcPr>
                  <w:tcW w:w="1360" w:type="dxa"/>
                  <w:gridSpan w:val="3"/>
                  <w:tcBorders>
                    <w:top w:val="single" w:color="000000" w:sz="4" w:space="0"/>
                    <w:left w:val="single" w:color="000000" w:sz="4" w:space="0"/>
                    <w:bottom w:val="single" w:color="000000" w:sz="4" w:space="0"/>
                    <w:right w:val="single" w:color="000000" w:sz="4" w:space="0"/>
                  </w:tcBorders>
                  <w:noWrap w:val="0"/>
                  <w:vAlign w:val="top"/>
                </w:tcPr>
                <w:p w14:paraId="68399724">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单位</w:t>
                  </w:r>
                </w:p>
              </w:tc>
              <w:tc>
                <w:tcPr>
                  <w:tcW w:w="1360" w:type="dxa"/>
                  <w:gridSpan w:val="2"/>
                  <w:tcBorders>
                    <w:top w:val="single" w:color="000000" w:sz="4" w:space="0"/>
                    <w:left w:val="single" w:color="000000" w:sz="4" w:space="0"/>
                    <w:bottom w:val="single" w:color="000000" w:sz="4" w:space="0"/>
                    <w:right w:val="single" w:color="000000" w:sz="4" w:space="0"/>
                  </w:tcBorders>
                  <w:noWrap w:val="0"/>
                  <w:vAlign w:val="top"/>
                </w:tcPr>
                <w:p w14:paraId="0111511C">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数量</w:t>
                  </w:r>
                </w:p>
              </w:tc>
              <w:tc>
                <w:tcPr>
                  <w:tcW w:w="1364" w:type="dxa"/>
                  <w:gridSpan w:val="4"/>
                  <w:tcBorders>
                    <w:top w:val="single" w:color="000000" w:sz="4" w:space="0"/>
                    <w:left w:val="single" w:color="000000" w:sz="4" w:space="0"/>
                    <w:bottom w:val="single" w:color="000000" w:sz="4" w:space="0"/>
                    <w:right w:val="single" w:color="000000" w:sz="4" w:space="0"/>
                  </w:tcBorders>
                  <w:noWrap w:val="0"/>
                  <w:vAlign w:val="top"/>
                </w:tcPr>
                <w:p w14:paraId="147B1AE0">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单价</w:t>
                  </w:r>
                </w:p>
              </w:tc>
              <w:tc>
                <w:tcPr>
                  <w:tcW w:w="1707" w:type="dxa"/>
                  <w:gridSpan w:val="2"/>
                  <w:tcBorders>
                    <w:top w:val="single" w:color="000000" w:sz="4" w:space="0"/>
                    <w:left w:val="single" w:color="000000" w:sz="4" w:space="0"/>
                    <w:bottom w:val="single" w:color="000000" w:sz="4" w:space="0"/>
                    <w:right w:val="single" w:color="000000" w:sz="4" w:space="0"/>
                  </w:tcBorders>
                  <w:noWrap w:val="0"/>
                  <w:vAlign w:val="top"/>
                </w:tcPr>
                <w:p w14:paraId="5D05249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小计</w:t>
                  </w:r>
                </w:p>
              </w:tc>
            </w:tr>
            <w:tr w14:paraId="6DCA9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327" w:hRule="atLeast"/>
                <w:jc w:val="center"/>
              </w:trPr>
              <w:tc>
                <w:tcPr>
                  <w:tcW w:w="1359" w:type="dxa"/>
                  <w:gridSpan w:val="3"/>
                  <w:tcBorders>
                    <w:top w:val="single" w:color="000000" w:sz="4" w:space="0"/>
                    <w:left w:val="single" w:color="000000" w:sz="4" w:space="0"/>
                    <w:bottom w:val="single" w:color="000000" w:sz="4" w:space="0"/>
                    <w:right w:val="single" w:color="000000" w:sz="4" w:space="0"/>
                  </w:tcBorders>
                  <w:noWrap w:val="0"/>
                  <w:vAlign w:val="top"/>
                </w:tcPr>
                <w:p w14:paraId="7FBB632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62" w:type="dxa"/>
                  <w:gridSpan w:val="2"/>
                  <w:tcBorders>
                    <w:top w:val="single" w:color="000000" w:sz="4" w:space="0"/>
                    <w:left w:val="single" w:color="000000" w:sz="4" w:space="0"/>
                    <w:bottom w:val="single" w:color="000000" w:sz="4" w:space="0"/>
                    <w:right w:val="single" w:color="000000" w:sz="4" w:space="0"/>
                  </w:tcBorders>
                  <w:noWrap w:val="0"/>
                  <w:vAlign w:val="top"/>
                </w:tcPr>
                <w:p w14:paraId="3046D207">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一类费用</w:t>
                  </w:r>
                </w:p>
              </w:tc>
              <w:tc>
                <w:tcPr>
                  <w:tcW w:w="1360" w:type="dxa"/>
                  <w:gridSpan w:val="3"/>
                  <w:tcBorders>
                    <w:top w:val="single" w:color="000000" w:sz="4" w:space="0"/>
                    <w:left w:val="single" w:color="000000" w:sz="4" w:space="0"/>
                    <w:bottom w:val="single" w:color="000000" w:sz="4" w:space="0"/>
                    <w:right w:val="single" w:color="000000" w:sz="4" w:space="0"/>
                  </w:tcBorders>
                  <w:noWrap w:val="0"/>
                  <w:vAlign w:val="top"/>
                </w:tcPr>
                <w:p w14:paraId="0767866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元</w:t>
                  </w:r>
                </w:p>
              </w:tc>
              <w:tc>
                <w:tcPr>
                  <w:tcW w:w="1360" w:type="dxa"/>
                  <w:gridSpan w:val="2"/>
                  <w:tcBorders>
                    <w:top w:val="single" w:color="000000" w:sz="4" w:space="0"/>
                    <w:left w:val="single" w:color="000000" w:sz="4" w:space="0"/>
                    <w:bottom w:val="single" w:color="000000" w:sz="4" w:space="0"/>
                    <w:right w:val="single" w:color="000000" w:sz="4" w:space="0"/>
                  </w:tcBorders>
                  <w:noWrap w:val="0"/>
                  <w:vAlign w:val="top"/>
                </w:tcPr>
                <w:p w14:paraId="115F33F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364" w:type="dxa"/>
                  <w:gridSpan w:val="4"/>
                  <w:tcBorders>
                    <w:top w:val="single" w:color="000000" w:sz="4" w:space="0"/>
                    <w:left w:val="single" w:color="000000" w:sz="4" w:space="0"/>
                    <w:bottom w:val="single" w:color="000000" w:sz="4" w:space="0"/>
                    <w:right w:val="single" w:color="000000" w:sz="4" w:space="0"/>
                  </w:tcBorders>
                  <w:noWrap w:val="0"/>
                  <w:vAlign w:val="top"/>
                </w:tcPr>
                <w:p w14:paraId="49BBFC8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707" w:type="dxa"/>
                  <w:gridSpan w:val="2"/>
                  <w:tcBorders>
                    <w:top w:val="single" w:color="000000" w:sz="4" w:space="0"/>
                    <w:left w:val="single" w:color="000000" w:sz="4" w:space="0"/>
                    <w:bottom w:val="single" w:color="000000" w:sz="4" w:space="0"/>
                    <w:right w:val="single" w:color="000000" w:sz="4" w:space="0"/>
                  </w:tcBorders>
                  <w:noWrap w:val="0"/>
                  <w:vAlign w:val="top"/>
                </w:tcPr>
                <w:p w14:paraId="52F3F061">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206.97</w:t>
                  </w:r>
                </w:p>
              </w:tc>
            </w:tr>
            <w:tr w14:paraId="1921F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327" w:hRule="atLeast"/>
                <w:jc w:val="center"/>
              </w:trPr>
              <w:tc>
                <w:tcPr>
                  <w:tcW w:w="1359" w:type="dxa"/>
                  <w:gridSpan w:val="3"/>
                  <w:tcBorders>
                    <w:top w:val="single" w:color="000000" w:sz="4" w:space="0"/>
                    <w:left w:val="single" w:color="000000" w:sz="4" w:space="0"/>
                    <w:bottom w:val="single" w:color="000000" w:sz="4" w:space="0"/>
                    <w:right w:val="single" w:color="000000" w:sz="4" w:space="0"/>
                  </w:tcBorders>
                  <w:noWrap w:val="0"/>
                  <w:vAlign w:val="top"/>
                </w:tcPr>
                <w:p w14:paraId="6BA72E9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362" w:type="dxa"/>
                  <w:gridSpan w:val="2"/>
                  <w:tcBorders>
                    <w:top w:val="single" w:color="000000" w:sz="4" w:space="0"/>
                    <w:left w:val="single" w:color="000000" w:sz="4" w:space="0"/>
                    <w:bottom w:val="single" w:color="000000" w:sz="4" w:space="0"/>
                    <w:right w:val="single" w:color="000000" w:sz="4" w:space="0"/>
                  </w:tcBorders>
                  <w:noWrap w:val="0"/>
                  <w:vAlign w:val="top"/>
                </w:tcPr>
                <w:p w14:paraId="4955AC4B">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二类费用</w:t>
                  </w:r>
                </w:p>
              </w:tc>
              <w:tc>
                <w:tcPr>
                  <w:tcW w:w="1360" w:type="dxa"/>
                  <w:gridSpan w:val="3"/>
                  <w:tcBorders>
                    <w:top w:val="single" w:color="000000" w:sz="4" w:space="0"/>
                    <w:left w:val="single" w:color="000000" w:sz="4" w:space="0"/>
                    <w:bottom w:val="single" w:color="000000" w:sz="4" w:space="0"/>
                    <w:right w:val="single" w:color="000000" w:sz="4" w:space="0"/>
                  </w:tcBorders>
                  <w:noWrap w:val="0"/>
                  <w:vAlign w:val="top"/>
                </w:tcPr>
                <w:p w14:paraId="39AF61D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360" w:type="dxa"/>
                  <w:gridSpan w:val="2"/>
                  <w:tcBorders>
                    <w:top w:val="single" w:color="000000" w:sz="4" w:space="0"/>
                    <w:left w:val="single" w:color="000000" w:sz="4" w:space="0"/>
                    <w:bottom w:val="single" w:color="000000" w:sz="4" w:space="0"/>
                    <w:right w:val="single" w:color="000000" w:sz="4" w:space="0"/>
                  </w:tcBorders>
                  <w:noWrap w:val="0"/>
                  <w:vAlign w:val="top"/>
                </w:tcPr>
                <w:p w14:paraId="0F88282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364" w:type="dxa"/>
                  <w:gridSpan w:val="4"/>
                  <w:tcBorders>
                    <w:top w:val="single" w:color="000000" w:sz="4" w:space="0"/>
                    <w:left w:val="single" w:color="000000" w:sz="4" w:space="0"/>
                    <w:bottom w:val="single" w:color="000000" w:sz="4" w:space="0"/>
                    <w:right w:val="single" w:color="000000" w:sz="4" w:space="0"/>
                  </w:tcBorders>
                  <w:noWrap w:val="0"/>
                  <w:vAlign w:val="top"/>
                </w:tcPr>
                <w:p w14:paraId="37FBEFE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707" w:type="dxa"/>
                  <w:gridSpan w:val="2"/>
                  <w:tcBorders>
                    <w:top w:val="single" w:color="000000" w:sz="4" w:space="0"/>
                    <w:left w:val="single" w:color="000000" w:sz="4" w:space="0"/>
                    <w:bottom w:val="single" w:color="000000" w:sz="4" w:space="0"/>
                    <w:right w:val="single" w:color="000000" w:sz="4" w:space="0"/>
                  </w:tcBorders>
                  <w:noWrap w:val="0"/>
                  <w:vAlign w:val="top"/>
                </w:tcPr>
                <w:p w14:paraId="18DBC4F0">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493.24</w:t>
                  </w:r>
                </w:p>
              </w:tc>
            </w:tr>
            <w:tr w14:paraId="3B3A4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327" w:hRule="atLeast"/>
                <w:jc w:val="center"/>
              </w:trPr>
              <w:tc>
                <w:tcPr>
                  <w:tcW w:w="1359" w:type="dxa"/>
                  <w:gridSpan w:val="3"/>
                  <w:tcBorders>
                    <w:top w:val="single" w:color="000000" w:sz="4" w:space="0"/>
                    <w:left w:val="single" w:color="000000" w:sz="4" w:space="0"/>
                    <w:bottom w:val="single" w:color="000000" w:sz="4" w:space="0"/>
                    <w:right w:val="single" w:color="000000" w:sz="4" w:space="0"/>
                  </w:tcBorders>
                  <w:noWrap w:val="0"/>
                  <w:vAlign w:val="top"/>
                </w:tcPr>
                <w:p w14:paraId="64E013E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62" w:type="dxa"/>
                  <w:gridSpan w:val="2"/>
                  <w:tcBorders>
                    <w:top w:val="single" w:color="000000" w:sz="4" w:space="0"/>
                    <w:left w:val="single" w:color="000000" w:sz="4" w:space="0"/>
                    <w:bottom w:val="single" w:color="000000" w:sz="4" w:space="0"/>
                    <w:right w:val="single" w:color="000000" w:sz="4" w:space="0"/>
                  </w:tcBorders>
                  <w:noWrap w:val="0"/>
                  <w:vAlign w:val="top"/>
                </w:tcPr>
                <w:p w14:paraId="503898F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人工</w:t>
                  </w:r>
                </w:p>
              </w:tc>
              <w:tc>
                <w:tcPr>
                  <w:tcW w:w="1360" w:type="dxa"/>
                  <w:gridSpan w:val="3"/>
                  <w:tcBorders>
                    <w:top w:val="single" w:color="000000" w:sz="4" w:space="0"/>
                    <w:left w:val="single" w:color="000000" w:sz="4" w:space="0"/>
                    <w:bottom w:val="single" w:color="000000" w:sz="4" w:space="0"/>
                    <w:right w:val="single" w:color="000000" w:sz="4" w:space="0"/>
                  </w:tcBorders>
                  <w:noWrap w:val="0"/>
                  <w:vAlign w:val="top"/>
                </w:tcPr>
                <w:p w14:paraId="712A1A7A">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工日</w:t>
                  </w:r>
                </w:p>
              </w:tc>
              <w:tc>
                <w:tcPr>
                  <w:tcW w:w="1360" w:type="dxa"/>
                  <w:gridSpan w:val="2"/>
                  <w:tcBorders>
                    <w:top w:val="single" w:color="000000" w:sz="4" w:space="0"/>
                    <w:left w:val="single" w:color="000000" w:sz="4" w:space="0"/>
                    <w:bottom w:val="single" w:color="000000" w:sz="4" w:space="0"/>
                    <w:right w:val="single" w:color="000000" w:sz="4" w:space="0"/>
                  </w:tcBorders>
                  <w:noWrap w:val="0"/>
                  <w:vAlign w:val="top"/>
                </w:tcPr>
                <w:p w14:paraId="0D19B1C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2</w:t>
                  </w:r>
                </w:p>
              </w:tc>
              <w:tc>
                <w:tcPr>
                  <w:tcW w:w="1364" w:type="dxa"/>
                  <w:gridSpan w:val="4"/>
                  <w:tcBorders>
                    <w:top w:val="single" w:color="000000" w:sz="4" w:space="0"/>
                    <w:left w:val="single" w:color="000000" w:sz="4" w:space="0"/>
                    <w:bottom w:val="single" w:color="000000" w:sz="4" w:space="0"/>
                    <w:right w:val="single" w:color="000000" w:sz="4" w:space="0"/>
                  </w:tcBorders>
                  <w:noWrap w:val="0"/>
                  <w:vAlign w:val="top"/>
                </w:tcPr>
                <w:p w14:paraId="585F693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140.87</w:t>
                  </w:r>
                </w:p>
              </w:tc>
              <w:tc>
                <w:tcPr>
                  <w:tcW w:w="1707" w:type="dxa"/>
                  <w:gridSpan w:val="2"/>
                  <w:tcBorders>
                    <w:top w:val="single" w:color="000000" w:sz="4" w:space="0"/>
                    <w:left w:val="single" w:color="000000" w:sz="4" w:space="0"/>
                    <w:bottom w:val="single" w:color="000000" w:sz="4" w:space="0"/>
                    <w:right w:val="single" w:color="000000" w:sz="4" w:space="0"/>
                  </w:tcBorders>
                  <w:noWrap w:val="0"/>
                  <w:vAlign w:val="top"/>
                </w:tcPr>
                <w:p w14:paraId="5BCB8C8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281.74</w:t>
                  </w:r>
                </w:p>
              </w:tc>
            </w:tr>
            <w:tr w14:paraId="3B3E6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327" w:hRule="atLeast"/>
                <w:jc w:val="center"/>
              </w:trPr>
              <w:tc>
                <w:tcPr>
                  <w:tcW w:w="1359" w:type="dxa"/>
                  <w:gridSpan w:val="3"/>
                  <w:tcBorders>
                    <w:top w:val="single" w:color="000000" w:sz="4" w:space="0"/>
                    <w:left w:val="single" w:color="000000" w:sz="4" w:space="0"/>
                    <w:bottom w:val="single" w:color="000000" w:sz="4" w:space="0"/>
                    <w:right w:val="single" w:color="000000" w:sz="4" w:space="0"/>
                  </w:tcBorders>
                  <w:noWrap w:val="0"/>
                  <w:vAlign w:val="top"/>
                </w:tcPr>
                <w:p w14:paraId="3F5F0D7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362" w:type="dxa"/>
                  <w:gridSpan w:val="2"/>
                  <w:tcBorders>
                    <w:top w:val="single" w:color="000000" w:sz="4" w:space="0"/>
                    <w:left w:val="single" w:color="000000" w:sz="4" w:space="0"/>
                    <w:bottom w:val="single" w:color="000000" w:sz="4" w:space="0"/>
                    <w:right w:val="single" w:color="000000" w:sz="4" w:space="0"/>
                  </w:tcBorders>
                  <w:noWrap w:val="0"/>
                  <w:vAlign w:val="top"/>
                </w:tcPr>
                <w:p w14:paraId="052EEDD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柴油</w:t>
                  </w:r>
                </w:p>
              </w:tc>
              <w:tc>
                <w:tcPr>
                  <w:tcW w:w="1360" w:type="dxa"/>
                  <w:gridSpan w:val="3"/>
                  <w:tcBorders>
                    <w:top w:val="single" w:color="000000" w:sz="4" w:space="0"/>
                    <w:left w:val="single" w:color="000000" w:sz="4" w:space="0"/>
                    <w:bottom w:val="single" w:color="000000" w:sz="4" w:space="0"/>
                    <w:right w:val="single" w:color="000000" w:sz="4" w:space="0"/>
                  </w:tcBorders>
                  <w:noWrap w:val="0"/>
                  <w:vAlign w:val="top"/>
                </w:tcPr>
                <w:p w14:paraId="3507AF00">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Kg</w:t>
                  </w:r>
                </w:p>
              </w:tc>
              <w:tc>
                <w:tcPr>
                  <w:tcW w:w="1360" w:type="dxa"/>
                  <w:gridSpan w:val="2"/>
                  <w:tcBorders>
                    <w:top w:val="single" w:color="000000" w:sz="4" w:space="0"/>
                    <w:left w:val="single" w:color="000000" w:sz="4" w:space="0"/>
                    <w:bottom w:val="single" w:color="000000" w:sz="4" w:space="0"/>
                    <w:right w:val="single" w:color="000000" w:sz="4" w:space="0"/>
                  </w:tcBorders>
                  <w:noWrap w:val="0"/>
                  <w:vAlign w:val="top"/>
                </w:tcPr>
                <w:p w14:paraId="2A88171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47</w:t>
                  </w:r>
                </w:p>
              </w:tc>
              <w:tc>
                <w:tcPr>
                  <w:tcW w:w="1364" w:type="dxa"/>
                  <w:gridSpan w:val="4"/>
                  <w:tcBorders>
                    <w:top w:val="single" w:color="000000" w:sz="4" w:space="0"/>
                    <w:left w:val="single" w:color="000000" w:sz="4" w:space="0"/>
                    <w:bottom w:val="single" w:color="000000" w:sz="4" w:space="0"/>
                    <w:right w:val="single" w:color="000000" w:sz="4" w:space="0"/>
                  </w:tcBorders>
                  <w:noWrap w:val="0"/>
                  <w:vAlign w:val="top"/>
                </w:tcPr>
                <w:p w14:paraId="686D2D67">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4.5</w:t>
                  </w:r>
                </w:p>
              </w:tc>
              <w:tc>
                <w:tcPr>
                  <w:tcW w:w="1707" w:type="dxa"/>
                  <w:gridSpan w:val="2"/>
                  <w:tcBorders>
                    <w:top w:val="single" w:color="000000" w:sz="4" w:space="0"/>
                    <w:left w:val="single" w:color="000000" w:sz="4" w:space="0"/>
                    <w:bottom w:val="single" w:color="000000" w:sz="4" w:space="0"/>
                    <w:right w:val="single" w:color="000000" w:sz="4" w:space="0"/>
                  </w:tcBorders>
                  <w:noWrap w:val="0"/>
                  <w:vAlign w:val="top"/>
                </w:tcPr>
                <w:p w14:paraId="3A51EA1C">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211.5</w:t>
                  </w:r>
                </w:p>
              </w:tc>
            </w:tr>
            <w:tr w14:paraId="34486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327" w:hRule="atLeast"/>
                <w:jc w:val="center"/>
              </w:trPr>
              <w:tc>
                <w:tcPr>
                  <w:tcW w:w="2721" w:type="dxa"/>
                  <w:gridSpan w:val="5"/>
                  <w:tcBorders>
                    <w:top w:val="single" w:color="000000" w:sz="4" w:space="0"/>
                    <w:left w:val="single" w:color="000000" w:sz="4" w:space="0"/>
                    <w:bottom w:val="single" w:color="000000" w:sz="4" w:space="0"/>
                    <w:right w:val="single" w:color="000000" w:sz="4" w:space="0"/>
                  </w:tcBorders>
                  <w:noWrap w:val="0"/>
                  <w:vAlign w:val="top"/>
                </w:tcPr>
                <w:p w14:paraId="2470A1D2">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合计</w:t>
                  </w:r>
                </w:p>
              </w:tc>
              <w:tc>
                <w:tcPr>
                  <w:tcW w:w="1360" w:type="dxa"/>
                  <w:gridSpan w:val="3"/>
                  <w:tcBorders>
                    <w:top w:val="single" w:color="000000" w:sz="4" w:space="0"/>
                    <w:left w:val="single" w:color="000000" w:sz="4" w:space="0"/>
                    <w:bottom w:val="single" w:color="000000" w:sz="4" w:space="0"/>
                    <w:right w:val="single" w:color="000000" w:sz="4" w:space="0"/>
                  </w:tcBorders>
                  <w:noWrap w:val="0"/>
                  <w:vAlign w:val="top"/>
                </w:tcPr>
                <w:p w14:paraId="7C8B384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360" w:type="dxa"/>
                  <w:gridSpan w:val="2"/>
                  <w:tcBorders>
                    <w:top w:val="single" w:color="000000" w:sz="4" w:space="0"/>
                    <w:left w:val="single" w:color="000000" w:sz="4" w:space="0"/>
                    <w:bottom w:val="single" w:color="000000" w:sz="4" w:space="0"/>
                    <w:right w:val="single" w:color="000000" w:sz="4" w:space="0"/>
                  </w:tcBorders>
                  <w:noWrap w:val="0"/>
                  <w:vAlign w:val="top"/>
                </w:tcPr>
                <w:p w14:paraId="5D7B600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364" w:type="dxa"/>
                  <w:gridSpan w:val="4"/>
                  <w:tcBorders>
                    <w:top w:val="single" w:color="000000" w:sz="4" w:space="0"/>
                    <w:left w:val="single" w:color="000000" w:sz="4" w:space="0"/>
                    <w:bottom w:val="single" w:color="000000" w:sz="4" w:space="0"/>
                    <w:right w:val="single" w:color="000000" w:sz="4" w:space="0"/>
                  </w:tcBorders>
                  <w:noWrap w:val="0"/>
                  <w:vAlign w:val="top"/>
                </w:tcPr>
                <w:p w14:paraId="61DEADE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707" w:type="dxa"/>
                  <w:gridSpan w:val="2"/>
                  <w:tcBorders>
                    <w:top w:val="single" w:color="000000" w:sz="4" w:space="0"/>
                    <w:left w:val="single" w:color="000000" w:sz="4" w:space="0"/>
                    <w:bottom w:val="single" w:color="000000" w:sz="4" w:space="0"/>
                    <w:right w:val="single" w:color="000000" w:sz="4" w:space="0"/>
                  </w:tcBorders>
                  <w:noWrap w:val="0"/>
                  <w:vAlign w:val="top"/>
                </w:tcPr>
                <w:p w14:paraId="2057AA85">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b/>
                      <w:bCs/>
                      <w:i w:val="0"/>
                      <w:color w:val="000000"/>
                      <w:kern w:val="0"/>
                      <w:sz w:val="21"/>
                      <w:szCs w:val="21"/>
                      <w:u w:val="none"/>
                      <w:lang w:val="en-US" w:eastAsia="zh-CN" w:bidi="ar"/>
                    </w:rPr>
                    <w:t>700.21</w:t>
                  </w:r>
                </w:p>
              </w:tc>
            </w:tr>
            <w:tr w14:paraId="73F7D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1359" w:type="dxa"/>
                  <w:gridSpan w:val="3"/>
                  <w:tcBorders>
                    <w:top w:val="nil"/>
                    <w:left w:val="nil"/>
                    <w:bottom w:val="nil"/>
                    <w:right w:val="nil"/>
                  </w:tcBorders>
                  <w:noWrap w:val="0"/>
                  <w:vAlign w:val="top"/>
                </w:tcPr>
                <w:p w14:paraId="56E9B2A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362" w:type="dxa"/>
                  <w:gridSpan w:val="2"/>
                  <w:tcBorders>
                    <w:top w:val="nil"/>
                    <w:left w:val="nil"/>
                    <w:bottom w:val="nil"/>
                    <w:right w:val="nil"/>
                  </w:tcBorders>
                  <w:noWrap w:val="0"/>
                  <w:vAlign w:val="top"/>
                </w:tcPr>
                <w:p w14:paraId="6DFEFF0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360" w:type="dxa"/>
                  <w:gridSpan w:val="3"/>
                  <w:tcBorders>
                    <w:top w:val="nil"/>
                    <w:left w:val="nil"/>
                    <w:bottom w:val="nil"/>
                    <w:right w:val="nil"/>
                  </w:tcBorders>
                  <w:noWrap w:val="0"/>
                  <w:vAlign w:val="top"/>
                </w:tcPr>
                <w:p w14:paraId="12ACB91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360" w:type="dxa"/>
                  <w:gridSpan w:val="2"/>
                  <w:tcBorders>
                    <w:top w:val="nil"/>
                    <w:left w:val="nil"/>
                    <w:bottom w:val="nil"/>
                    <w:right w:val="nil"/>
                  </w:tcBorders>
                  <w:noWrap w:val="0"/>
                  <w:vAlign w:val="top"/>
                </w:tcPr>
                <w:p w14:paraId="59DE2A6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360" w:type="dxa"/>
                  <w:gridSpan w:val="3"/>
                  <w:tcBorders>
                    <w:top w:val="nil"/>
                    <w:left w:val="nil"/>
                    <w:bottom w:val="nil"/>
                    <w:right w:val="nil"/>
                  </w:tcBorders>
                  <w:noWrap w:val="0"/>
                  <w:vAlign w:val="top"/>
                </w:tcPr>
                <w:p w14:paraId="2EFC1AB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719" w:type="dxa"/>
                  <w:gridSpan w:val="4"/>
                  <w:tcBorders>
                    <w:top w:val="nil"/>
                    <w:left w:val="nil"/>
                    <w:bottom w:val="nil"/>
                    <w:right w:val="nil"/>
                  </w:tcBorders>
                  <w:noWrap w:val="0"/>
                  <w:vAlign w:val="top"/>
                </w:tcPr>
                <w:p w14:paraId="16A626E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r>
            <w:tr w14:paraId="136F9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327" w:hRule="atLeast"/>
                <w:jc w:val="center"/>
              </w:trPr>
              <w:tc>
                <w:tcPr>
                  <w:tcW w:w="2721" w:type="dxa"/>
                  <w:gridSpan w:val="5"/>
                  <w:tcBorders>
                    <w:top w:val="single" w:color="000000" w:sz="4" w:space="0"/>
                    <w:left w:val="single" w:color="000000" w:sz="4" w:space="0"/>
                    <w:bottom w:val="single" w:color="000000" w:sz="4" w:space="0"/>
                    <w:right w:val="single" w:color="000000" w:sz="4" w:space="0"/>
                  </w:tcBorders>
                  <w:noWrap w:val="0"/>
                  <w:vAlign w:val="center"/>
                </w:tcPr>
                <w:p w14:paraId="12A1FD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定额编号:1014</w:t>
                  </w:r>
                </w:p>
              </w:tc>
              <w:tc>
                <w:tcPr>
                  <w:tcW w:w="4084" w:type="dxa"/>
                  <w:gridSpan w:val="9"/>
                  <w:tcBorders>
                    <w:top w:val="single" w:color="000000" w:sz="4" w:space="0"/>
                    <w:left w:val="single" w:color="000000" w:sz="4" w:space="0"/>
                    <w:bottom w:val="single" w:color="000000" w:sz="4" w:space="0"/>
                    <w:right w:val="single" w:color="000000" w:sz="4" w:space="0"/>
                  </w:tcBorders>
                  <w:noWrap w:val="0"/>
                  <w:vAlign w:val="center"/>
                </w:tcPr>
                <w:p w14:paraId="0309CE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推土机74kw</w:t>
                  </w:r>
                </w:p>
              </w:tc>
              <w:tc>
                <w:tcPr>
                  <w:tcW w:w="1707" w:type="dxa"/>
                  <w:gridSpan w:val="2"/>
                  <w:tcBorders>
                    <w:top w:val="single" w:color="000000" w:sz="4" w:space="0"/>
                    <w:left w:val="single" w:color="000000" w:sz="4" w:space="0"/>
                    <w:bottom w:val="single" w:color="000000" w:sz="4" w:space="0"/>
                    <w:right w:val="single" w:color="000000" w:sz="4" w:space="0"/>
                  </w:tcBorders>
                  <w:noWrap w:val="0"/>
                  <w:vAlign w:val="center"/>
                </w:tcPr>
                <w:p w14:paraId="77AEC0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金额单位:元</w:t>
                  </w:r>
                </w:p>
              </w:tc>
            </w:tr>
            <w:tr w14:paraId="566C5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327" w:hRule="atLeast"/>
                <w:jc w:val="center"/>
              </w:trPr>
              <w:tc>
                <w:tcPr>
                  <w:tcW w:w="1359" w:type="dxa"/>
                  <w:gridSpan w:val="3"/>
                  <w:tcBorders>
                    <w:top w:val="single" w:color="000000" w:sz="4" w:space="0"/>
                    <w:left w:val="single" w:color="000000" w:sz="4" w:space="0"/>
                    <w:bottom w:val="single" w:color="000000" w:sz="4" w:space="0"/>
                    <w:right w:val="single" w:color="000000" w:sz="4" w:space="0"/>
                  </w:tcBorders>
                  <w:noWrap w:val="0"/>
                  <w:vAlign w:val="top"/>
                </w:tcPr>
                <w:p w14:paraId="3EA64DA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1362" w:type="dxa"/>
                  <w:gridSpan w:val="2"/>
                  <w:tcBorders>
                    <w:top w:val="single" w:color="000000" w:sz="4" w:space="0"/>
                    <w:left w:val="single" w:color="000000" w:sz="4" w:space="0"/>
                    <w:bottom w:val="single" w:color="000000" w:sz="4" w:space="0"/>
                    <w:right w:val="single" w:color="000000" w:sz="4" w:space="0"/>
                  </w:tcBorders>
                  <w:noWrap w:val="0"/>
                  <w:vAlign w:val="top"/>
                </w:tcPr>
                <w:p w14:paraId="0275F89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费用名称</w:t>
                  </w:r>
                </w:p>
              </w:tc>
              <w:tc>
                <w:tcPr>
                  <w:tcW w:w="1360" w:type="dxa"/>
                  <w:gridSpan w:val="3"/>
                  <w:tcBorders>
                    <w:top w:val="single" w:color="000000" w:sz="4" w:space="0"/>
                    <w:left w:val="single" w:color="000000" w:sz="4" w:space="0"/>
                    <w:bottom w:val="single" w:color="000000" w:sz="4" w:space="0"/>
                    <w:right w:val="single" w:color="000000" w:sz="4" w:space="0"/>
                  </w:tcBorders>
                  <w:noWrap w:val="0"/>
                  <w:vAlign w:val="top"/>
                </w:tcPr>
                <w:p w14:paraId="085616E1">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单位</w:t>
                  </w:r>
                </w:p>
              </w:tc>
              <w:tc>
                <w:tcPr>
                  <w:tcW w:w="1360" w:type="dxa"/>
                  <w:gridSpan w:val="2"/>
                  <w:tcBorders>
                    <w:top w:val="single" w:color="000000" w:sz="4" w:space="0"/>
                    <w:left w:val="single" w:color="000000" w:sz="4" w:space="0"/>
                    <w:bottom w:val="single" w:color="000000" w:sz="4" w:space="0"/>
                    <w:right w:val="single" w:color="000000" w:sz="4" w:space="0"/>
                  </w:tcBorders>
                  <w:noWrap w:val="0"/>
                  <w:vAlign w:val="top"/>
                </w:tcPr>
                <w:p w14:paraId="46517734">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数量</w:t>
                  </w:r>
                </w:p>
              </w:tc>
              <w:tc>
                <w:tcPr>
                  <w:tcW w:w="1364" w:type="dxa"/>
                  <w:gridSpan w:val="4"/>
                  <w:tcBorders>
                    <w:top w:val="single" w:color="000000" w:sz="4" w:space="0"/>
                    <w:left w:val="single" w:color="000000" w:sz="4" w:space="0"/>
                    <w:bottom w:val="single" w:color="000000" w:sz="4" w:space="0"/>
                    <w:right w:val="single" w:color="000000" w:sz="4" w:space="0"/>
                  </w:tcBorders>
                  <w:noWrap w:val="0"/>
                  <w:vAlign w:val="top"/>
                </w:tcPr>
                <w:p w14:paraId="65762A7B">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单价</w:t>
                  </w:r>
                </w:p>
              </w:tc>
              <w:tc>
                <w:tcPr>
                  <w:tcW w:w="1707" w:type="dxa"/>
                  <w:gridSpan w:val="2"/>
                  <w:tcBorders>
                    <w:top w:val="single" w:color="000000" w:sz="4" w:space="0"/>
                    <w:left w:val="single" w:color="000000" w:sz="4" w:space="0"/>
                    <w:bottom w:val="single" w:color="000000" w:sz="4" w:space="0"/>
                    <w:right w:val="single" w:color="000000" w:sz="4" w:space="0"/>
                  </w:tcBorders>
                  <w:noWrap w:val="0"/>
                  <w:vAlign w:val="top"/>
                </w:tcPr>
                <w:p w14:paraId="501D240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小计</w:t>
                  </w:r>
                </w:p>
              </w:tc>
            </w:tr>
            <w:tr w14:paraId="0129D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327" w:hRule="atLeast"/>
                <w:jc w:val="center"/>
              </w:trPr>
              <w:tc>
                <w:tcPr>
                  <w:tcW w:w="1359" w:type="dxa"/>
                  <w:gridSpan w:val="3"/>
                  <w:tcBorders>
                    <w:top w:val="single" w:color="000000" w:sz="4" w:space="0"/>
                    <w:left w:val="single" w:color="000000" w:sz="4" w:space="0"/>
                    <w:bottom w:val="single" w:color="000000" w:sz="4" w:space="0"/>
                    <w:right w:val="single" w:color="000000" w:sz="4" w:space="0"/>
                  </w:tcBorders>
                  <w:noWrap w:val="0"/>
                  <w:vAlign w:val="top"/>
                </w:tcPr>
                <w:p w14:paraId="034EAFB5">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62" w:type="dxa"/>
                  <w:gridSpan w:val="2"/>
                  <w:tcBorders>
                    <w:top w:val="single" w:color="000000" w:sz="4" w:space="0"/>
                    <w:left w:val="single" w:color="000000" w:sz="4" w:space="0"/>
                    <w:bottom w:val="single" w:color="000000" w:sz="4" w:space="0"/>
                    <w:right w:val="single" w:color="000000" w:sz="4" w:space="0"/>
                  </w:tcBorders>
                  <w:noWrap w:val="0"/>
                  <w:vAlign w:val="top"/>
                </w:tcPr>
                <w:p w14:paraId="47CA65D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一类费用</w:t>
                  </w:r>
                </w:p>
              </w:tc>
              <w:tc>
                <w:tcPr>
                  <w:tcW w:w="1360" w:type="dxa"/>
                  <w:gridSpan w:val="3"/>
                  <w:tcBorders>
                    <w:top w:val="single" w:color="000000" w:sz="4" w:space="0"/>
                    <w:left w:val="single" w:color="000000" w:sz="4" w:space="0"/>
                    <w:bottom w:val="single" w:color="000000" w:sz="4" w:space="0"/>
                    <w:right w:val="single" w:color="000000" w:sz="4" w:space="0"/>
                  </w:tcBorders>
                  <w:noWrap w:val="0"/>
                  <w:vAlign w:val="top"/>
                </w:tcPr>
                <w:p w14:paraId="1DECC1A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元</w:t>
                  </w:r>
                </w:p>
              </w:tc>
              <w:tc>
                <w:tcPr>
                  <w:tcW w:w="1360" w:type="dxa"/>
                  <w:gridSpan w:val="2"/>
                  <w:tcBorders>
                    <w:top w:val="single" w:color="000000" w:sz="4" w:space="0"/>
                    <w:left w:val="single" w:color="000000" w:sz="4" w:space="0"/>
                    <w:bottom w:val="single" w:color="000000" w:sz="4" w:space="0"/>
                    <w:right w:val="single" w:color="000000" w:sz="4" w:space="0"/>
                  </w:tcBorders>
                  <w:noWrap w:val="0"/>
                  <w:vAlign w:val="top"/>
                </w:tcPr>
                <w:p w14:paraId="033A31B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364" w:type="dxa"/>
                  <w:gridSpan w:val="4"/>
                  <w:tcBorders>
                    <w:top w:val="single" w:color="000000" w:sz="4" w:space="0"/>
                    <w:left w:val="single" w:color="000000" w:sz="4" w:space="0"/>
                    <w:bottom w:val="single" w:color="000000" w:sz="4" w:space="0"/>
                    <w:right w:val="single" w:color="000000" w:sz="4" w:space="0"/>
                  </w:tcBorders>
                  <w:noWrap w:val="0"/>
                  <w:vAlign w:val="center"/>
                </w:tcPr>
                <w:p w14:paraId="71F4950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707" w:type="dxa"/>
                  <w:gridSpan w:val="2"/>
                  <w:tcBorders>
                    <w:top w:val="single" w:color="000000" w:sz="4" w:space="0"/>
                    <w:left w:val="single" w:color="000000" w:sz="4" w:space="0"/>
                    <w:bottom w:val="single" w:color="000000" w:sz="4" w:space="0"/>
                    <w:right w:val="single" w:color="000000" w:sz="4" w:space="0"/>
                  </w:tcBorders>
                  <w:noWrap w:val="0"/>
                  <w:vAlign w:val="center"/>
                </w:tcPr>
                <w:p w14:paraId="0299C3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207.49</w:t>
                  </w:r>
                </w:p>
              </w:tc>
            </w:tr>
            <w:tr w14:paraId="541F5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327" w:hRule="atLeast"/>
                <w:jc w:val="center"/>
              </w:trPr>
              <w:tc>
                <w:tcPr>
                  <w:tcW w:w="1359" w:type="dxa"/>
                  <w:gridSpan w:val="3"/>
                  <w:tcBorders>
                    <w:top w:val="single" w:color="000000" w:sz="4" w:space="0"/>
                    <w:left w:val="single" w:color="000000" w:sz="4" w:space="0"/>
                    <w:bottom w:val="single" w:color="000000" w:sz="4" w:space="0"/>
                    <w:right w:val="single" w:color="000000" w:sz="4" w:space="0"/>
                  </w:tcBorders>
                  <w:noWrap w:val="0"/>
                  <w:vAlign w:val="top"/>
                </w:tcPr>
                <w:p w14:paraId="106B908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362" w:type="dxa"/>
                  <w:gridSpan w:val="2"/>
                  <w:tcBorders>
                    <w:top w:val="single" w:color="000000" w:sz="4" w:space="0"/>
                    <w:left w:val="single" w:color="000000" w:sz="4" w:space="0"/>
                    <w:bottom w:val="single" w:color="000000" w:sz="4" w:space="0"/>
                    <w:right w:val="single" w:color="000000" w:sz="4" w:space="0"/>
                  </w:tcBorders>
                  <w:noWrap w:val="0"/>
                  <w:vAlign w:val="top"/>
                </w:tcPr>
                <w:p w14:paraId="7619E47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二类费用</w:t>
                  </w:r>
                </w:p>
              </w:tc>
              <w:tc>
                <w:tcPr>
                  <w:tcW w:w="1360" w:type="dxa"/>
                  <w:gridSpan w:val="3"/>
                  <w:tcBorders>
                    <w:top w:val="single" w:color="000000" w:sz="4" w:space="0"/>
                    <w:left w:val="single" w:color="000000" w:sz="4" w:space="0"/>
                    <w:bottom w:val="single" w:color="000000" w:sz="4" w:space="0"/>
                    <w:right w:val="single" w:color="000000" w:sz="4" w:space="0"/>
                  </w:tcBorders>
                  <w:noWrap w:val="0"/>
                  <w:vAlign w:val="top"/>
                </w:tcPr>
                <w:p w14:paraId="5E69560A">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元</w:t>
                  </w:r>
                </w:p>
              </w:tc>
              <w:tc>
                <w:tcPr>
                  <w:tcW w:w="1360" w:type="dxa"/>
                  <w:gridSpan w:val="2"/>
                  <w:tcBorders>
                    <w:top w:val="single" w:color="000000" w:sz="4" w:space="0"/>
                    <w:left w:val="single" w:color="000000" w:sz="4" w:space="0"/>
                    <w:bottom w:val="single" w:color="000000" w:sz="4" w:space="0"/>
                    <w:right w:val="single" w:color="000000" w:sz="4" w:space="0"/>
                  </w:tcBorders>
                  <w:noWrap w:val="0"/>
                  <w:vAlign w:val="top"/>
                </w:tcPr>
                <w:p w14:paraId="2695AF4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364" w:type="dxa"/>
                  <w:gridSpan w:val="4"/>
                  <w:tcBorders>
                    <w:top w:val="single" w:color="000000" w:sz="4" w:space="0"/>
                    <w:left w:val="single" w:color="000000" w:sz="4" w:space="0"/>
                    <w:bottom w:val="single" w:color="000000" w:sz="4" w:space="0"/>
                    <w:right w:val="single" w:color="000000" w:sz="4" w:space="0"/>
                  </w:tcBorders>
                  <w:noWrap w:val="0"/>
                  <w:vAlign w:val="center"/>
                </w:tcPr>
                <w:p w14:paraId="08C4DEB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707" w:type="dxa"/>
                  <w:gridSpan w:val="2"/>
                  <w:tcBorders>
                    <w:top w:val="single" w:color="000000" w:sz="4" w:space="0"/>
                    <w:left w:val="single" w:color="000000" w:sz="4" w:space="0"/>
                    <w:bottom w:val="single" w:color="000000" w:sz="4" w:space="0"/>
                    <w:right w:val="single" w:color="000000" w:sz="4" w:space="0"/>
                  </w:tcBorders>
                  <w:noWrap w:val="0"/>
                  <w:vAlign w:val="center"/>
                </w:tcPr>
                <w:p w14:paraId="76CEF3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529.24</w:t>
                  </w:r>
                </w:p>
              </w:tc>
            </w:tr>
            <w:tr w14:paraId="612EC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327" w:hRule="atLeast"/>
                <w:jc w:val="center"/>
              </w:trPr>
              <w:tc>
                <w:tcPr>
                  <w:tcW w:w="1359" w:type="dxa"/>
                  <w:gridSpan w:val="3"/>
                  <w:tcBorders>
                    <w:top w:val="single" w:color="000000" w:sz="4" w:space="0"/>
                    <w:left w:val="single" w:color="000000" w:sz="4" w:space="0"/>
                    <w:bottom w:val="single" w:color="000000" w:sz="4" w:space="0"/>
                    <w:right w:val="single" w:color="000000" w:sz="4" w:space="0"/>
                  </w:tcBorders>
                  <w:noWrap w:val="0"/>
                  <w:vAlign w:val="top"/>
                </w:tcPr>
                <w:p w14:paraId="25D3E77A">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362" w:type="dxa"/>
                  <w:gridSpan w:val="2"/>
                  <w:tcBorders>
                    <w:top w:val="single" w:color="000000" w:sz="4" w:space="0"/>
                    <w:left w:val="single" w:color="000000" w:sz="4" w:space="0"/>
                    <w:bottom w:val="single" w:color="000000" w:sz="4" w:space="0"/>
                    <w:right w:val="single" w:color="000000" w:sz="4" w:space="0"/>
                  </w:tcBorders>
                  <w:noWrap w:val="0"/>
                  <w:vAlign w:val="top"/>
                </w:tcPr>
                <w:p w14:paraId="177E8FB4">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人工</w:t>
                  </w:r>
                </w:p>
              </w:tc>
              <w:tc>
                <w:tcPr>
                  <w:tcW w:w="1360" w:type="dxa"/>
                  <w:gridSpan w:val="3"/>
                  <w:tcBorders>
                    <w:top w:val="single" w:color="000000" w:sz="4" w:space="0"/>
                    <w:left w:val="single" w:color="000000" w:sz="4" w:space="0"/>
                    <w:bottom w:val="single" w:color="000000" w:sz="4" w:space="0"/>
                    <w:right w:val="single" w:color="000000" w:sz="4" w:space="0"/>
                  </w:tcBorders>
                  <w:noWrap w:val="0"/>
                  <w:vAlign w:val="top"/>
                </w:tcPr>
                <w:p w14:paraId="3C2AE02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工日</w:t>
                  </w:r>
                </w:p>
              </w:tc>
              <w:tc>
                <w:tcPr>
                  <w:tcW w:w="1360" w:type="dxa"/>
                  <w:gridSpan w:val="2"/>
                  <w:tcBorders>
                    <w:top w:val="single" w:color="000000" w:sz="4" w:space="0"/>
                    <w:left w:val="single" w:color="000000" w:sz="4" w:space="0"/>
                    <w:bottom w:val="single" w:color="000000" w:sz="4" w:space="0"/>
                    <w:right w:val="single" w:color="000000" w:sz="4" w:space="0"/>
                  </w:tcBorders>
                  <w:noWrap w:val="0"/>
                  <w:vAlign w:val="top"/>
                </w:tcPr>
                <w:p w14:paraId="0F06EF8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2</w:t>
                  </w:r>
                </w:p>
              </w:tc>
              <w:tc>
                <w:tcPr>
                  <w:tcW w:w="1364" w:type="dxa"/>
                  <w:gridSpan w:val="4"/>
                  <w:tcBorders>
                    <w:top w:val="single" w:color="000000" w:sz="4" w:space="0"/>
                    <w:left w:val="single" w:color="000000" w:sz="4" w:space="0"/>
                    <w:bottom w:val="single" w:color="000000" w:sz="4" w:space="0"/>
                    <w:right w:val="single" w:color="000000" w:sz="4" w:space="0"/>
                  </w:tcBorders>
                  <w:noWrap w:val="0"/>
                  <w:vAlign w:val="center"/>
                </w:tcPr>
                <w:p w14:paraId="1D5041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140.87</w:t>
                  </w:r>
                </w:p>
              </w:tc>
              <w:tc>
                <w:tcPr>
                  <w:tcW w:w="1707" w:type="dxa"/>
                  <w:gridSpan w:val="2"/>
                  <w:tcBorders>
                    <w:top w:val="single" w:color="000000" w:sz="4" w:space="0"/>
                    <w:left w:val="single" w:color="000000" w:sz="4" w:space="0"/>
                    <w:bottom w:val="single" w:color="000000" w:sz="4" w:space="0"/>
                    <w:right w:val="single" w:color="000000" w:sz="4" w:space="0"/>
                  </w:tcBorders>
                  <w:noWrap w:val="0"/>
                  <w:vAlign w:val="center"/>
                </w:tcPr>
                <w:p w14:paraId="0F1EEC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281.74</w:t>
                  </w:r>
                </w:p>
              </w:tc>
            </w:tr>
            <w:tr w14:paraId="59FD7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327" w:hRule="atLeast"/>
                <w:jc w:val="center"/>
              </w:trPr>
              <w:tc>
                <w:tcPr>
                  <w:tcW w:w="1359" w:type="dxa"/>
                  <w:gridSpan w:val="3"/>
                  <w:tcBorders>
                    <w:top w:val="single" w:color="000000" w:sz="4" w:space="0"/>
                    <w:left w:val="single" w:color="000000" w:sz="4" w:space="0"/>
                    <w:bottom w:val="single" w:color="000000" w:sz="4" w:space="0"/>
                    <w:right w:val="single" w:color="000000" w:sz="4" w:space="0"/>
                  </w:tcBorders>
                  <w:noWrap w:val="0"/>
                  <w:vAlign w:val="top"/>
                </w:tcPr>
                <w:p w14:paraId="65769812">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362" w:type="dxa"/>
                  <w:gridSpan w:val="2"/>
                  <w:tcBorders>
                    <w:top w:val="single" w:color="000000" w:sz="4" w:space="0"/>
                    <w:left w:val="single" w:color="000000" w:sz="4" w:space="0"/>
                    <w:bottom w:val="single" w:color="000000" w:sz="4" w:space="0"/>
                    <w:right w:val="single" w:color="000000" w:sz="4" w:space="0"/>
                  </w:tcBorders>
                  <w:noWrap w:val="0"/>
                  <w:vAlign w:val="top"/>
                </w:tcPr>
                <w:p w14:paraId="7DB4F0F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柴油</w:t>
                  </w:r>
                </w:p>
              </w:tc>
              <w:tc>
                <w:tcPr>
                  <w:tcW w:w="1360" w:type="dxa"/>
                  <w:gridSpan w:val="3"/>
                  <w:tcBorders>
                    <w:top w:val="single" w:color="000000" w:sz="4" w:space="0"/>
                    <w:left w:val="single" w:color="000000" w:sz="4" w:space="0"/>
                    <w:bottom w:val="single" w:color="000000" w:sz="4" w:space="0"/>
                    <w:right w:val="single" w:color="000000" w:sz="4" w:space="0"/>
                  </w:tcBorders>
                  <w:noWrap w:val="0"/>
                  <w:vAlign w:val="top"/>
                </w:tcPr>
                <w:p w14:paraId="499B560A">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Kg</w:t>
                  </w:r>
                </w:p>
              </w:tc>
              <w:tc>
                <w:tcPr>
                  <w:tcW w:w="1360" w:type="dxa"/>
                  <w:gridSpan w:val="2"/>
                  <w:tcBorders>
                    <w:top w:val="single" w:color="000000" w:sz="4" w:space="0"/>
                    <w:left w:val="single" w:color="000000" w:sz="4" w:space="0"/>
                    <w:bottom w:val="single" w:color="000000" w:sz="4" w:space="0"/>
                    <w:right w:val="single" w:color="000000" w:sz="4" w:space="0"/>
                  </w:tcBorders>
                  <w:noWrap w:val="0"/>
                  <w:vAlign w:val="top"/>
                </w:tcPr>
                <w:p w14:paraId="7AB2D02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55</w:t>
                  </w:r>
                </w:p>
              </w:tc>
              <w:tc>
                <w:tcPr>
                  <w:tcW w:w="1364" w:type="dxa"/>
                  <w:gridSpan w:val="4"/>
                  <w:tcBorders>
                    <w:top w:val="single" w:color="000000" w:sz="4" w:space="0"/>
                    <w:left w:val="single" w:color="000000" w:sz="4" w:space="0"/>
                    <w:bottom w:val="single" w:color="000000" w:sz="4" w:space="0"/>
                    <w:right w:val="single" w:color="000000" w:sz="4" w:space="0"/>
                  </w:tcBorders>
                  <w:noWrap w:val="0"/>
                  <w:vAlign w:val="center"/>
                </w:tcPr>
                <w:p w14:paraId="489B5E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4.5</w:t>
                  </w:r>
                </w:p>
              </w:tc>
              <w:tc>
                <w:tcPr>
                  <w:tcW w:w="1707" w:type="dxa"/>
                  <w:gridSpan w:val="2"/>
                  <w:tcBorders>
                    <w:top w:val="single" w:color="000000" w:sz="4" w:space="0"/>
                    <w:left w:val="single" w:color="000000" w:sz="4" w:space="0"/>
                    <w:bottom w:val="single" w:color="000000" w:sz="4" w:space="0"/>
                    <w:right w:val="single" w:color="000000" w:sz="4" w:space="0"/>
                  </w:tcBorders>
                  <w:noWrap w:val="0"/>
                  <w:vAlign w:val="center"/>
                </w:tcPr>
                <w:p w14:paraId="1695E9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21"/>
                      <w:szCs w:val="21"/>
                      <w:u w:val="none"/>
                      <w:lang w:val="en-US" w:eastAsia="zh-CN" w:bidi="ar"/>
                    </w:rPr>
                    <w:t>247.5</w:t>
                  </w:r>
                </w:p>
              </w:tc>
            </w:tr>
            <w:tr w14:paraId="0AF6C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dxa"/>
                <w:trHeight w:val="337" w:hRule="atLeast"/>
                <w:jc w:val="center"/>
              </w:trPr>
              <w:tc>
                <w:tcPr>
                  <w:tcW w:w="2721" w:type="dxa"/>
                  <w:gridSpan w:val="5"/>
                  <w:tcBorders>
                    <w:top w:val="single" w:color="000000" w:sz="4" w:space="0"/>
                    <w:left w:val="single" w:color="000000" w:sz="4" w:space="0"/>
                    <w:bottom w:val="single" w:color="000000" w:sz="4" w:space="0"/>
                    <w:right w:val="single" w:color="000000" w:sz="4" w:space="0"/>
                  </w:tcBorders>
                  <w:noWrap w:val="0"/>
                  <w:vAlign w:val="top"/>
                </w:tcPr>
                <w:p w14:paraId="36682AE0">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合计</w:t>
                  </w:r>
                </w:p>
              </w:tc>
              <w:tc>
                <w:tcPr>
                  <w:tcW w:w="1360" w:type="dxa"/>
                  <w:gridSpan w:val="3"/>
                  <w:tcBorders>
                    <w:top w:val="single" w:color="000000" w:sz="4" w:space="0"/>
                    <w:left w:val="single" w:color="000000" w:sz="4" w:space="0"/>
                    <w:bottom w:val="single" w:color="000000" w:sz="4" w:space="0"/>
                    <w:right w:val="single" w:color="000000" w:sz="4" w:space="0"/>
                  </w:tcBorders>
                  <w:noWrap w:val="0"/>
                  <w:vAlign w:val="top"/>
                </w:tcPr>
                <w:p w14:paraId="7C565EB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360" w:type="dxa"/>
                  <w:gridSpan w:val="2"/>
                  <w:tcBorders>
                    <w:top w:val="single" w:color="000000" w:sz="4" w:space="0"/>
                    <w:left w:val="single" w:color="000000" w:sz="4" w:space="0"/>
                    <w:bottom w:val="single" w:color="000000" w:sz="4" w:space="0"/>
                    <w:right w:val="single" w:color="000000" w:sz="4" w:space="0"/>
                  </w:tcBorders>
                  <w:noWrap w:val="0"/>
                  <w:vAlign w:val="top"/>
                </w:tcPr>
                <w:p w14:paraId="49D91E0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364" w:type="dxa"/>
                  <w:gridSpan w:val="4"/>
                  <w:tcBorders>
                    <w:top w:val="single" w:color="000000" w:sz="4" w:space="0"/>
                    <w:left w:val="single" w:color="000000" w:sz="4" w:space="0"/>
                    <w:bottom w:val="single" w:color="000000" w:sz="4" w:space="0"/>
                    <w:right w:val="single" w:color="000000" w:sz="4" w:space="0"/>
                  </w:tcBorders>
                  <w:noWrap w:val="0"/>
                  <w:vAlign w:val="center"/>
                </w:tcPr>
                <w:p w14:paraId="5826721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707" w:type="dxa"/>
                  <w:gridSpan w:val="2"/>
                  <w:tcBorders>
                    <w:top w:val="single" w:color="000000" w:sz="4" w:space="0"/>
                    <w:left w:val="single" w:color="000000" w:sz="4" w:space="0"/>
                    <w:bottom w:val="single" w:color="000000" w:sz="4" w:space="0"/>
                    <w:right w:val="single" w:color="000000" w:sz="4" w:space="0"/>
                  </w:tcBorders>
                  <w:noWrap w:val="0"/>
                  <w:vAlign w:val="center"/>
                </w:tcPr>
                <w:p w14:paraId="79F91A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b/>
                      <w:i w:val="0"/>
                      <w:color w:val="000000"/>
                      <w:kern w:val="0"/>
                      <w:sz w:val="21"/>
                      <w:szCs w:val="21"/>
                      <w:u w:val="none"/>
                      <w:lang w:val="en-US" w:eastAsia="zh-CN" w:bidi="ar"/>
                    </w:rPr>
                    <w:t>736.73</w:t>
                  </w:r>
                </w:p>
              </w:tc>
            </w:tr>
          </w:tbl>
          <w:p w14:paraId="735D943F">
            <w:pPr>
              <w:keepNext w:val="0"/>
              <w:keepLines w:val="0"/>
              <w:suppressLineNumbers w:val="0"/>
              <w:spacing w:before="0" w:beforeAutospacing="0" w:after="0" w:afterAutospacing="0"/>
              <w:ind w:left="0" w:right="0"/>
              <w:rPr>
                <w:color w:val="000000"/>
                <w:highlight w:val="none"/>
              </w:rPr>
            </w:pPr>
          </w:p>
          <w:tbl>
            <w:tblPr>
              <w:tblStyle w:val="19"/>
              <w:tblW w:w="86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67"/>
              <w:gridCol w:w="2042"/>
              <w:gridCol w:w="1041"/>
              <w:gridCol w:w="1248"/>
              <w:gridCol w:w="1284"/>
              <w:gridCol w:w="1531"/>
              <w:gridCol w:w="7"/>
            </w:tblGrid>
            <w:tr w14:paraId="46839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620" w:type="dxa"/>
                  <w:gridSpan w:val="7"/>
                  <w:tcBorders>
                    <w:top w:val="nil"/>
                    <w:left w:val="nil"/>
                    <w:bottom w:val="nil"/>
                    <w:right w:val="nil"/>
                  </w:tcBorders>
                  <w:noWrap w:val="0"/>
                  <w:vAlign w:val="center"/>
                </w:tcPr>
                <w:p w14:paraId="7BFC1E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附表1-3各项工程综合单价估算</w:t>
                  </w:r>
                </w:p>
              </w:tc>
            </w:tr>
            <w:tr w14:paraId="12F7C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620" w:type="dxa"/>
                  <w:gridSpan w:val="7"/>
                  <w:tcBorders>
                    <w:top w:val="nil"/>
                    <w:left w:val="nil"/>
                    <w:bottom w:val="nil"/>
                    <w:right w:val="nil"/>
                  </w:tcBorders>
                  <w:noWrap w:val="0"/>
                  <w:vAlign w:val="center"/>
                </w:tcPr>
                <w:p w14:paraId="1235E2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定额编号：20293（1m³挖掘机装石渣8t自卸汽车</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运距10千米</w:t>
                  </w:r>
                  <w:r>
                    <w:rPr>
                      <w:rFonts w:hint="eastAsia" w:ascii="宋体" w:hAnsi="宋体" w:eastAsia="宋体" w:cs="宋体"/>
                      <w:i w:val="0"/>
                      <w:iCs w:val="0"/>
                      <w:color w:val="000000"/>
                      <w:kern w:val="0"/>
                      <w:sz w:val="21"/>
                      <w:szCs w:val="21"/>
                      <w:highlight w:val="none"/>
                      <w:u w:val="none"/>
                      <w:lang w:val="en-US" w:eastAsia="zh-CN" w:bidi="ar"/>
                    </w:rPr>
                    <w:t>)</w:t>
                  </w:r>
                </w:p>
              </w:tc>
            </w:tr>
            <w:tr w14:paraId="44F14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620" w:type="dxa"/>
                  <w:gridSpan w:val="7"/>
                  <w:tcBorders>
                    <w:top w:val="nil"/>
                    <w:left w:val="nil"/>
                    <w:bottom w:val="nil"/>
                    <w:right w:val="nil"/>
                  </w:tcBorders>
                  <w:noWrap w:val="0"/>
                  <w:vAlign w:val="center"/>
                </w:tcPr>
                <w:p w14:paraId="7C84E5A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工作内容：挖装、运输、卸除、空回单位100m³</w:t>
                  </w:r>
                </w:p>
              </w:tc>
            </w:tr>
            <w:tr w14:paraId="3A26B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top"/>
                </w:tcPr>
                <w:p w14:paraId="1169CA60">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序号</w:t>
                  </w: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46CF984F">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项目名称</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57691FCA">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单位</w:t>
                  </w:r>
                </w:p>
              </w:tc>
              <w:tc>
                <w:tcPr>
                  <w:tcW w:w="1248" w:type="dxa"/>
                  <w:tcBorders>
                    <w:top w:val="single" w:color="000000" w:sz="4" w:space="0"/>
                    <w:left w:val="single" w:color="000000" w:sz="4" w:space="0"/>
                    <w:bottom w:val="single" w:color="000000" w:sz="4" w:space="0"/>
                    <w:right w:val="single" w:color="000000" w:sz="4" w:space="0"/>
                  </w:tcBorders>
                  <w:noWrap w:val="0"/>
                  <w:vAlign w:val="top"/>
                </w:tcPr>
                <w:p w14:paraId="1DAD793B">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数量</w:t>
                  </w:r>
                </w:p>
              </w:tc>
              <w:tc>
                <w:tcPr>
                  <w:tcW w:w="1284" w:type="dxa"/>
                  <w:tcBorders>
                    <w:top w:val="single" w:color="000000" w:sz="4" w:space="0"/>
                    <w:left w:val="single" w:color="000000" w:sz="4" w:space="0"/>
                    <w:bottom w:val="single" w:color="000000" w:sz="4" w:space="0"/>
                    <w:right w:val="single" w:color="000000" w:sz="4" w:space="0"/>
                  </w:tcBorders>
                  <w:noWrap w:val="0"/>
                  <w:vAlign w:val="top"/>
                </w:tcPr>
                <w:p w14:paraId="50103C2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单价</w:t>
                  </w:r>
                </w:p>
              </w:tc>
              <w:tc>
                <w:tcPr>
                  <w:tcW w:w="1531" w:type="dxa"/>
                  <w:tcBorders>
                    <w:top w:val="single" w:color="000000" w:sz="4" w:space="0"/>
                    <w:left w:val="single" w:color="000000" w:sz="4" w:space="0"/>
                    <w:bottom w:val="single" w:color="000000" w:sz="4" w:space="0"/>
                    <w:right w:val="single" w:color="000000" w:sz="4" w:space="0"/>
                  </w:tcBorders>
                  <w:noWrap w:val="0"/>
                  <w:vAlign w:val="top"/>
                </w:tcPr>
                <w:p w14:paraId="557AFA5C">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小计（元）</w:t>
                  </w:r>
                </w:p>
              </w:tc>
            </w:tr>
            <w:tr w14:paraId="14C95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6DEE60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一</w:t>
                  </w:r>
                </w:p>
              </w:tc>
              <w:tc>
                <w:tcPr>
                  <w:tcW w:w="2042" w:type="dxa"/>
                  <w:tcBorders>
                    <w:top w:val="single" w:color="000000" w:sz="4" w:space="0"/>
                    <w:left w:val="single" w:color="000000" w:sz="4" w:space="0"/>
                    <w:bottom w:val="single" w:color="000000" w:sz="4" w:space="0"/>
                    <w:right w:val="single" w:color="000000" w:sz="4" w:space="0"/>
                  </w:tcBorders>
                  <w:noWrap w:val="0"/>
                  <w:vAlign w:val="center"/>
                </w:tcPr>
                <w:p w14:paraId="33A603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直接费</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653D5C3">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kern w:val="0"/>
                      <w:sz w:val="21"/>
                      <w:szCs w:val="21"/>
                      <w:u w:val="none"/>
                      <w:lang w:val="en-US" w:eastAsia="zh-CN" w:bidi="ar"/>
                    </w:rPr>
                  </w:pP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1A90124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638F27D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2AD52C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7566.58</w:t>
                  </w:r>
                </w:p>
              </w:tc>
            </w:tr>
            <w:tr w14:paraId="67DDA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top"/>
                </w:tcPr>
                <w:p w14:paraId="7D482B85">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（一）</w:t>
                  </w: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417CD732">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直接工程费</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75DD53F0">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kern w:val="0"/>
                      <w:sz w:val="21"/>
                      <w:szCs w:val="21"/>
                      <w:u w:val="none"/>
                      <w:lang w:val="en-US" w:eastAsia="zh-CN" w:bidi="ar"/>
                    </w:rPr>
                  </w:pP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0B521B9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noWrap w:val="0"/>
                  <w:vAlign w:val="top"/>
                </w:tcPr>
                <w:p w14:paraId="6EEA8D8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top"/>
                </w:tcPr>
                <w:p w14:paraId="301B67E4">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7303.65</w:t>
                  </w:r>
                </w:p>
              </w:tc>
            </w:tr>
            <w:tr w14:paraId="3769E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top"/>
                </w:tcPr>
                <w:p w14:paraId="6C560E4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w:t>
                  </w: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2337FB20">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人工费</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1940F184">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kern w:val="0"/>
                      <w:sz w:val="21"/>
                      <w:szCs w:val="21"/>
                      <w:u w:val="none"/>
                      <w:lang w:val="en-US" w:eastAsia="zh-CN" w:bidi="ar"/>
                    </w:rPr>
                  </w:pP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3D9343F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noWrap w:val="0"/>
                  <w:vAlign w:val="top"/>
                </w:tcPr>
                <w:p w14:paraId="092157A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top"/>
                </w:tcPr>
                <w:p w14:paraId="36EB9125">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146.66</w:t>
                  </w:r>
                </w:p>
              </w:tc>
            </w:tr>
            <w:tr w14:paraId="0D4A2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top"/>
                </w:tcPr>
                <w:p w14:paraId="6ED75F6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4AD08B3B">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甲类工</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288D1586">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工日</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5F6436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0.1</w:t>
                  </w:r>
                </w:p>
              </w:tc>
              <w:tc>
                <w:tcPr>
                  <w:tcW w:w="1284" w:type="dxa"/>
                  <w:tcBorders>
                    <w:top w:val="single" w:color="000000" w:sz="4" w:space="0"/>
                    <w:left w:val="single" w:color="000000" w:sz="4" w:space="0"/>
                    <w:bottom w:val="single" w:color="000000" w:sz="4" w:space="0"/>
                    <w:right w:val="single" w:color="000000" w:sz="4" w:space="0"/>
                  </w:tcBorders>
                  <w:noWrap w:val="0"/>
                  <w:vAlign w:val="top"/>
                </w:tcPr>
                <w:p w14:paraId="1FBFE86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140.87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312BB9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14.09 </w:t>
                  </w:r>
                </w:p>
              </w:tc>
            </w:tr>
            <w:tr w14:paraId="39D79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top"/>
                </w:tcPr>
                <w:p w14:paraId="2970821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61D17805">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乙类工</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26ABE091">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工日</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6D122B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2.5</w:t>
                  </w:r>
                </w:p>
              </w:tc>
              <w:tc>
                <w:tcPr>
                  <w:tcW w:w="1284" w:type="dxa"/>
                  <w:tcBorders>
                    <w:top w:val="single" w:color="000000" w:sz="4" w:space="0"/>
                    <w:left w:val="single" w:color="000000" w:sz="4" w:space="0"/>
                    <w:bottom w:val="single" w:color="000000" w:sz="4" w:space="0"/>
                    <w:right w:val="single" w:color="000000" w:sz="4" w:space="0"/>
                  </w:tcBorders>
                  <w:noWrap w:val="0"/>
                  <w:vAlign w:val="top"/>
                </w:tcPr>
                <w:p w14:paraId="31E186B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130.53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699019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326.33 </w:t>
                  </w:r>
                </w:p>
              </w:tc>
            </w:tr>
            <w:tr w14:paraId="1D8A8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top"/>
                </w:tcPr>
                <w:p w14:paraId="7B53643F">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2</w:t>
                  </w: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157159B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机械费用</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3CF928ED">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kern w:val="0"/>
                      <w:sz w:val="21"/>
                      <w:szCs w:val="21"/>
                      <w:u w:val="none"/>
                      <w:lang w:val="en-US" w:eastAsia="zh-CN" w:bidi="ar"/>
                    </w:rPr>
                  </w:pP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325EFDF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noWrap w:val="0"/>
                  <w:vAlign w:val="top"/>
                </w:tcPr>
                <w:p w14:paraId="60BA819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top"/>
                </w:tcPr>
                <w:p w14:paraId="5E135B1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7156.99</w:t>
                  </w:r>
                </w:p>
              </w:tc>
            </w:tr>
            <w:tr w14:paraId="335CB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top"/>
                </w:tcPr>
                <w:p w14:paraId="301CA3C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0826F17C">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1m³挖掘机油动</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06698751">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台班</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762149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0.6</w:t>
                  </w:r>
                </w:p>
              </w:tc>
              <w:tc>
                <w:tcPr>
                  <w:tcW w:w="1284" w:type="dxa"/>
                  <w:tcBorders>
                    <w:top w:val="single" w:color="000000" w:sz="4" w:space="0"/>
                    <w:left w:val="single" w:color="000000" w:sz="4" w:space="0"/>
                    <w:bottom w:val="single" w:color="000000" w:sz="4" w:space="0"/>
                    <w:right w:val="single" w:color="000000" w:sz="4" w:space="0"/>
                  </w:tcBorders>
                  <w:noWrap w:val="0"/>
                  <w:vAlign w:val="top"/>
                </w:tcPr>
                <w:p w14:paraId="03C1219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942.15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47FBC6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565.29 </w:t>
                  </w:r>
                </w:p>
              </w:tc>
            </w:tr>
            <w:tr w14:paraId="5C15F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top"/>
                </w:tcPr>
                <w:p w14:paraId="1A69057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3DFCE35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8t自卸汽车</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3904F354">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台班</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56BF19D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5.76</w:t>
                  </w:r>
                </w:p>
              </w:tc>
              <w:tc>
                <w:tcPr>
                  <w:tcW w:w="1284" w:type="dxa"/>
                  <w:tcBorders>
                    <w:top w:val="single" w:color="000000" w:sz="4" w:space="0"/>
                    <w:left w:val="single" w:color="000000" w:sz="4" w:space="0"/>
                    <w:bottom w:val="single" w:color="000000" w:sz="4" w:space="0"/>
                    <w:right w:val="single" w:color="000000" w:sz="4" w:space="0"/>
                  </w:tcBorders>
                  <w:noWrap w:val="0"/>
                  <w:vAlign w:val="top"/>
                </w:tcPr>
                <w:p w14:paraId="5BAF3895">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700.21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113070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4033.21 </w:t>
                  </w:r>
                </w:p>
              </w:tc>
            </w:tr>
            <w:tr w14:paraId="4C935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top"/>
                </w:tcPr>
                <w:p w14:paraId="28F40614">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3</w:t>
                  </w: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0416F842">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其他费用</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2C13AAE5">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1C94D0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1284" w:type="dxa"/>
                  <w:tcBorders>
                    <w:top w:val="single" w:color="000000" w:sz="4" w:space="0"/>
                    <w:left w:val="single" w:color="000000" w:sz="4" w:space="0"/>
                    <w:bottom w:val="single" w:color="000000" w:sz="4" w:space="0"/>
                    <w:right w:val="single" w:color="000000" w:sz="4" w:space="0"/>
                  </w:tcBorders>
                  <w:noWrap w:val="0"/>
                  <w:vAlign w:val="top"/>
                </w:tcPr>
                <w:p w14:paraId="461D56A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7303.65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191259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0.00 </w:t>
                  </w:r>
                </w:p>
              </w:tc>
            </w:tr>
            <w:tr w14:paraId="1DDD3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top"/>
                </w:tcPr>
                <w:p w14:paraId="4E77B517">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（二）</w:t>
                  </w: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7FCCA04A">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措施费</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13944100">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044584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3.6</w:t>
                  </w:r>
                </w:p>
              </w:tc>
              <w:tc>
                <w:tcPr>
                  <w:tcW w:w="1284" w:type="dxa"/>
                  <w:tcBorders>
                    <w:top w:val="single" w:color="000000" w:sz="4" w:space="0"/>
                    <w:left w:val="single" w:color="000000" w:sz="4" w:space="0"/>
                    <w:bottom w:val="single" w:color="000000" w:sz="4" w:space="0"/>
                    <w:right w:val="single" w:color="000000" w:sz="4" w:space="0"/>
                  </w:tcBorders>
                  <w:noWrap w:val="0"/>
                  <w:vAlign w:val="top"/>
                </w:tcPr>
                <w:p w14:paraId="1F924DE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7303.65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18DE4F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262.93 </w:t>
                  </w:r>
                </w:p>
              </w:tc>
            </w:tr>
            <w:tr w14:paraId="391EC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top"/>
                </w:tcPr>
                <w:p w14:paraId="3A23FA45">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二</w:t>
                  </w: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0D4B2671">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间接费</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24D63C43">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46B613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1284" w:type="dxa"/>
                  <w:tcBorders>
                    <w:top w:val="single" w:color="000000" w:sz="4" w:space="0"/>
                    <w:left w:val="single" w:color="000000" w:sz="4" w:space="0"/>
                    <w:bottom w:val="single" w:color="000000" w:sz="4" w:space="0"/>
                    <w:right w:val="single" w:color="000000" w:sz="4" w:space="0"/>
                  </w:tcBorders>
                  <w:noWrap w:val="0"/>
                  <w:vAlign w:val="top"/>
                </w:tcPr>
                <w:p w14:paraId="77C050E7">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7566.58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0C598D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378.33 </w:t>
                  </w:r>
                </w:p>
              </w:tc>
            </w:tr>
            <w:tr w14:paraId="59206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top"/>
                </w:tcPr>
                <w:p w14:paraId="55AE1B65">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三</w:t>
                  </w: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5CFA42F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利润</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4A279D76">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24DEC0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284" w:type="dxa"/>
                  <w:tcBorders>
                    <w:top w:val="single" w:color="000000" w:sz="4" w:space="0"/>
                    <w:left w:val="single" w:color="000000" w:sz="4" w:space="0"/>
                    <w:bottom w:val="single" w:color="000000" w:sz="4" w:space="0"/>
                    <w:right w:val="single" w:color="000000" w:sz="4" w:space="0"/>
                  </w:tcBorders>
                  <w:noWrap w:val="0"/>
                  <w:vAlign w:val="top"/>
                </w:tcPr>
                <w:p w14:paraId="758F4B44">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7944.91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245A72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238.35 </w:t>
                  </w:r>
                </w:p>
              </w:tc>
            </w:tr>
            <w:tr w14:paraId="7D3E3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top"/>
                </w:tcPr>
                <w:p w14:paraId="23A94A0C">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四</w:t>
                  </w: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310FE73C">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材料价差</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4279962A">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kern w:val="0"/>
                      <w:sz w:val="21"/>
                      <w:szCs w:val="21"/>
                      <w:u w:val="none"/>
                      <w:lang w:val="en-US" w:eastAsia="zh-CN" w:bidi="ar"/>
                    </w:rPr>
                  </w:pP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373634B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noWrap w:val="0"/>
                  <w:vAlign w:val="top"/>
                </w:tcPr>
                <w:p w14:paraId="44388CB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top"/>
                </w:tcPr>
                <w:p w14:paraId="4375A81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1664.31</w:t>
                  </w:r>
                </w:p>
              </w:tc>
            </w:tr>
            <w:tr w14:paraId="03360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510"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top"/>
                </w:tcPr>
                <w:p w14:paraId="7C50F28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05A23042">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单斗挖掘机油动斗容1m³</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7EB12FC5">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kg</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7DF50A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43.2</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332F47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3.633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6A2B333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156.95 </w:t>
                  </w:r>
                </w:p>
              </w:tc>
            </w:tr>
            <w:tr w14:paraId="640EC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308"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top"/>
                </w:tcPr>
                <w:p w14:paraId="33B6F5F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48D087C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8t自卸汽车柴油</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2474E07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kg</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45672F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426.384</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180555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3.633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2C1302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1549.05 </w:t>
                  </w:r>
                </w:p>
              </w:tc>
            </w:tr>
            <w:tr w14:paraId="5AF73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top"/>
                </w:tcPr>
                <w:p w14:paraId="6E0834CF">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五</w:t>
                  </w: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5181E4FA">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税金</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2EC33271">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6BECE6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1284" w:type="dxa"/>
                  <w:tcBorders>
                    <w:top w:val="single" w:color="000000" w:sz="4" w:space="0"/>
                    <w:left w:val="single" w:color="000000" w:sz="4" w:space="0"/>
                    <w:bottom w:val="single" w:color="000000" w:sz="4" w:space="0"/>
                    <w:right w:val="single" w:color="000000" w:sz="4" w:space="0"/>
                  </w:tcBorders>
                  <w:noWrap w:val="0"/>
                  <w:vAlign w:val="top"/>
                </w:tcPr>
                <w:p w14:paraId="01FB2DFF">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9847.57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47F58D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886.28 </w:t>
                  </w:r>
                </w:p>
              </w:tc>
            </w:tr>
            <w:tr w14:paraId="6E184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3509" w:type="dxa"/>
                  <w:gridSpan w:val="2"/>
                  <w:tcBorders>
                    <w:top w:val="single" w:color="000000" w:sz="4" w:space="0"/>
                    <w:left w:val="single" w:color="000000" w:sz="4" w:space="0"/>
                    <w:bottom w:val="single" w:color="000000" w:sz="4" w:space="0"/>
                    <w:right w:val="single" w:color="000000" w:sz="4" w:space="0"/>
                  </w:tcBorders>
                  <w:noWrap w:val="0"/>
                  <w:vAlign w:val="top"/>
                </w:tcPr>
                <w:p w14:paraId="079AE97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u w:val="none"/>
                      <w:lang w:val="en-US" w:eastAsia="zh-CN" w:bidi="ar"/>
                    </w:rPr>
                    <w:t>合计</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1B2A661E">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kern w:val="0"/>
                      <w:sz w:val="21"/>
                      <w:szCs w:val="21"/>
                      <w:u w:val="none"/>
                      <w:lang w:val="en-US" w:eastAsia="zh-CN" w:bidi="ar"/>
                    </w:rPr>
                  </w:pP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3CFA009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noWrap w:val="0"/>
                  <w:vAlign w:val="top"/>
                </w:tcPr>
                <w:p w14:paraId="0662590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top"/>
                </w:tcPr>
                <w:p w14:paraId="20A772E0">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10733.85 </w:t>
                  </w:r>
                </w:p>
              </w:tc>
            </w:tr>
            <w:tr w14:paraId="196EC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67" w:type="dxa"/>
                  <w:tcBorders>
                    <w:top w:val="nil"/>
                    <w:left w:val="nil"/>
                    <w:bottom w:val="nil"/>
                    <w:right w:val="nil"/>
                  </w:tcBorders>
                  <w:noWrap w:val="0"/>
                  <w:vAlign w:val="center"/>
                </w:tcPr>
                <w:p w14:paraId="2A4413F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2042" w:type="dxa"/>
                  <w:tcBorders>
                    <w:top w:val="nil"/>
                    <w:left w:val="nil"/>
                    <w:bottom w:val="nil"/>
                    <w:right w:val="nil"/>
                  </w:tcBorders>
                  <w:noWrap w:val="0"/>
                  <w:vAlign w:val="center"/>
                </w:tcPr>
                <w:p w14:paraId="4FD601E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041" w:type="dxa"/>
                  <w:tcBorders>
                    <w:top w:val="nil"/>
                    <w:left w:val="nil"/>
                    <w:bottom w:val="nil"/>
                    <w:right w:val="nil"/>
                  </w:tcBorders>
                  <w:noWrap w:val="0"/>
                  <w:vAlign w:val="center"/>
                </w:tcPr>
                <w:p w14:paraId="427ABA1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248" w:type="dxa"/>
                  <w:tcBorders>
                    <w:top w:val="nil"/>
                    <w:left w:val="nil"/>
                    <w:bottom w:val="nil"/>
                    <w:right w:val="nil"/>
                  </w:tcBorders>
                  <w:noWrap w:val="0"/>
                  <w:vAlign w:val="center"/>
                </w:tcPr>
                <w:p w14:paraId="0896A10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284" w:type="dxa"/>
                  <w:tcBorders>
                    <w:top w:val="nil"/>
                    <w:left w:val="nil"/>
                    <w:bottom w:val="nil"/>
                    <w:right w:val="nil"/>
                  </w:tcBorders>
                  <w:noWrap w:val="0"/>
                  <w:vAlign w:val="center"/>
                </w:tcPr>
                <w:p w14:paraId="7CEBA48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538" w:type="dxa"/>
                  <w:gridSpan w:val="2"/>
                  <w:tcBorders>
                    <w:top w:val="nil"/>
                    <w:left w:val="nil"/>
                    <w:bottom w:val="nil"/>
                    <w:right w:val="nil"/>
                  </w:tcBorders>
                  <w:noWrap w:val="0"/>
                  <w:vAlign w:val="center"/>
                </w:tcPr>
                <w:p w14:paraId="0DAFC0C8">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highlight w:val="none"/>
                      <w:u w:val="none"/>
                    </w:rPr>
                  </w:pPr>
                </w:p>
              </w:tc>
            </w:tr>
            <w:tr w14:paraId="4B133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620" w:type="dxa"/>
                  <w:gridSpan w:val="7"/>
                  <w:tcBorders>
                    <w:top w:val="nil"/>
                    <w:left w:val="nil"/>
                    <w:bottom w:val="nil"/>
                    <w:right w:val="nil"/>
                  </w:tcBorders>
                  <w:noWrap w:val="0"/>
                  <w:vAlign w:val="center"/>
                </w:tcPr>
                <w:p w14:paraId="33C888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定额编号：10319（74kw推土机推土距离10m～20m)</w:t>
                  </w:r>
                </w:p>
              </w:tc>
            </w:tr>
            <w:tr w14:paraId="329B7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620" w:type="dxa"/>
                  <w:gridSpan w:val="7"/>
                  <w:tcBorders>
                    <w:top w:val="nil"/>
                    <w:left w:val="nil"/>
                    <w:bottom w:val="nil"/>
                    <w:right w:val="nil"/>
                  </w:tcBorders>
                  <w:noWrap w:val="0"/>
                  <w:vAlign w:val="center"/>
                </w:tcPr>
                <w:p w14:paraId="65A00A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工作内容：推松、运送、卸除、拖平、空回单位100m³</w:t>
                  </w:r>
                </w:p>
              </w:tc>
            </w:tr>
            <w:tr w14:paraId="20238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top"/>
                </w:tcPr>
                <w:p w14:paraId="64ADCD4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5742258F">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项目名称</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7923FB41">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单位</w:t>
                  </w:r>
                </w:p>
              </w:tc>
              <w:tc>
                <w:tcPr>
                  <w:tcW w:w="1248" w:type="dxa"/>
                  <w:tcBorders>
                    <w:top w:val="single" w:color="000000" w:sz="4" w:space="0"/>
                    <w:left w:val="single" w:color="000000" w:sz="4" w:space="0"/>
                    <w:bottom w:val="single" w:color="000000" w:sz="4" w:space="0"/>
                    <w:right w:val="single" w:color="000000" w:sz="4" w:space="0"/>
                  </w:tcBorders>
                  <w:noWrap w:val="0"/>
                  <w:vAlign w:val="top"/>
                </w:tcPr>
                <w:p w14:paraId="371B80F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数量</w:t>
                  </w:r>
                </w:p>
              </w:tc>
              <w:tc>
                <w:tcPr>
                  <w:tcW w:w="1284" w:type="dxa"/>
                  <w:tcBorders>
                    <w:top w:val="single" w:color="000000" w:sz="4" w:space="0"/>
                    <w:left w:val="single" w:color="000000" w:sz="4" w:space="0"/>
                    <w:bottom w:val="single" w:color="000000" w:sz="4" w:space="0"/>
                    <w:right w:val="single" w:color="000000" w:sz="4" w:space="0"/>
                  </w:tcBorders>
                  <w:noWrap w:val="0"/>
                  <w:vAlign w:val="top"/>
                </w:tcPr>
                <w:p w14:paraId="2299F063">
                  <w:pPr>
                    <w:keepNext w:val="0"/>
                    <w:keepLines w:val="0"/>
                    <w:widowControl/>
                    <w:suppressLineNumbers w:val="0"/>
                    <w:spacing w:before="0" w:beforeAutospacing="0" w:after="0" w:afterAutospacing="0"/>
                    <w:ind w:left="0" w:right="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单价</w:t>
                  </w:r>
                </w:p>
              </w:tc>
              <w:tc>
                <w:tcPr>
                  <w:tcW w:w="1531" w:type="dxa"/>
                  <w:tcBorders>
                    <w:top w:val="single" w:color="000000" w:sz="4" w:space="0"/>
                    <w:left w:val="single" w:color="000000" w:sz="4" w:space="0"/>
                    <w:bottom w:val="single" w:color="000000" w:sz="4" w:space="0"/>
                    <w:right w:val="single" w:color="000000" w:sz="4" w:space="0"/>
                  </w:tcBorders>
                  <w:noWrap w:val="0"/>
                  <w:vAlign w:val="top"/>
                </w:tcPr>
                <w:p w14:paraId="59FAF6D7">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小计（元）</w:t>
                  </w:r>
                </w:p>
              </w:tc>
            </w:tr>
            <w:tr w14:paraId="7DA69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338AE4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一</w:t>
                  </w: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2EC21090">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直接费</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7B8BABDA">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1"/>
                      <w:szCs w:val="21"/>
                      <w:highlight w:val="none"/>
                      <w:u w:val="none"/>
                    </w:rPr>
                  </w:pP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55696A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39331C5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60D4B5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244.78 </w:t>
                  </w:r>
                </w:p>
              </w:tc>
            </w:tr>
            <w:tr w14:paraId="0216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528EAB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（一）</w:t>
                  </w: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31CCA4B1">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直接工程费</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680C5255">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1"/>
                      <w:szCs w:val="21"/>
                      <w:highlight w:val="none"/>
                      <w:u w:val="none"/>
                    </w:rPr>
                  </w:pP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4B0981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76782DA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017325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236.27 </w:t>
                  </w:r>
                </w:p>
              </w:tc>
            </w:tr>
            <w:tr w14:paraId="7FB0F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18709E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6B5103F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人工费</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4B316869">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1"/>
                      <w:szCs w:val="21"/>
                      <w:highlight w:val="none"/>
                      <w:u w:val="none"/>
                    </w:rPr>
                  </w:pP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475D31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204DD76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176955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26.11 </w:t>
                  </w:r>
                </w:p>
              </w:tc>
            </w:tr>
            <w:tr w14:paraId="39EA3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37C59DB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2C0DD921">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甲类工</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36D11A3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工日</w:t>
                  </w:r>
                </w:p>
              </w:tc>
              <w:tc>
                <w:tcPr>
                  <w:tcW w:w="1248" w:type="dxa"/>
                  <w:tcBorders>
                    <w:top w:val="single" w:color="000000" w:sz="4" w:space="0"/>
                    <w:left w:val="single" w:color="000000" w:sz="4" w:space="0"/>
                    <w:bottom w:val="single" w:color="000000" w:sz="4" w:space="0"/>
                    <w:right w:val="single" w:color="000000" w:sz="4" w:space="0"/>
                  </w:tcBorders>
                  <w:noWrap w:val="0"/>
                  <w:vAlign w:val="top"/>
                </w:tcPr>
                <w:p w14:paraId="4FE72F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1F81916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52F966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0.00 </w:t>
                  </w:r>
                </w:p>
              </w:tc>
            </w:tr>
            <w:tr w14:paraId="2221A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03533B6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4633344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乙类工</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6AEC4561">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工日</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5FF471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宋体" w:hAnsi="宋体" w:eastAsia="宋体" w:cs="宋体"/>
                      <w:i w:val="0"/>
                      <w:iCs w:val="0"/>
                      <w:color w:val="000000"/>
                      <w:kern w:val="0"/>
                      <w:sz w:val="21"/>
                      <w:szCs w:val="21"/>
                      <w:highlight w:val="none"/>
                      <w:u w:val="none"/>
                      <w:lang w:val="en-US" w:eastAsia="zh-CN" w:bidi="ar"/>
                    </w:rPr>
                    <w:t>0.4</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2FF317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130.53</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018A4F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26.11 </w:t>
                  </w:r>
                </w:p>
              </w:tc>
            </w:tr>
            <w:tr w14:paraId="31088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6ABA61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621FCB2B">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机械费用</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6838457F">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1"/>
                      <w:szCs w:val="21"/>
                      <w:highlight w:val="none"/>
                      <w:u w:val="none"/>
                    </w:rPr>
                  </w:pP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59EED8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1F36E6E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06868F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198.92 </w:t>
                  </w:r>
                </w:p>
              </w:tc>
            </w:tr>
            <w:tr w14:paraId="7DD47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5740BB8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5C457A7F">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74kw推土机</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7311451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3A11B2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0.68</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344579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736.73</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053947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198.92 </w:t>
                  </w:r>
                </w:p>
              </w:tc>
            </w:tr>
            <w:tr w14:paraId="27E76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3F7F9D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0C3AD7A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其他费用</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716E497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5030EB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1E3064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225.02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0CB189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11.25 </w:t>
                  </w:r>
                </w:p>
              </w:tc>
            </w:tr>
            <w:tr w14:paraId="68094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540"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273100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（二）</w:t>
                  </w:r>
                </w:p>
              </w:tc>
              <w:tc>
                <w:tcPr>
                  <w:tcW w:w="2042" w:type="dxa"/>
                  <w:tcBorders>
                    <w:top w:val="single" w:color="000000" w:sz="4" w:space="0"/>
                    <w:left w:val="single" w:color="000000" w:sz="4" w:space="0"/>
                    <w:bottom w:val="single" w:color="000000" w:sz="4" w:space="0"/>
                    <w:right w:val="single" w:color="000000" w:sz="4" w:space="0"/>
                  </w:tcBorders>
                  <w:noWrap w:val="0"/>
                  <w:vAlign w:val="center"/>
                </w:tcPr>
                <w:p w14:paraId="3810C49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措施费</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0FA92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0A88C8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宋体" w:hAnsi="宋体" w:eastAsia="宋体" w:cs="宋体"/>
                      <w:i w:val="0"/>
                      <w:iCs w:val="0"/>
                      <w:color w:val="000000"/>
                      <w:kern w:val="0"/>
                      <w:sz w:val="21"/>
                      <w:szCs w:val="21"/>
                      <w:highlight w:val="none"/>
                      <w:u w:val="none"/>
                      <w:lang w:val="en-US" w:eastAsia="zh-CN" w:bidi="ar"/>
                    </w:rPr>
                    <w:t>3.6</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16E5FC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236.27</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1BBB477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8.51 </w:t>
                  </w:r>
                </w:p>
              </w:tc>
            </w:tr>
            <w:tr w14:paraId="1C658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1087B9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w:t>
                  </w: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3704081A">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间接费</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31068D30">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7DAB72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宋体" w:hAnsi="宋体" w:eastAsia="宋体" w:cs="宋体"/>
                      <w:i w:val="0"/>
                      <w:iCs w:val="0"/>
                      <w:color w:val="000000"/>
                      <w:kern w:val="0"/>
                      <w:sz w:val="21"/>
                      <w:szCs w:val="21"/>
                      <w:highlight w:val="none"/>
                      <w:u w:val="none"/>
                      <w:lang w:val="en-US" w:eastAsia="zh-CN" w:bidi="ar"/>
                    </w:rPr>
                    <w:t>5</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46CEC6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244.78</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759354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12.24 </w:t>
                  </w:r>
                </w:p>
              </w:tc>
            </w:tr>
            <w:tr w14:paraId="63C30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2D6D80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三</w:t>
                  </w: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64179E15">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利润</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655B990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0CFC66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宋体" w:hAnsi="宋体" w:eastAsia="宋体" w:cs="宋体"/>
                      <w:i w:val="0"/>
                      <w:iCs w:val="0"/>
                      <w:color w:val="000000"/>
                      <w:kern w:val="0"/>
                      <w:sz w:val="21"/>
                      <w:szCs w:val="21"/>
                      <w:highlight w:val="none"/>
                      <w:u w:val="none"/>
                      <w:lang w:val="en-US" w:eastAsia="zh-CN" w:bidi="ar"/>
                    </w:rPr>
                    <w:t>3</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0FAEDC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257.02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30328B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7.71 </w:t>
                  </w:r>
                </w:p>
              </w:tc>
            </w:tr>
            <w:tr w14:paraId="3386F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481DA7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四</w:t>
                  </w: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7DAB6102">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材料价差</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536089A6">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1"/>
                      <w:szCs w:val="21"/>
                      <w:highlight w:val="none"/>
                      <w:u w:val="none"/>
                    </w:rPr>
                  </w:pP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0559FD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41B06FC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2003E1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69.94 </w:t>
                  </w:r>
                </w:p>
              </w:tc>
            </w:tr>
            <w:tr w14:paraId="2A658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4C9A3D6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2042" w:type="dxa"/>
                  <w:tcBorders>
                    <w:top w:val="single" w:color="000000" w:sz="4" w:space="0"/>
                    <w:left w:val="single" w:color="000000" w:sz="4" w:space="0"/>
                    <w:bottom w:val="single" w:color="000000" w:sz="4" w:space="0"/>
                    <w:right w:val="single" w:color="000000" w:sz="4" w:space="0"/>
                  </w:tcBorders>
                  <w:noWrap w:val="0"/>
                  <w:vAlign w:val="center"/>
                </w:tcPr>
                <w:p w14:paraId="3A7F58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74kw推土机</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4AC9925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kg</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28B119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37.40 </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55654C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3.633</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38D8C3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69.94 </w:t>
                  </w:r>
                </w:p>
              </w:tc>
            </w:tr>
            <w:tr w14:paraId="721A9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5FF81E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五</w:t>
                  </w:r>
                </w:p>
              </w:tc>
              <w:tc>
                <w:tcPr>
                  <w:tcW w:w="2042" w:type="dxa"/>
                  <w:tcBorders>
                    <w:top w:val="single" w:color="000000" w:sz="4" w:space="0"/>
                    <w:left w:val="single" w:color="000000" w:sz="4" w:space="0"/>
                    <w:bottom w:val="single" w:color="000000" w:sz="4" w:space="0"/>
                    <w:right w:val="single" w:color="000000" w:sz="4" w:space="0"/>
                  </w:tcBorders>
                  <w:noWrap w:val="0"/>
                  <w:vAlign w:val="top"/>
                </w:tcPr>
                <w:p w14:paraId="4FA40DD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税金</w:t>
                  </w:r>
                </w:p>
              </w:tc>
              <w:tc>
                <w:tcPr>
                  <w:tcW w:w="1041" w:type="dxa"/>
                  <w:tcBorders>
                    <w:top w:val="single" w:color="000000" w:sz="4" w:space="0"/>
                    <w:left w:val="single" w:color="000000" w:sz="4" w:space="0"/>
                    <w:bottom w:val="single" w:color="000000" w:sz="4" w:space="0"/>
                    <w:right w:val="single" w:color="000000" w:sz="4" w:space="0"/>
                  </w:tcBorders>
                  <w:noWrap w:val="0"/>
                  <w:vAlign w:val="top"/>
                </w:tcPr>
                <w:p w14:paraId="2C754F0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71AC86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宋体" w:hAnsi="宋体" w:eastAsia="宋体" w:cs="宋体"/>
                      <w:i w:val="0"/>
                      <w:iCs w:val="0"/>
                      <w:color w:val="000000"/>
                      <w:kern w:val="0"/>
                      <w:sz w:val="21"/>
                      <w:szCs w:val="21"/>
                      <w:highlight w:val="none"/>
                      <w:u w:val="none"/>
                      <w:lang w:val="en-US" w:eastAsia="zh-CN" w:bidi="ar"/>
                    </w:rPr>
                    <w:t>9</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5010E8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334.66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44E6D6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30.12 </w:t>
                  </w:r>
                </w:p>
              </w:tc>
            </w:tr>
            <w:tr w14:paraId="66A79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410" w:hRule="atLeast"/>
                <w:jc w:val="center"/>
              </w:trPr>
              <w:tc>
                <w:tcPr>
                  <w:tcW w:w="3509" w:type="dxa"/>
                  <w:gridSpan w:val="2"/>
                  <w:tcBorders>
                    <w:top w:val="single" w:color="000000" w:sz="4" w:space="0"/>
                    <w:left w:val="single" w:color="000000" w:sz="4" w:space="0"/>
                    <w:bottom w:val="single" w:color="000000" w:sz="4" w:space="0"/>
                    <w:right w:val="single" w:color="000000" w:sz="4" w:space="0"/>
                  </w:tcBorders>
                  <w:noWrap w:val="0"/>
                  <w:vAlign w:val="top"/>
                </w:tcPr>
                <w:p w14:paraId="5931EDB7">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合计</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84B32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default" w:ascii="宋体" w:hAnsi="宋体" w:eastAsia="宋体" w:cs="宋体"/>
                      <w:i w:val="0"/>
                      <w:iCs w:val="0"/>
                      <w:color w:val="000000"/>
                      <w:kern w:val="0"/>
                      <w:sz w:val="21"/>
                      <w:szCs w:val="21"/>
                      <w:highlight w:val="none"/>
                      <w:u w:val="none"/>
                      <w:lang w:val="en-US" w:eastAsia="zh-CN" w:bidi="ar"/>
                    </w:rPr>
                    <w:t>3.6</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02A5DA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71AFA99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2A2E21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364.78 </w:t>
                  </w:r>
                </w:p>
              </w:tc>
            </w:tr>
            <w:tr w14:paraId="7DE58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67" w:type="dxa"/>
                  <w:tcBorders>
                    <w:top w:val="nil"/>
                    <w:left w:val="nil"/>
                    <w:bottom w:val="nil"/>
                    <w:right w:val="nil"/>
                  </w:tcBorders>
                  <w:noWrap/>
                  <w:vAlign w:val="center"/>
                </w:tcPr>
                <w:p w14:paraId="654B6EF3">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highlight w:val="none"/>
                      <w:u w:val="none"/>
                    </w:rPr>
                  </w:pPr>
                </w:p>
              </w:tc>
              <w:tc>
                <w:tcPr>
                  <w:tcW w:w="2042" w:type="dxa"/>
                  <w:tcBorders>
                    <w:top w:val="nil"/>
                    <w:left w:val="nil"/>
                    <w:bottom w:val="nil"/>
                    <w:right w:val="nil"/>
                  </w:tcBorders>
                  <w:noWrap/>
                  <w:vAlign w:val="center"/>
                </w:tcPr>
                <w:p w14:paraId="66D857E1">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highlight w:val="none"/>
                      <w:u w:val="none"/>
                    </w:rPr>
                  </w:pPr>
                </w:p>
              </w:tc>
              <w:tc>
                <w:tcPr>
                  <w:tcW w:w="1041" w:type="dxa"/>
                  <w:tcBorders>
                    <w:top w:val="nil"/>
                    <w:left w:val="nil"/>
                    <w:bottom w:val="nil"/>
                    <w:right w:val="nil"/>
                  </w:tcBorders>
                  <w:noWrap/>
                  <w:vAlign w:val="center"/>
                </w:tcPr>
                <w:p w14:paraId="0BE45D7E">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highlight w:val="none"/>
                      <w:u w:val="none"/>
                    </w:rPr>
                  </w:pPr>
                </w:p>
              </w:tc>
              <w:tc>
                <w:tcPr>
                  <w:tcW w:w="1248" w:type="dxa"/>
                  <w:tcBorders>
                    <w:top w:val="nil"/>
                    <w:left w:val="nil"/>
                    <w:bottom w:val="nil"/>
                    <w:right w:val="nil"/>
                  </w:tcBorders>
                  <w:noWrap/>
                  <w:vAlign w:val="center"/>
                </w:tcPr>
                <w:p w14:paraId="54D6A902">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highlight w:val="none"/>
                      <w:u w:val="none"/>
                    </w:rPr>
                  </w:pPr>
                </w:p>
              </w:tc>
              <w:tc>
                <w:tcPr>
                  <w:tcW w:w="1284" w:type="dxa"/>
                  <w:tcBorders>
                    <w:top w:val="nil"/>
                    <w:left w:val="nil"/>
                    <w:bottom w:val="nil"/>
                    <w:right w:val="nil"/>
                  </w:tcBorders>
                  <w:noWrap/>
                  <w:vAlign w:val="center"/>
                </w:tcPr>
                <w:p w14:paraId="57462637">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highlight w:val="none"/>
                      <w:u w:val="none"/>
                    </w:rPr>
                  </w:pPr>
                </w:p>
              </w:tc>
              <w:tc>
                <w:tcPr>
                  <w:tcW w:w="1538" w:type="dxa"/>
                  <w:gridSpan w:val="2"/>
                  <w:tcBorders>
                    <w:top w:val="nil"/>
                    <w:left w:val="nil"/>
                    <w:bottom w:val="nil"/>
                    <w:right w:val="nil"/>
                  </w:tcBorders>
                  <w:noWrap/>
                  <w:vAlign w:val="center"/>
                </w:tcPr>
                <w:p w14:paraId="71D9630C">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highlight w:val="none"/>
                      <w:u w:val="none"/>
                    </w:rPr>
                  </w:pPr>
                </w:p>
              </w:tc>
            </w:tr>
            <w:tr w14:paraId="282ED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620" w:type="dxa"/>
                  <w:gridSpan w:val="7"/>
                  <w:tcBorders>
                    <w:top w:val="nil"/>
                    <w:left w:val="nil"/>
                    <w:bottom w:val="nil"/>
                    <w:right w:val="nil"/>
                  </w:tcBorders>
                  <w:noWrap w:val="0"/>
                  <w:vAlign w:val="center"/>
                </w:tcPr>
                <w:p w14:paraId="5AC3F0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定额编号：XB40012（硬化拆除)</w:t>
                  </w:r>
                </w:p>
              </w:tc>
            </w:tr>
            <w:tr w14:paraId="18494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620" w:type="dxa"/>
                  <w:gridSpan w:val="7"/>
                  <w:tcBorders>
                    <w:top w:val="nil"/>
                    <w:left w:val="nil"/>
                    <w:bottom w:val="nil"/>
                    <w:right w:val="nil"/>
                  </w:tcBorders>
                  <w:noWrap w:val="0"/>
                  <w:vAlign w:val="center"/>
                </w:tcPr>
                <w:p w14:paraId="42D355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工作内容：拆除、清理、堆放单位100m³</w:t>
                  </w:r>
                </w:p>
              </w:tc>
            </w:tr>
            <w:tr w14:paraId="58E12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7A6634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2042" w:type="dxa"/>
                  <w:tcBorders>
                    <w:top w:val="single" w:color="000000" w:sz="4" w:space="0"/>
                    <w:left w:val="single" w:color="000000" w:sz="4" w:space="0"/>
                    <w:bottom w:val="single" w:color="000000" w:sz="4" w:space="0"/>
                    <w:right w:val="single" w:color="000000" w:sz="4" w:space="0"/>
                  </w:tcBorders>
                  <w:noWrap w:val="0"/>
                  <w:vAlign w:val="center"/>
                </w:tcPr>
                <w:p w14:paraId="02AB34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项目名称</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B7B10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单位</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5DB341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数量</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6BB26C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单价</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666220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小计（元）</w:t>
                  </w:r>
                </w:p>
              </w:tc>
            </w:tr>
            <w:tr w14:paraId="4B52B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21462B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一</w:t>
                  </w:r>
                </w:p>
              </w:tc>
              <w:tc>
                <w:tcPr>
                  <w:tcW w:w="2042" w:type="dxa"/>
                  <w:tcBorders>
                    <w:top w:val="single" w:color="000000" w:sz="4" w:space="0"/>
                    <w:left w:val="single" w:color="000000" w:sz="4" w:space="0"/>
                    <w:bottom w:val="single" w:color="000000" w:sz="4" w:space="0"/>
                    <w:right w:val="single" w:color="000000" w:sz="4" w:space="0"/>
                  </w:tcBorders>
                  <w:noWrap w:val="0"/>
                  <w:vAlign w:val="center"/>
                </w:tcPr>
                <w:p w14:paraId="11E323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直接费</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A354E1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47B6F2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72C6138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569FE5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 xml:space="preserve">7054.13 </w:t>
                  </w:r>
                </w:p>
              </w:tc>
            </w:tr>
            <w:tr w14:paraId="37881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05D521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（一）</w:t>
                  </w:r>
                </w:p>
              </w:tc>
              <w:tc>
                <w:tcPr>
                  <w:tcW w:w="2042" w:type="dxa"/>
                  <w:tcBorders>
                    <w:top w:val="single" w:color="000000" w:sz="4" w:space="0"/>
                    <w:left w:val="single" w:color="000000" w:sz="4" w:space="0"/>
                    <w:bottom w:val="single" w:color="000000" w:sz="4" w:space="0"/>
                    <w:right w:val="single" w:color="000000" w:sz="4" w:space="0"/>
                  </w:tcBorders>
                  <w:noWrap w:val="0"/>
                  <w:vAlign w:val="center"/>
                </w:tcPr>
                <w:p w14:paraId="1F6ABD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直接工程费</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016A54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433B59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6189F81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35EF87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 xml:space="preserve">6809.00 </w:t>
                  </w:r>
                </w:p>
              </w:tc>
            </w:tr>
            <w:tr w14:paraId="34442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25714D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042" w:type="dxa"/>
                  <w:tcBorders>
                    <w:top w:val="single" w:color="000000" w:sz="4" w:space="0"/>
                    <w:left w:val="single" w:color="000000" w:sz="4" w:space="0"/>
                    <w:bottom w:val="single" w:color="000000" w:sz="4" w:space="0"/>
                    <w:right w:val="single" w:color="000000" w:sz="4" w:space="0"/>
                  </w:tcBorders>
                  <w:noWrap w:val="0"/>
                  <w:vAlign w:val="center"/>
                </w:tcPr>
                <w:p w14:paraId="4BC079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人工费</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26B8B3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1A0A2F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0053072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67DDFE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 xml:space="preserve">261.06 </w:t>
                  </w:r>
                </w:p>
              </w:tc>
            </w:tr>
            <w:tr w14:paraId="6DC82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2B2A795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2042" w:type="dxa"/>
                  <w:tcBorders>
                    <w:top w:val="single" w:color="000000" w:sz="4" w:space="0"/>
                    <w:left w:val="single" w:color="000000" w:sz="4" w:space="0"/>
                    <w:bottom w:val="single" w:color="000000" w:sz="4" w:space="0"/>
                    <w:right w:val="single" w:color="000000" w:sz="4" w:space="0"/>
                  </w:tcBorders>
                  <w:noWrap w:val="0"/>
                  <w:vAlign w:val="center"/>
                </w:tcPr>
                <w:p w14:paraId="37B70C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甲类工</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2274B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工日</w:t>
                  </w:r>
                </w:p>
              </w:tc>
              <w:tc>
                <w:tcPr>
                  <w:tcW w:w="1248" w:type="dxa"/>
                  <w:tcBorders>
                    <w:top w:val="single" w:color="000000" w:sz="4" w:space="0"/>
                    <w:left w:val="single" w:color="000000" w:sz="4" w:space="0"/>
                    <w:bottom w:val="single" w:color="000000" w:sz="4" w:space="0"/>
                    <w:right w:val="single" w:color="000000" w:sz="4" w:space="0"/>
                  </w:tcBorders>
                  <w:noWrap w:val="0"/>
                  <w:vAlign w:val="top"/>
                </w:tcPr>
                <w:p w14:paraId="6797C2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noWrap w:val="0"/>
                  <w:vAlign w:val="top"/>
                </w:tcPr>
                <w:p w14:paraId="419F353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32062C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 xml:space="preserve">0.00 </w:t>
                  </w:r>
                </w:p>
              </w:tc>
            </w:tr>
            <w:tr w14:paraId="3B535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210221F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2042" w:type="dxa"/>
                  <w:tcBorders>
                    <w:top w:val="single" w:color="000000" w:sz="4" w:space="0"/>
                    <w:left w:val="single" w:color="000000" w:sz="4" w:space="0"/>
                    <w:bottom w:val="single" w:color="000000" w:sz="4" w:space="0"/>
                    <w:right w:val="single" w:color="000000" w:sz="4" w:space="0"/>
                  </w:tcBorders>
                  <w:noWrap w:val="0"/>
                  <w:vAlign w:val="center"/>
                </w:tcPr>
                <w:p w14:paraId="103518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乙类工</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483B8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工日</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21B66A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宋体" w:hAnsi="宋体" w:eastAsia="宋体" w:cs="宋体"/>
                      <w:i w:val="0"/>
                      <w:iCs w:val="0"/>
                      <w:color w:val="000000"/>
                      <w:kern w:val="0"/>
                      <w:sz w:val="21"/>
                      <w:szCs w:val="21"/>
                      <w:highlight w:val="none"/>
                      <w:u w:val="none"/>
                      <w:lang w:val="en-US" w:eastAsia="zh-CN" w:bidi="ar"/>
                    </w:rPr>
                    <w:t>2</w:t>
                  </w:r>
                </w:p>
              </w:tc>
              <w:tc>
                <w:tcPr>
                  <w:tcW w:w="1284" w:type="dxa"/>
                  <w:tcBorders>
                    <w:top w:val="single" w:color="000000" w:sz="4" w:space="0"/>
                    <w:left w:val="single" w:color="000000" w:sz="4" w:space="0"/>
                    <w:bottom w:val="single" w:color="000000" w:sz="4" w:space="0"/>
                    <w:right w:val="single" w:color="000000" w:sz="4" w:space="0"/>
                  </w:tcBorders>
                  <w:noWrap w:val="0"/>
                  <w:vAlign w:val="top"/>
                </w:tcPr>
                <w:p w14:paraId="5BEC0560">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130.53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70330F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261.06 </w:t>
                  </w:r>
                </w:p>
              </w:tc>
            </w:tr>
            <w:tr w14:paraId="4249A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142671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2042" w:type="dxa"/>
                  <w:tcBorders>
                    <w:top w:val="single" w:color="000000" w:sz="4" w:space="0"/>
                    <w:left w:val="single" w:color="000000" w:sz="4" w:space="0"/>
                    <w:bottom w:val="single" w:color="000000" w:sz="4" w:space="0"/>
                    <w:right w:val="single" w:color="000000" w:sz="4" w:space="0"/>
                  </w:tcBorders>
                  <w:noWrap w:val="0"/>
                  <w:vAlign w:val="center"/>
                </w:tcPr>
                <w:p w14:paraId="7CE2A6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机械费用</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3C28C9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6AF867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6AD47BC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1E11D0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 xml:space="preserve">6547.94 </w:t>
                  </w:r>
                </w:p>
              </w:tc>
            </w:tr>
            <w:tr w14:paraId="51236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540"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0ECD830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2042" w:type="dxa"/>
                  <w:tcBorders>
                    <w:top w:val="single" w:color="000000" w:sz="4" w:space="0"/>
                    <w:left w:val="single" w:color="000000" w:sz="4" w:space="0"/>
                    <w:bottom w:val="single" w:color="000000" w:sz="4" w:space="0"/>
                    <w:right w:val="single" w:color="000000" w:sz="4" w:space="0"/>
                  </w:tcBorders>
                  <w:noWrap w:val="0"/>
                  <w:vAlign w:val="center"/>
                </w:tcPr>
                <w:p w14:paraId="494F8C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单斗挖掘机油动斗容1m³</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4F58C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212DE2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6.95</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663B77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942.15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3F757D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6547.94 </w:t>
                  </w:r>
                </w:p>
              </w:tc>
            </w:tr>
            <w:tr w14:paraId="08576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7DB095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2042" w:type="dxa"/>
                  <w:tcBorders>
                    <w:top w:val="single" w:color="000000" w:sz="4" w:space="0"/>
                    <w:left w:val="single" w:color="000000" w:sz="4" w:space="0"/>
                    <w:bottom w:val="single" w:color="000000" w:sz="4" w:space="0"/>
                    <w:right w:val="single" w:color="000000" w:sz="4" w:space="0"/>
                  </w:tcBorders>
                  <w:noWrap w:val="0"/>
                  <w:vAlign w:val="center"/>
                </w:tcPr>
                <w:p w14:paraId="7AC433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其他费用</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73175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23959A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300017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6798.20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7DC131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339.91 </w:t>
                  </w:r>
                </w:p>
              </w:tc>
            </w:tr>
            <w:tr w14:paraId="7267E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35088F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w:t>
                  </w:r>
                </w:p>
              </w:tc>
              <w:tc>
                <w:tcPr>
                  <w:tcW w:w="2042" w:type="dxa"/>
                  <w:tcBorders>
                    <w:top w:val="single" w:color="000000" w:sz="4" w:space="0"/>
                    <w:left w:val="single" w:color="000000" w:sz="4" w:space="0"/>
                    <w:bottom w:val="single" w:color="000000" w:sz="4" w:space="0"/>
                    <w:right w:val="single" w:color="000000" w:sz="4" w:space="0"/>
                  </w:tcBorders>
                  <w:noWrap w:val="0"/>
                  <w:vAlign w:val="center"/>
                </w:tcPr>
                <w:p w14:paraId="3A0F14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措施费</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275517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2EA591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宋体" w:hAnsi="宋体" w:eastAsia="宋体" w:cs="宋体"/>
                      <w:i w:val="0"/>
                      <w:iCs w:val="0"/>
                      <w:color w:val="000000"/>
                      <w:kern w:val="0"/>
                      <w:sz w:val="21"/>
                      <w:szCs w:val="21"/>
                      <w:highlight w:val="none"/>
                      <w:u w:val="none"/>
                      <w:lang w:val="en-US" w:eastAsia="zh-CN" w:bidi="ar"/>
                    </w:rPr>
                    <w:t>3.6</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1AA624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6809.00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58F6A9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245.12 </w:t>
                  </w:r>
                </w:p>
              </w:tc>
            </w:tr>
            <w:tr w14:paraId="15971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0F893B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w:t>
                  </w:r>
                </w:p>
              </w:tc>
              <w:tc>
                <w:tcPr>
                  <w:tcW w:w="2042" w:type="dxa"/>
                  <w:tcBorders>
                    <w:top w:val="single" w:color="000000" w:sz="4" w:space="0"/>
                    <w:left w:val="single" w:color="000000" w:sz="4" w:space="0"/>
                    <w:bottom w:val="single" w:color="000000" w:sz="4" w:space="0"/>
                    <w:right w:val="single" w:color="000000" w:sz="4" w:space="0"/>
                  </w:tcBorders>
                  <w:noWrap w:val="0"/>
                  <w:vAlign w:val="center"/>
                </w:tcPr>
                <w:p w14:paraId="4476AE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间接费</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2117CE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655904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宋体" w:hAnsi="宋体" w:eastAsia="宋体" w:cs="宋体"/>
                      <w:i w:val="0"/>
                      <w:iCs w:val="0"/>
                      <w:color w:val="000000"/>
                      <w:kern w:val="0"/>
                      <w:sz w:val="21"/>
                      <w:szCs w:val="21"/>
                      <w:highlight w:val="none"/>
                      <w:u w:val="none"/>
                      <w:lang w:val="en-US" w:eastAsia="zh-CN" w:bidi="ar"/>
                    </w:rPr>
                    <w:t>5</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4B5832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7054.13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453F45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352.71 </w:t>
                  </w:r>
                </w:p>
              </w:tc>
            </w:tr>
            <w:tr w14:paraId="059AE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25E29D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三</w:t>
                  </w:r>
                </w:p>
              </w:tc>
              <w:tc>
                <w:tcPr>
                  <w:tcW w:w="2042" w:type="dxa"/>
                  <w:tcBorders>
                    <w:top w:val="single" w:color="000000" w:sz="4" w:space="0"/>
                    <w:left w:val="single" w:color="000000" w:sz="4" w:space="0"/>
                    <w:bottom w:val="single" w:color="000000" w:sz="4" w:space="0"/>
                    <w:right w:val="single" w:color="000000" w:sz="4" w:space="0"/>
                  </w:tcBorders>
                  <w:noWrap w:val="0"/>
                  <w:vAlign w:val="center"/>
                </w:tcPr>
                <w:p w14:paraId="46EA60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利润</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23670E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2D42A5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宋体" w:hAnsi="宋体" w:eastAsia="宋体" w:cs="宋体"/>
                      <w:i w:val="0"/>
                      <w:iCs w:val="0"/>
                      <w:color w:val="000000"/>
                      <w:kern w:val="0"/>
                      <w:sz w:val="21"/>
                      <w:szCs w:val="21"/>
                      <w:highlight w:val="none"/>
                      <w:u w:val="none"/>
                      <w:lang w:val="en-US" w:eastAsia="zh-CN" w:bidi="ar"/>
                    </w:rPr>
                    <w:t>3</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77EC6C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7406.83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1E2BA7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eastAsia" w:ascii="宋体" w:hAnsi="宋体" w:eastAsia="宋体" w:cs="宋体"/>
                      <w:b w:val="0"/>
                      <w:bCs/>
                      <w:i w:val="0"/>
                      <w:color w:val="000000"/>
                      <w:kern w:val="0"/>
                      <w:sz w:val="21"/>
                      <w:szCs w:val="21"/>
                      <w:u w:val="none"/>
                      <w:lang w:val="en-US" w:eastAsia="zh-CN" w:bidi="ar"/>
                    </w:rPr>
                    <w:t xml:space="preserve">222.20 </w:t>
                  </w:r>
                </w:p>
              </w:tc>
            </w:tr>
            <w:tr w14:paraId="1E462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2944DE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四</w:t>
                  </w:r>
                </w:p>
              </w:tc>
              <w:tc>
                <w:tcPr>
                  <w:tcW w:w="2042" w:type="dxa"/>
                  <w:tcBorders>
                    <w:top w:val="single" w:color="000000" w:sz="4" w:space="0"/>
                    <w:left w:val="single" w:color="000000" w:sz="4" w:space="0"/>
                    <w:bottom w:val="single" w:color="000000" w:sz="4" w:space="0"/>
                    <w:right w:val="single" w:color="000000" w:sz="4" w:space="0"/>
                  </w:tcBorders>
                  <w:noWrap w:val="0"/>
                  <w:vAlign w:val="center"/>
                </w:tcPr>
                <w:p w14:paraId="528982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材料价差</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2454CF0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00C760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346ED57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0E5A8C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000000"/>
                      <w:kern w:val="0"/>
                      <w:sz w:val="21"/>
                      <w:szCs w:val="21"/>
                      <w:highlight w:val="none"/>
                      <w:u w:val="none"/>
                      <w:lang w:val="en-US" w:eastAsia="zh-CN" w:bidi="ar"/>
                    </w:rPr>
                  </w:pPr>
                  <w:r>
                    <w:rPr>
                      <w:rFonts w:hint="default" w:ascii="Times New Roman" w:hAnsi="Times New Roman" w:eastAsia="宋体" w:cs="Times New Roman"/>
                      <w:b w:val="0"/>
                      <w:bCs/>
                      <w:i w:val="0"/>
                      <w:color w:val="000000"/>
                      <w:kern w:val="0"/>
                      <w:sz w:val="21"/>
                      <w:szCs w:val="21"/>
                      <w:u w:val="none"/>
                      <w:lang w:val="en-US" w:eastAsia="zh-CN" w:bidi="ar"/>
                    </w:rPr>
                    <w:t xml:space="preserve">1817.95 </w:t>
                  </w:r>
                </w:p>
              </w:tc>
            </w:tr>
            <w:tr w14:paraId="16DD3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540"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1575ED4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2042" w:type="dxa"/>
                  <w:tcBorders>
                    <w:top w:val="single" w:color="000000" w:sz="4" w:space="0"/>
                    <w:left w:val="single" w:color="000000" w:sz="4" w:space="0"/>
                    <w:bottom w:val="single" w:color="000000" w:sz="4" w:space="0"/>
                    <w:right w:val="single" w:color="000000" w:sz="4" w:space="0"/>
                  </w:tcBorders>
                  <w:noWrap w:val="0"/>
                  <w:vAlign w:val="center"/>
                </w:tcPr>
                <w:p w14:paraId="02549E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单斗挖掘机油动斗容1m³</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4AA43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kg</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42FD04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500.4</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76DCBC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3.633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0FCA97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 xml:space="preserve">1817.95 </w:t>
                  </w:r>
                </w:p>
              </w:tc>
            </w:tr>
            <w:tr w14:paraId="52376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1467" w:type="dxa"/>
                  <w:tcBorders>
                    <w:top w:val="single" w:color="000000" w:sz="4" w:space="0"/>
                    <w:left w:val="single" w:color="000000" w:sz="4" w:space="0"/>
                    <w:bottom w:val="single" w:color="000000" w:sz="4" w:space="0"/>
                    <w:right w:val="single" w:color="000000" w:sz="4" w:space="0"/>
                  </w:tcBorders>
                  <w:noWrap w:val="0"/>
                  <w:vAlign w:val="center"/>
                </w:tcPr>
                <w:p w14:paraId="26E837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五</w:t>
                  </w:r>
                </w:p>
              </w:tc>
              <w:tc>
                <w:tcPr>
                  <w:tcW w:w="2042" w:type="dxa"/>
                  <w:tcBorders>
                    <w:top w:val="single" w:color="000000" w:sz="4" w:space="0"/>
                    <w:left w:val="single" w:color="000000" w:sz="4" w:space="0"/>
                    <w:bottom w:val="single" w:color="000000" w:sz="4" w:space="0"/>
                    <w:right w:val="single" w:color="000000" w:sz="4" w:space="0"/>
                  </w:tcBorders>
                  <w:noWrap w:val="0"/>
                  <w:vAlign w:val="center"/>
                </w:tcPr>
                <w:p w14:paraId="3E3996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税金</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261DE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705FA7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宋体" w:hAnsi="宋体" w:eastAsia="宋体" w:cs="宋体"/>
                      <w:i w:val="0"/>
                      <w:iCs w:val="0"/>
                      <w:color w:val="000000"/>
                      <w:kern w:val="0"/>
                      <w:sz w:val="21"/>
                      <w:szCs w:val="21"/>
                      <w:highlight w:val="none"/>
                      <w:u w:val="none"/>
                      <w:lang w:val="en-US" w:eastAsia="zh-CN" w:bidi="ar"/>
                    </w:rPr>
                    <w:t>9</w:t>
                  </w: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4D3B82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 xml:space="preserve">9446.99 </w:t>
                  </w: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536DB4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u w:val="none"/>
                      <w:lang w:val="en-US" w:eastAsia="zh-CN" w:bidi="ar"/>
                    </w:rPr>
                    <w:t xml:space="preserve">850.23 </w:t>
                  </w:r>
                </w:p>
              </w:tc>
            </w:tr>
            <w:tr w14:paraId="7A295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Height w:val="285" w:hRule="atLeast"/>
                <w:jc w:val="center"/>
              </w:trPr>
              <w:tc>
                <w:tcPr>
                  <w:tcW w:w="3509" w:type="dxa"/>
                  <w:gridSpan w:val="2"/>
                  <w:tcBorders>
                    <w:top w:val="single" w:color="000000" w:sz="4" w:space="0"/>
                    <w:left w:val="single" w:color="000000" w:sz="4" w:space="0"/>
                    <w:bottom w:val="single" w:color="000000" w:sz="4" w:space="0"/>
                    <w:right w:val="single" w:color="000000" w:sz="4" w:space="0"/>
                  </w:tcBorders>
                  <w:noWrap w:val="0"/>
                  <w:vAlign w:val="center"/>
                </w:tcPr>
                <w:p w14:paraId="6C534E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合计</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513A68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1248" w:type="dxa"/>
                  <w:tcBorders>
                    <w:top w:val="single" w:color="000000" w:sz="4" w:space="0"/>
                    <w:left w:val="single" w:color="000000" w:sz="4" w:space="0"/>
                    <w:bottom w:val="single" w:color="000000" w:sz="4" w:space="0"/>
                    <w:right w:val="single" w:color="000000" w:sz="4" w:space="0"/>
                  </w:tcBorders>
                  <w:noWrap w:val="0"/>
                  <w:vAlign w:val="center"/>
                </w:tcPr>
                <w:p w14:paraId="5436E0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noWrap w:val="0"/>
                  <w:vAlign w:val="center"/>
                </w:tcPr>
                <w:p w14:paraId="51AE2E6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21"/>
                      <w:szCs w:val="21"/>
                      <w:highlight w:val="none"/>
                      <w:u w:val="none"/>
                      <w:lang w:val="en-US" w:eastAsia="zh-CN" w:bidi="ar"/>
                    </w:rPr>
                  </w:pPr>
                </w:p>
              </w:tc>
              <w:tc>
                <w:tcPr>
                  <w:tcW w:w="1531" w:type="dxa"/>
                  <w:tcBorders>
                    <w:top w:val="single" w:color="000000" w:sz="4" w:space="0"/>
                    <w:left w:val="single" w:color="000000" w:sz="4" w:space="0"/>
                    <w:bottom w:val="single" w:color="000000" w:sz="4" w:space="0"/>
                    <w:right w:val="single" w:color="000000" w:sz="4" w:space="0"/>
                  </w:tcBorders>
                  <w:noWrap w:val="0"/>
                  <w:vAlign w:val="center"/>
                </w:tcPr>
                <w:p w14:paraId="4D6C5F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u w:val="none"/>
                      <w:lang w:val="en-US" w:eastAsia="zh-CN" w:bidi="ar"/>
                    </w:rPr>
                    <w:t xml:space="preserve">10297.22 </w:t>
                  </w:r>
                </w:p>
              </w:tc>
            </w:tr>
          </w:tbl>
          <w:p w14:paraId="2FEBD4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highlight w:val="none"/>
                <w:u w:val="none"/>
                <w:lang w:val="en-US" w:eastAsia="zh-CN" w:bidi="ar"/>
              </w:rPr>
            </w:pPr>
          </w:p>
          <w:p w14:paraId="33B3CE94">
            <w:pPr>
              <w:keepNext w:val="0"/>
              <w:keepLines w:val="0"/>
              <w:suppressLineNumbers w:val="0"/>
              <w:spacing w:before="0" w:beforeAutospacing="0" w:after="0" w:afterAutospacing="0" w:line="440" w:lineRule="exact"/>
              <w:ind w:left="0" w:right="0" w:firstLine="482" w:firstLineChars="200"/>
              <w:rPr>
                <w:rFonts w:hint="eastAsia" w:ascii="宋体" w:hAnsi="宋体" w:eastAsia="宋体" w:cs="Times New Roman"/>
                <w:b/>
                <w:bCs/>
                <w:color w:val="000000"/>
                <w:sz w:val="24"/>
                <w:highlight w:val="none"/>
              </w:rPr>
            </w:pPr>
            <w:r>
              <w:rPr>
                <w:rFonts w:hint="eastAsia" w:ascii="宋体" w:hAnsi="宋体" w:eastAsia="宋体" w:cs="Times New Roman"/>
                <w:b/>
                <w:bCs/>
                <w:color w:val="000000"/>
                <w:sz w:val="24"/>
                <w:highlight w:val="none"/>
              </w:rPr>
              <w:t>八、土地复垦服务年限与复垦工作计划安排</w:t>
            </w:r>
          </w:p>
          <w:p w14:paraId="7FF94962">
            <w:pPr>
              <w:pStyle w:val="6"/>
              <w:suppressLineNumbers w:val="0"/>
              <w:spacing w:before="0" w:beforeAutospacing="0" w:after="0" w:afterAutospacing="0"/>
              <w:ind w:left="0" w:right="0"/>
              <w:outlineLvl w:val="3"/>
              <w:rPr>
                <w:rFonts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8.1</w:t>
            </w:r>
            <w:r>
              <w:rPr>
                <w:rFonts w:hint="eastAsia" w:ascii="宋体" w:hAnsi="宋体" w:eastAsia="宋体" w:cs="Times New Roman"/>
                <w:color w:val="000000"/>
                <w:sz w:val="24"/>
                <w:highlight w:val="none"/>
              </w:rPr>
              <w:t>土地复垦服务年限</w:t>
            </w:r>
          </w:p>
          <w:p w14:paraId="31CC99CE">
            <w:pPr>
              <w:keepNext w:val="0"/>
              <w:keepLines w:val="0"/>
              <w:suppressLineNumbers w:val="0"/>
              <w:spacing w:before="0" w:beforeAutospacing="0" w:after="0" w:afterAutospacing="0" w:line="440" w:lineRule="exact"/>
              <w:ind w:left="0" w:right="0" w:firstLine="460" w:firstLineChars="192"/>
              <w:rPr>
                <w:rFonts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本项目</w:t>
            </w:r>
            <w:r>
              <w:rPr>
                <w:rFonts w:hint="eastAsia" w:ascii="宋体" w:hAnsi="宋体" w:eastAsia="宋体" w:cs="Times New Roman"/>
                <w:color w:val="000000"/>
                <w:sz w:val="24"/>
                <w:highlight w:val="none"/>
                <w:lang w:eastAsia="zh-CN"/>
              </w:rPr>
              <w:t>临时用地</w:t>
            </w:r>
            <w:r>
              <w:rPr>
                <w:rFonts w:hint="eastAsia" w:ascii="宋体" w:hAnsi="宋体" w:eastAsia="宋体" w:cs="Times New Roman"/>
                <w:color w:val="000000"/>
                <w:sz w:val="24"/>
                <w:highlight w:val="none"/>
              </w:rPr>
              <w:t>土地复垦施工设计</w:t>
            </w:r>
            <w:r>
              <w:rPr>
                <w:rFonts w:ascii="宋体" w:hAnsi="宋体" w:eastAsia="宋体" w:cs="Times New Roman"/>
                <w:color w:val="000000"/>
                <w:sz w:val="24"/>
                <w:highlight w:val="none"/>
              </w:rPr>
              <w:t>，</w:t>
            </w:r>
            <w:r>
              <w:rPr>
                <w:rFonts w:hint="eastAsia" w:ascii="宋体" w:hAnsi="宋体" w:eastAsia="宋体" w:cs="Times New Roman"/>
                <w:color w:val="000000"/>
                <w:sz w:val="24"/>
                <w:highlight w:val="none"/>
              </w:rPr>
              <w:t>临时用地使用期限</w:t>
            </w:r>
            <w:r>
              <w:rPr>
                <w:rFonts w:hint="eastAsia" w:ascii="宋体" w:hAnsi="宋体" w:eastAsia="宋体" w:cs="Times New Roman"/>
                <w:color w:val="000000"/>
                <w:sz w:val="24"/>
                <w:highlight w:val="none"/>
                <w:lang w:val="en-US" w:eastAsia="zh-CN"/>
              </w:rPr>
              <w:t>2</w:t>
            </w:r>
            <w:r>
              <w:rPr>
                <w:rFonts w:hint="eastAsia" w:ascii="宋体" w:hAnsi="宋体" w:eastAsia="宋体" w:cs="Times New Roman"/>
                <w:color w:val="000000"/>
                <w:sz w:val="24"/>
                <w:highlight w:val="none"/>
              </w:rPr>
              <w:t>年，即202</w:t>
            </w:r>
            <w:r>
              <w:rPr>
                <w:rFonts w:hint="eastAsia" w:ascii="宋体" w:hAnsi="宋体" w:eastAsia="宋体" w:cs="Times New Roman"/>
                <w:color w:val="000000"/>
                <w:sz w:val="24"/>
                <w:highlight w:val="none"/>
                <w:lang w:val="en-US" w:eastAsia="zh-CN"/>
              </w:rPr>
              <w:t>5</w:t>
            </w:r>
            <w:r>
              <w:rPr>
                <w:rFonts w:hint="eastAsia" w:ascii="宋体" w:hAnsi="宋体" w:eastAsia="宋体" w:cs="Times New Roman"/>
                <w:color w:val="000000"/>
                <w:sz w:val="24"/>
                <w:highlight w:val="none"/>
              </w:rPr>
              <w:t>年</w:t>
            </w:r>
            <w:r>
              <w:rPr>
                <w:rFonts w:hint="eastAsia" w:ascii="宋体" w:hAnsi="宋体" w:eastAsia="宋体" w:cs="Times New Roman"/>
                <w:color w:val="000000"/>
                <w:sz w:val="24"/>
                <w:highlight w:val="none"/>
                <w:lang w:val="en-US" w:eastAsia="zh-CN"/>
              </w:rPr>
              <w:t>1</w:t>
            </w:r>
            <w:r>
              <w:rPr>
                <w:rFonts w:hint="eastAsia" w:ascii="宋体" w:hAnsi="宋体" w:eastAsia="宋体" w:cs="Times New Roman"/>
                <w:color w:val="000000"/>
                <w:sz w:val="24"/>
                <w:highlight w:val="none"/>
              </w:rPr>
              <w:t>月-202</w:t>
            </w:r>
            <w:r>
              <w:rPr>
                <w:rFonts w:hint="eastAsia" w:ascii="宋体" w:hAnsi="宋体" w:eastAsia="宋体" w:cs="Times New Roman"/>
                <w:color w:val="000000"/>
                <w:sz w:val="24"/>
                <w:highlight w:val="none"/>
                <w:lang w:val="en-US" w:eastAsia="zh-CN"/>
              </w:rPr>
              <w:t>6</w:t>
            </w:r>
            <w:r>
              <w:rPr>
                <w:rFonts w:hint="eastAsia" w:ascii="宋体" w:hAnsi="宋体" w:eastAsia="宋体" w:cs="Times New Roman"/>
                <w:color w:val="000000"/>
                <w:sz w:val="24"/>
                <w:highlight w:val="none"/>
              </w:rPr>
              <w:t>年</w:t>
            </w:r>
            <w:r>
              <w:rPr>
                <w:rFonts w:hint="eastAsia" w:ascii="宋体" w:hAnsi="宋体" w:eastAsia="宋体" w:cs="Times New Roman"/>
                <w:color w:val="000000"/>
                <w:sz w:val="24"/>
                <w:highlight w:val="none"/>
                <w:lang w:val="en-US" w:eastAsia="zh-CN"/>
              </w:rPr>
              <w:t>12</w:t>
            </w:r>
            <w:r>
              <w:rPr>
                <w:rFonts w:hint="eastAsia" w:ascii="宋体" w:hAnsi="宋体" w:eastAsia="宋体" w:cs="Times New Roman"/>
                <w:color w:val="000000"/>
                <w:sz w:val="24"/>
                <w:highlight w:val="none"/>
              </w:rPr>
              <w:t>月。临时用地使用到期后，对临时用地进行复垦，复垦期限</w:t>
            </w:r>
            <w:r>
              <w:rPr>
                <w:rFonts w:hint="eastAsia" w:ascii="宋体" w:hAnsi="宋体" w:eastAsia="宋体" w:cs="Times New Roman"/>
                <w:color w:val="000000"/>
                <w:sz w:val="24"/>
                <w:highlight w:val="none"/>
                <w:lang w:val="en-US" w:eastAsia="zh-CN"/>
              </w:rPr>
              <w:t>2</w:t>
            </w:r>
            <w:r>
              <w:rPr>
                <w:rFonts w:hint="eastAsia" w:ascii="宋体" w:hAnsi="宋体" w:eastAsia="宋体" w:cs="Times New Roman"/>
                <w:color w:val="000000"/>
                <w:sz w:val="24"/>
                <w:highlight w:val="none"/>
              </w:rPr>
              <w:t>个月，即自2</w:t>
            </w:r>
            <w:r>
              <w:rPr>
                <w:rFonts w:ascii="宋体" w:hAnsi="宋体" w:eastAsia="宋体" w:cs="Times New Roman"/>
                <w:color w:val="000000"/>
                <w:sz w:val="24"/>
                <w:highlight w:val="none"/>
              </w:rPr>
              <w:t>02</w:t>
            </w:r>
            <w:r>
              <w:rPr>
                <w:rFonts w:hint="eastAsia" w:ascii="宋体" w:hAnsi="宋体" w:eastAsia="宋体" w:cs="Times New Roman"/>
                <w:color w:val="000000"/>
                <w:sz w:val="24"/>
                <w:highlight w:val="none"/>
                <w:lang w:val="en-US" w:eastAsia="zh-CN"/>
              </w:rPr>
              <w:t>6</w:t>
            </w:r>
            <w:r>
              <w:rPr>
                <w:rFonts w:hint="eastAsia" w:ascii="宋体" w:hAnsi="宋体" w:eastAsia="宋体" w:cs="Times New Roman"/>
                <w:color w:val="000000"/>
                <w:sz w:val="24"/>
                <w:highlight w:val="none"/>
              </w:rPr>
              <w:t>年</w:t>
            </w:r>
            <w:r>
              <w:rPr>
                <w:rFonts w:hint="eastAsia" w:ascii="宋体" w:hAnsi="宋体" w:eastAsia="宋体" w:cs="Times New Roman"/>
                <w:color w:val="000000"/>
                <w:sz w:val="24"/>
                <w:highlight w:val="none"/>
                <w:lang w:val="en-US" w:eastAsia="zh-CN"/>
              </w:rPr>
              <w:t>12</w:t>
            </w:r>
            <w:r>
              <w:rPr>
                <w:rFonts w:hint="eastAsia" w:ascii="宋体" w:hAnsi="宋体" w:eastAsia="宋体" w:cs="Times New Roman"/>
                <w:color w:val="000000"/>
                <w:sz w:val="24"/>
                <w:highlight w:val="none"/>
              </w:rPr>
              <w:t>月-</w:t>
            </w:r>
            <w:r>
              <w:rPr>
                <w:rFonts w:ascii="宋体" w:hAnsi="宋体" w:eastAsia="宋体" w:cs="Times New Roman"/>
                <w:color w:val="000000"/>
                <w:sz w:val="24"/>
                <w:highlight w:val="none"/>
              </w:rPr>
              <w:t>202</w:t>
            </w:r>
            <w:r>
              <w:rPr>
                <w:rFonts w:hint="eastAsia" w:ascii="宋体" w:hAnsi="宋体" w:eastAsia="宋体" w:cs="Times New Roman"/>
                <w:color w:val="000000"/>
                <w:sz w:val="24"/>
                <w:highlight w:val="none"/>
                <w:lang w:val="en-US" w:eastAsia="zh-CN"/>
              </w:rPr>
              <w:t>7</w:t>
            </w:r>
            <w:r>
              <w:rPr>
                <w:rFonts w:hint="eastAsia" w:ascii="宋体" w:hAnsi="宋体" w:eastAsia="宋体" w:cs="Times New Roman"/>
                <w:color w:val="000000"/>
                <w:sz w:val="24"/>
                <w:highlight w:val="none"/>
              </w:rPr>
              <w:t>年</w:t>
            </w:r>
            <w:r>
              <w:rPr>
                <w:rFonts w:hint="eastAsia" w:ascii="宋体" w:hAnsi="宋体" w:eastAsia="宋体" w:cs="Times New Roman"/>
                <w:color w:val="000000"/>
                <w:sz w:val="24"/>
                <w:highlight w:val="none"/>
                <w:lang w:val="en-US" w:eastAsia="zh-CN"/>
              </w:rPr>
              <w:t>1</w:t>
            </w:r>
            <w:r>
              <w:rPr>
                <w:rFonts w:hint="eastAsia" w:ascii="宋体" w:hAnsi="宋体" w:eastAsia="宋体" w:cs="Times New Roman"/>
                <w:color w:val="000000"/>
                <w:sz w:val="24"/>
                <w:highlight w:val="none"/>
              </w:rPr>
              <w:t>月。该临时用地范围内土地利用类型为</w:t>
            </w:r>
            <w:r>
              <w:rPr>
                <w:rFonts w:hint="eastAsia" w:ascii="宋体" w:hAnsi="宋体" w:eastAsia="宋体" w:cs="Times New Roman"/>
                <w:color w:val="000000"/>
                <w:sz w:val="24"/>
                <w:highlight w:val="none"/>
                <w:lang w:val="en-US" w:eastAsia="zh-CN"/>
              </w:rPr>
              <w:t>裸岩石砾地和盐田及采矿用地</w:t>
            </w:r>
            <w:r>
              <w:rPr>
                <w:rFonts w:ascii="宋体" w:hAnsi="宋体" w:eastAsia="宋体" w:cs="Times New Roman"/>
                <w:color w:val="000000"/>
                <w:sz w:val="24"/>
                <w:highlight w:val="none"/>
              </w:rPr>
              <w:t>，</w:t>
            </w:r>
            <w:r>
              <w:rPr>
                <w:rFonts w:hint="eastAsia" w:ascii="宋体" w:hAnsi="宋体" w:eastAsia="宋体" w:cs="Times New Roman"/>
                <w:color w:val="000000"/>
                <w:sz w:val="24"/>
                <w:highlight w:val="none"/>
                <w:lang w:val="en-US" w:eastAsia="zh-CN"/>
              </w:rPr>
              <w:t>故不</w:t>
            </w:r>
            <w:r>
              <w:rPr>
                <w:rFonts w:ascii="宋体" w:hAnsi="宋体" w:eastAsia="宋体" w:cs="Times New Roman"/>
                <w:color w:val="000000"/>
                <w:sz w:val="24"/>
                <w:highlight w:val="none"/>
              </w:rPr>
              <w:t>设置管护期。</w:t>
            </w:r>
          </w:p>
          <w:p w14:paraId="0820B515">
            <w:pPr>
              <w:keepNext w:val="0"/>
              <w:keepLines w:val="0"/>
              <w:suppressLineNumbers w:val="0"/>
              <w:spacing w:before="0" w:beforeAutospacing="0" w:after="0" w:afterAutospacing="0" w:line="440" w:lineRule="exact"/>
              <w:ind w:left="0" w:right="0" w:firstLine="460" w:firstLineChars="192"/>
              <w:rPr>
                <w:rFonts w:ascii="宋体" w:hAnsi="宋体" w:eastAsia="宋体" w:cs="Times New Roman"/>
                <w:color w:val="000000"/>
                <w:sz w:val="24"/>
                <w:highlight w:val="none"/>
              </w:rPr>
            </w:pPr>
            <w:r>
              <w:rPr>
                <w:rFonts w:ascii="宋体" w:hAnsi="宋体" w:eastAsia="宋体" w:cs="Times New Roman"/>
                <w:color w:val="000000"/>
                <w:sz w:val="24"/>
                <w:highlight w:val="none"/>
              </w:rPr>
              <w:t>因此，最终确定本复垦方案的服务年限为</w:t>
            </w:r>
            <w:r>
              <w:rPr>
                <w:rFonts w:hint="eastAsia" w:ascii="宋体" w:hAnsi="宋体" w:eastAsia="宋体" w:cs="Times New Roman"/>
                <w:color w:val="000000"/>
                <w:sz w:val="24"/>
                <w:highlight w:val="none"/>
              </w:rPr>
              <w:t>临时用地使用期限（</w:t>
            </w:r>
            <w:r>
              <w:rPr>
                <w:rFonts w:hint="eastAsia" w:ascii="宋体" w:hAnsi="宋体" w:eastAsia="宋体" w:cs="Times New Roman"/>
                <w:color w:val="000000"/>
                <w:sz w:val="24"/>
                <w:highlight w:val="none"/>
                <w:lang w:val="en-US" w:eastAsia="zh-CN"/>
              </w:rPr>
              <w:t>2</w:t>
            </w:r>
            <w:r>
              <w:rPr>
                <w:rFonts w:hint="eastAsia" w:ascii="宋体" w:hAnsi="宋体" w:eastAsia="宋体" w:cs="Times New Roman"/>
                <w:color w:val="000000"/>
                <w:sz w:val="24"/>
                <w:highlight w:val="none"/>
              </w:rPr>
              <w:t>年）+复垦期（</w:t>
            </w:r>
            <w:r>
              <w:rPr>
                <w:rFonts w:hint="eastAsia" w:ascii="宋体" w:hAnsi="宋体" w:eastAsia="宋体" w:cs="Times New Roman"/>
                <w:color w:val="000000"/>
                <w:sz w:val="24"/>
                <w:highlight w:val="none"/>
                <w:lang w:val="en-US" w:eastAsia="zh-CN"/>
              </w:rPr>
              <w:t>2</w:t>
            </w:r>
            <w:r>
              <w:rPr>
                <w:rFonts w:hint="eastAsia" w:ascii="宋体" w:hAnsi="宋体" w:eastAsia="宋体" w:cs="Times New Roman"/>
                <w:color w:val="000000"/>
                <w:sz w:val="24"/>
                <w:highlight w:val="none"/>
              </w:rPr>
              <w:t>个月），共</w:t>
            </w:r>
            <w:r>
              <w:rPr>
                <w:rFonts w:hint="eastAsia" w:ascii="宋体" w:hAnsi="宋体" w:eastAsia="宋体" w:cs="Times New Roman"/>
                <w:color w:val="000000"/>
                <w:sz w:val="24"/>
                <w:highlight w:val="none"/>
                <w:lang w:val="en-US" w:eastAsia="zh-CN"/>
              </w:rPr>
              <w:t>2</w:t>
            </w:r>
            <w:r>
              <w:rPr>
                <w:rFonts w:hint="eastAsia" w:ascii="宋体" w:hAnsi="宋体" w:eastAsia="宋体" w:cs="Times New Roman"/>
                <w:color w:val="000000"/>
                <w:sz w:val="24"/>
                <w:highlight w:val="none"/>
              </w:rPr>
              <w:t>年</w:t>
            </w:r>
            <w:r>
              <w:rPr>
                <w:rFonts w:hint="eastAsia" w:ascii="宋体" w:hAnsi="宋体" w:eastAsia="宋体" w:cs="Times New Roman"/>
                <w:color w:val="000000"/>
                <w:sz w:val="24"/>
                <w:highlight w:val="none"/>
                <w:lang w:val="en-US" w:eastAsia="zh-CN"/>
              </w:rPr>
              <w:t>2</w:t>
            </w:r>
            <w:r>
              <w:rPr>
                <w:rFonts w:hint="eastAsia" w:ascii="宋体" w:hAnsi="宋体" w:eastAsia="宋体" w:cs="Times New Roman"/>
                <w:color w:val="000000"/>
                <w:sz w:val="24"/>
                <w:highlight w:val="none"/>
              </w:rPr>
              <w:t>个月</w:t>
            </w:r>
            <w:r>
              <w:rPr>
                <w:rFonts w:ascii="宋体" w:hAnsi="宋体" w:eastAsia="宋体" w:cs="Times New Roman"/>
                <w:color w:val="000000"/>
                <w:sz w:val="24"/>
                <w:highlight w:val="none"/>
              </w:rPr>
              <w:t>，即202</w:t>
            </w:r>
            <w:r>
              <w:rPr>
                <w:rFonts w:hint="eastAsia" w:ascii="宋体" w:hAnsi="宋体" w:eastAsia="宋体" w:cs="Times New Roman"/>
                <w:color w:val="000000"/>
                <w:sz w:val="24"/>
                <w:highlight w:val="none"/>
                <w:lang w:val="en-US" w:eastAsia="zh-CN"/>
              </w:rPr>
              <w:t>5</w:t>
            </w:r>
            <w:r>
              <w:rPr>
                <w:rFonts w:ascii="宋体" w:hAnsi="宋体" w:eastAsia="宋体" w:cs="Times New Roman"/>
                <w:color w:val="000000"/>
                <w:sz w:val="24"/>
                <w:highlight w:val="none"/>
              </w:rPr>
              <w:t>年</w:t>
            </w:r>
            <w:r>
              <w:rPr>
                <w:rFonts w:hint="eastAsia" w:ascii="宋体" w:hAnsi="宋体" w:eastAsia="宋体" w:cs="Times New Roman"/>
                <w:color w:val="000000"/>
                <w:sz w:val="24"/>
                <w:highlight w:val="none"/>
                <w:lang w:val="en-US" w:eastAsia="zh-CN"/>
              </w:rPr>
              <w:t>1</w:t>
            </w:r>
            <w:r>
              <w:rPr>
                <w:rFonts w:ascii="宋体" w:hAnsi="宋体" w:eastAsia="宋体" w:cs="Times New Roman"/>
                <w:color w:val="000000"/>
                <w:sz w:val="24"/>
                <w:highlight w:val="none"/>
              </w:rPr>
              <w:t>月-202</w:t>
            </w:r>
            <w:r>
              <w:rPr>
                <w:rFonts w:hint="eastAsia" w:ascii="宋体" w:hAnsi="宋体" w:eastAsia="宋体" w:cs="Times New Roman"/>
                <w:color w:val="000000"/>
                <w:sz w:val="24"/>
                <w:highlight w:val="none"/>
                <w:lang w:val="en-US" w:eastAsia="zh-CN"/>
              </w:rPr>
              <w:t>7</w:t>
            </w:r>
            <w:r>
              <w:rPr>
                <w:rFonts w:ascii="宋体" w:hAnsi="宋体" w:eastAsia="宋体" w:cs="Times New Roman"/>
                <w:color w:val="000000"/>
                <w:sz w:val="24"/>
                <w:highlight w:val="none"/>
              </w:rPr>
              <w:t>年</w:t>
            </w:r>
            <w:r>
              <w:rPr>
                <w:rFonts w:hint="eastAsia" w:ascii="宋体" w:hAnsi="宋体" w:eastAsia="宋体" w:cs="Times New Roman"/>
                <w:color w:val="000000"/>
                <w:sz w:val="24"/>
                <w:highlight w:val="none"/>
                <w:lang w:val="en-US" w:eastAsia="zh-CN"/>
              </w:rPr>
              <w:t>1</w:t>
            </w:r>
            <w:r>
              <w:rPr>
                <w:rFonts w:ascii="宋体" w:hAnsi="宋体" w:eastAsia="宋体" w:cs="Times New Roman"/>
                <w:color w:val="000000"/>
                <w:sz w:val="24"/>
                <w:highlight w:val="none"/>
              </w:rPr>
              <w:t>月。</w:t>
            </w:r>
          </w:p>
          <w:p w14:paraId="1323C7E1">
            <w:pPr>
              <w:keepNext w:val="0"/>
              <w:keepLines w:val="0"/>
              <w:suppressLineNumbers w:val="0"/>
              <w:spacing w:before="0" w:beforeAutospacing="0" w:after="0" w:afterAutospacing="0" w:line="440" w:lineRule="exact"/>
              <w:ind w:left="0" w:right="0" w:firstLine="460" w:firstLineChars="192"/>
              <w:rPr>
                <w:rFonts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8.2</w:t>
            </w:r>
            <w:r>
              <w:rPr>
                <w:rFonts w:hint="eastAsia" w:ascii="宋体" w:hAnsi="宋体" w:eastAsia="宋体" w:cs="Times New Roman"/>
                <w:color w:val="000000"/>
                <w:sz w:val="24"/>
                <w:highlight w:val="none"/>
              </w:rPr>
              <w:t>复垦工作计划安排</w:t>
            </w:r>
          </w:p>
          <w:p w14:paraId="6F6FC476">
            <w:pPr>
              <w:keepNext w:val="0"/>
              <w:keepLines w:val="0"/>
              <w:suppressLineNumbers w:val="0"/>
              <w:spacing w:before="0" w:beforeAutospacing="0" w:after="0" w:afterAutospacing="0" w:line="440" w:lineRule="exact"/>
              <w:ind w:left="0" w:right="0" w:firstLine="460" w:firstLineChars="192"/>
              <w:rPr>
                <w:rFonts w:ascii="宋体" w:hAnsi="宋体" w:eastAsia="宋体" w:cs="Times New Roman"/>
                <w:color w:val="000000"/>
                <w:sz w:val="24"/>
                <w:highlight w:val="none"/>
              </w:rPr>
            </w:pPr>
            <w:r>
              <w:rPr>
                <w:rFonts w:ascii="宋体" w:hAnsi="宋体" w:eastAsia="宋体" w:cs="Times New Roman"/>
                <w:color w:val="000000"/>
                <w:sz w:val="24"/>
                <w:highlight w:val="none"/>
              </w:rPr>
              <w:t>本复垦方案土地复垦目标为恢复原有地类，复垦工作在临时用地使用年限到期后开展，即202</w:t>
            </w:r>
            <w:r>
              <w:rPr>
                <w:rFonts w:hint="eastAsia" w:ascii="宋体" w:hAnsi="宋体" w:eastAsia="宋体" w:cs="Times New Roman"/>
                <w:color w:val="000000"/>
                <w:sz w:val="24"/>
                <w:highlight w:val="none"/>
                <w:lang w:val="en-US" w:eastAsia="zh-CN"/>
              </w:rPr>
              <w:t>6</w:t>
            </w:r>
            <w:r>
              <w:rPr>
                <w:rFonts w:ascii="宋体" w:hAnsi="宋体" w:eastAsia="宋体" w:cs="Times New Roman"/>
                <w:color w:val="000000"/>
                <w:sz w:val="24"/>
                <w:highlight w:val="none"/>
              </w:rPr>
              <w:t>年</w:t>
            </w:r>
            <w:r>
              <w:rPr>
                <w:rFonts w:hint="eastAsia" w:ascii="宋体" w:hAnsi="宋体" w:eastAsia="宋体" w:cs="Times New Roman"/>
                <w:color w:val="000000"/>
                <w:sz w:val="24"/>
                <w:highlight w:val="none"/>
                <w:lang w:val="en-US" w:eastAsia="zh-CN"/>
              </w:rPr>
              <w:t>12</w:t>
            </w:r>
            <w:r>
              <w:rPr>
                <w:rFonts w:ascii="宋体" w:hAnsi="宋体" w:eastAsia="宋体" w:cs="Times New Roman"/>
                <w:color w:val="000000"/>
                <w:sz w:val="24"/>
                <w:highlight w:val="none"/>
              </w:rPr>
              <w:t>月-202</w:t>
            </w:r>
            <w:r>
              <w:rPr>
                <w:rFonts w:hint="eastAsia" w:ascii="宋体" w:hAnsi="宋体" w:eastAsia="宋体" w:cs="Times New Roman"/>
                <w:color w:val="000000"/>
                <w:sz w:val="24"/>
                <w:highlight w:val="none"/>
                <w:lang w:val="en-US" w:eastAsia="zh-CN"/>
              </w:rPr>
              <w:t>7</w:t>
            </w:r>
            <w:r>
              <w:rPr>
                <w:rFonts w:ascii="宋体" w:hAnsi="宋体" w:eastAsia="宋体" w:cs="Times New Roman"/>
                <w:color w:val="000000"/>
                <w:sz w:val="24"/>
                <w:highlight w:val="none"/>
              </w:rPr>
              <w:t>年</w:t>
            </w:r>
            <w:r>
              <w:rPr>
                <w:rFonts w:hint="eastAsia" w:ascii="宋体" w:hAnsi="宋体" w:eastAsia="宋体" w:cs="Times New Roman"/>
                <w:color w:val="000000"/>
                <w:sz w:val="24"/>
                <w:highlight w:val="none"/>
                <w:lang w:val="en-US" w:eastAsia="zh-CN"/>
              </w:rPr>
              <w:t>1</w:t>
            </w:r>
            <w:r>
              <w:rPr>
                <w:rFonts w:ascii="宋体" w:hAnsi="宋体" w:eastAsia="宋体" w:cs="Times New Roman"/>
                <w:color w:val="000000"/>
                <w:sz w:val="24"/>
                <w:highlight w:val="none"/>
              </w:rPr>
              <w:t>月。拟复垦土地面积</w:t>
            </w:r>
            <w:r>
              <w:rPr>
                <w:rFonts w:hint="eastAsia" w:ascii="宋体" w:hAnsi="宋体" w:eastAsia="宋体" w:cs="Times New Roman"/>
                <w:color w:val="000000"/>
                <w:sz w:val="24"/>
                <w:highlight w:val="none"/>
                <w:lang w:val="en-US" w:eastAsia="zh-CN"/>
              </w:rPr>
              <w:t>3.6828</w:t>
            </w:r>
            <w:r>
              <w:rPr>
                <w:rFonts w:hint="eastAsia" w:ascii="宋体" w:hAnsi="宋体" w:eastAsia="宋体" w:cs="Times New Roman"/>
                <w:color w:val="000000"/>
                <w:sz w:val="24"/>
                <w:highlight w:val="none"/>
              </w:rPr>
              <w:t>公顷</w:t>
            </w:r>
            <w:r>
              <w:rPr>
                <w:rFonts w:ascii="宋体" w:hAnsi="宋体" w:eastAsia="宋体" w:cs="Times New Roman"/>
                <w:color w:val="000000"/>
                <w:sz w:val="24"/>
                <w:highlight w:val="none"/>
              </w:rPr>
              <w:t>，实际计划复垦土地</w:t>
            </w:r>
            <w:r>
              <w:rPr>
                <w:rFonts w:hint="eastAsia" w:ascii="宋体" w:hAnsi="宋体" w:eastAsia="宋体" w:cs="Times New Roman"/>
                <w:color w:val="000000"/>
                <w:sz w:val="24"/>
                <w:highlight w:val="none"/>
                <w:lang w:val="en-US" w:eastAsia="zh-CN"/>
              </w:rPr>
              <w:t>3.6828</w:t>
            </w:r>
            <w:r>
              <w:rPr>
                <w:rFonts w:hint="eastAsia" w:ascii="宋体" w:hAnsi="宋体" w:eastAsia="宋体" w:cs="Times New Roman"/>
                <w:color w:val="000000"/>
                <w:sz w:val="24"/>
                <w:highlight w:val="none"/>
              </w:rPr>
              <w:t>公顷</w:t>
            </w:r>
            <w:r>
              <w:rPr>
                <w:rFonts w:ascii="宋体" w:hAnsi="宋体" w:eastAsia="宋体" w:cs="Times New Roman"/>
                <w:color w:val="000000"/>
                <w:sz w:val="24"/>
                <w:highlight w:val="none"/>
              </w:rPr>
              <w:t>，土地复垦率为100%。</w:t>
            </w:r>
          </w:p>
          <w:p w14:paraId="1779EA29">
            <w:pPr>
              <w:keepNext w:val="0"/>
              <w:keepLines w:val="0"/>
              <w:suppressLineNumbers w:val="0"/>
              <w:spacing w:before="0" w:beforeAutospacing="0" w:after="0" w:afterAutospacing="0" w:line="440" w:lineRule="exact"/>
              <w:ind w:left="0" w:right="0" w:firstLine="463" w:firstLineChars="192"/>
              <w:rPr>
                <w:rFonts w:ascii="宋体" w:hAnsi="宋体" w:eastAsia="宋体" w:cs="Times New Roman"/>
                <w:b/>
                <w:bCs/>
                <w:color w:val="000000"/>
                <w:sz w:val="24"/>
                <w:highlight w:val="none"/>
              </w:rPr>
            </w:pPr>
            <w:r>
              <w:rPr>
                <w:rFonts w:hint="eastAsia" w:ascii="宋体" w:hAnsi="宋体" w:eastAsia="宋体" w:cs="Times New Roman"/>
                <w:b/>
                <w:bCs/>
                <w:color w:val="000000"/>
                <w:sz w:val="24"/>
                <w:highlight w:val="none"/>
              </w:rPr>
              <w:t>九</w:t>
            </w:r>
            <w:r>
              <w:rPr>
                <w:rFonts w:ascii="宋体" w:hAnsi="宋体" w:eastAsia="宋体" w:cs="Times New Roman"/>
                <w:b/>
                <w:bCs/>
                <w:color w:val="000000"/>
                <w:sz w:val="24"/>
                <w:highlight w:val="none"/>
              </w:rPr>
              <w:t>、土地复垦效益分析</w:t>
            </w:r>
          </w:p>
          <w:p w14:paraId="7DE7E700">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lang w:eastAsia="zh-CN"/>
              </w:rPr>
            </w:pPr>
            <w:r>
              <w:rPr>
                <w:rFonts w:hint="eastAsia" w:ascii="宋体" w:hAnsi="宋体" w:eastAsia="宋体" w:cs="Times New Roman"/>
                <w:color w:val="000000"/>
                <w:sz w:val="24"/>
                <w:highlight w:val="none"/>
                <w:lang w:val="en-US" w:eastAsia="zh-CN"/>
              </w:rPr>
              <w:t>9.1</w:t>
            </w:r>
            <w:r>
              <w:rPr>
                <w:rFonts w:ascii="宋体" w:hAnsi="宋体" w:eastAsia="宋体" w:cs="Times New Roman"/>
                <w:color w:val="000000"/>
                <w:sz w:val="24"/>
                <w:highlight w:val="none"/>
              </w:rPr>
              <w:t>社会效益</w:t>
            </w:r>
          </w:p>
          <w:p w14:paraId="099C8F1E">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lang w:eastAsia="zh-CN"/>
              </w:rPr>
            </w:pPr>
            <w:r>
              <w:rPr>
                <w:rFonts w:ascii="宋体" w:hAnsi="宋体" w:eastAsia="宋体" w:cs="Times New Roman"/>
                <w:color w:val="000000"/>
                <w:sz w:val="24"/>
                <w:highlight w:val="none"/>
              </w:rPr>
              <w:t>土地复垦可以明显改善项目区的生态环境和调节小气候，减少土壤侵蚀和大气飘尘，减轻项目区风蚀与风沙危害，减轻滑坡、泥石流的危害，为项目区从事生产、管理、生活人员提供一个良好的生态环境和舒适的生活空间。本土地复垦方案实施后，将发挥以下主要社会效益</w:t>
            </w:r>
            <w:r>
              <w:rPr>
                <w:rFonts w:hint="eastAsia" w:ascii="宋体" w:hAnsi="宋体" w:eastAsia="宋体" w:cs="Times New Roman"/>
                <w:color w:val="000000"/>
                <w:sz w:val="24"/>
                <w:highlight w:val="none"/>
                <w:lang w:eastAsia="zh-CN"/>
              </w:rPr>
              <w:t>；</w:t>
            </w:r>
          </w:p>
          <w:p w14:paraId="45B943CF">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lang w:eastAsia="zh-CN"/>
              </w:rPr>
            </w:pPr>
            <w:r>
              <w:rPr>
                <w:rFonts w:ascii="宋体" w:hAnsi="宋体" w:eastAsia="宋体" w:cs="Times New Roman"/>
                <w:color w:val="000000"/>
                <w:sz w:val="24"/>
                <w:highlight w:val="none"/>
              </w:rPr>
              <w:t>一是</w:t>
            </w:r>
            <w:r>
              <w:rPr>
                <w:rFonts w:hint="eastAsia" w:ascii="宋体" w:hAnsi="宋体" w:eastAsia="宋体" w:cs="Times New Roman"/>
                <w:color w:val="000000"/>
                <w:sz w:val="24"/>
                <w:highlight w:val="none"/>
                <w:lang w:eastAsia="zh-CN"/>
              </w:rPr>
              <w:t>中交一公局集团有限公司G331线至三塘湖火车站道路建设项目临时用地</w:t>
            </w:r>
            <w:r>
              <w:rPr>
                <w:rFonts w:ascii="宋体" w:hAnsi="宋体" w:eastAsia="宋体" w:cs="Times New Roman"/>
                <w:color w:val="000000"/>
                <w:sz w:val="24"/>
                <w:highlight w:val="none"/>
              </w:rPr>
              <w:t>土地复垦方案实施后，可以最大程度减少项目建设过程中对土地的损毁，保证损毁土地及时复垦，减少水土流失和防止土地进一步沙化，确保工程的安全正常运行。</w:t>
            </w:r>
          </w:p>
          <w:p w14:paraId="13AA8548">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lang w:eastAsia="zh-CN"/>
              </w:rPr>
            </w:pPr>
            <w:r>
              <w:rPr>
                <w:rFonts w:ascii="宋体" w:hAnsi="宋体" w:eastAsia="宋体" w:cs="Times New Roman"/>
                <w:color w:val="000000"/>
                <w:sz w:val="24"/>
                <w:highlight w:val="none"/>
              </w:rPr>
              <w:t>二是</w:t>
            </w:r>
            <w:r>
              <w:rPr>
                <w:rFonts w:hint="eastAsia" w:ascii="宋体" w:hAnsi="宋体" w:eastAsia="宋体" w:cs="Times New Roman"/>
                <w:color w:val="000000"/>
                <w:sz w:val="24"/>
                <w:highlight w:val="none"/>
                <w:lang w:eastAsia="zh-CN"/>
              </w:rPr>
              <w:t>中交一公局集团有限公司G331线至三塘湖火车站道路建设项目临时用地</w:t>
            </w:r>
            <w:r>
              <w:rPr>
                <w:rFonts w:ascii="宋体" w:hAnsi="宋体" w:eastAsia="宋体" w:cs="Times New Roman"/>
                <w:color w:val="000000"/>
                <w:sz w:val="24"/>
                <w:highlight w:val="none"/>
              </w:rPr>
              <w:t>土地复垦方案实施后，能减少生态环境的损毁，改善用地区域生态环境，促进社会生态环境可持续发展。</w:t>
            </w:r>
          </w:p>
          <w:p w14:paraId="10E5ADBB">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lang w:eastAsia="zh-CN"/>
              </w:rPr>
            </w:pPr>
            <w:r>
              <w:rPr>
                <w:rFonts w:hint="eastAsia" w:ascii="宋体" w:hAnsi="宋体" w:eastAsia="宋体" w:cs="Times New Roman"/>
                <w:color w:val="000000"/>
                <w:sz w:val="24"/>
                <w:highlight w:val="none"/>
                <w:lang w:val="en-US" w:eastAsia="zh-CN"/>
              </w:rPr>
              <w:t>9.2</w:t>
            </w:r>
            <w:r>
              <w:rPr>
                <w:rFonts w:ascii="宋体" w:hAnsi="宋体" w:eastAsia="宋体" w:cs="Times New Roman"/>
                <w:color w:val="000000"/>
                <w:sz w:val="24"/>
                <w:highlight w:val="none"/>
              </w:rPr>
              <w:t>生态效益</w:t>
            </w:r>
          </w:p>
          <w:p w14:paraId="71724509">
            <w:pPr>
              <w:keepNext w:val="0"/>
              <w:keepLines w:val="0"/>
              <w:suppressLineNumbers w:val="0"/>
              <w:spacing w:before="0" w:beforeAutospacing="0" w:after="0" w:afterAutospacing="0" w:line="440" w:lineRule="exact"/>
              <w:ind w:left="0" w:right="0" w:firstLine="460" w:firstLineChars="192"/>
              <w:rPr>
                <w:rFonts w:ascii="宋体" w:hAnsi="宋体" w:eastAsia="宋体" w:cs="Times New Roman"/>
                <w:color w:val="000000"/>
                <w:sz w:val="24"/>
                <w:highlight w:val="none"/>
              </w:rPr>
            </w:pPr>
            <w:r>
              <w:rPr>
                <w:rFonts w:ascii="宋体" w:hAnsi="宋体" w:eastAsia="宋体" w:cs="Times New Roman"/>
                <w:color w:val="000000"/>
                <w:sz w:val="24"/>
                <w:highlight w:val="none"/>
              </w:rPr>
              <w:t>土地是一个自然、经济、社会的综合体，同时也是一个巨大的生态系统。土地复垦是与生态重建密切</w:t>
            </w:r>
            <w:r>
              <w:rPr>
                <w:rFonts w:hint="eastAsia" w:ascii="宋体" w:hAnsi="宋体" w:eastAsia="宋体" w:cs="Times New Roman"/>
                <w:color w:val="000000"/>
                <w:sz w:val="24"/>
                <w:highlight w:val="none"/>
                <w:lang w:eastAsia="zh-CN"/>
              </w:rPr>
              <w:t>结合的</w:t>
            </w:r>
            <w:r>
              <w:rPr>
                <w:rFonts w:ascii="宋体" w:hAnsi="宋体" w:eastAsia="宋体" w:cs="Times New Roman"/>
                <w:color w:val="000000"/>
                <w:sz w:val="24"/>
                <w:highlight w:val="none"/>
              </w:rPr>
              <w:t>大型工程。本项目损毁土地为</w:t>
            </w:r>
            <w:r>
              <w:rPr>
                <w:rFonts w:hint="eastAsia" w:ascii="宋体" w:hAnsi="宋体" w:eastAsia="宋体" w:cs="Times New Roman"/>
                <w:color w:val="000000"/>
                <w:sz w:val="24"/>
                <w:highlight w:val="none"/>
                <w:lang w:val="en-US" w:eastAsia="zh-CN"/>
              </w:rPr>
              <w:t>裸岩石砾地</w:t>
            </w:r>
            <w:r>
              <w:rPr>
                <w:rFonts w:ascii="宋体" w:hAnsi="宋体" w:eastAsia="宋体" w:cs="Times New Roman"/>
                <w:color w:val="000000"/>
                <w:sz w:val="24"/>
                <w:highlight w:val="none"/>
              </w:rPr>
              <w:t>，通过项目区土地复垦整理，恢复为原有地类，使被</w:t>
            </w:r>
            <w:r>
              <w:rPr>
                <w:rFonts w:hint="eastAsia" w:ascii="宋体" w:hAnsi="宋体" w:eastAsia="宋体" w:cs="Times New Roman"/>
                <w:color w:val="000000"/>
                <w:sz w:val="24"/>
                <w:highlight w:val="none"/>
                <w:lang w:eastAsia="zh-CN"/>
              </w:rPr>
              <w:t>损毁</w:t>
            </w:r>
            <w:r>
              <w:rPr>
                <w:rFonts w:ascii="宋体" w:hAnsi="宋体" w:eastAsia="宋体" w:cs="Times New Roman"/>
                <w:color w:val="000000"/>
                <w:sz w:val="24"/>
                <w:highlight w:val="none"/>
              </w:rPr>
              <w:t>的项目区土地恢复原有功能，维持原有生态系统平衡，降低自然灾害发生的可能性，防止水土流失和环境污染，从而为项目区生态系统的长期平衡稳定提供保障。重现原有的生态环境和效益，充分发挥自然能力。</w:t>
            </w:r>
          </w:p>
          <w:p w14:paraId="680115C7">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lang w:eastAsia="zh-CN"/>
              </w:rPr>
            </w:pPr>
            <w:r>
              <w:rPr>
                <w:rFonts w:hint="eastAsia" w:ascii="宋体" w:hAnsi="宋体" w:eastAsia="宋体" w:cs="Times New Roman"/>
                <w:color w:val="000000"/>
                <w:sz w:val="24"/>
                <w:highlight w:val="none"/>
                <w:lang w:val="en-US" w:eastAsia="zh-CN"/>
              </w:rPr>
              <w:t>9.3</w:t>
            </w:r>
            <w:r>
              <w:rPr>
                <w:rFonts w:ascii="宋体" w:hAnsi="宋体" w:eastAsia="宋体" w:cs="Times New Roman"/>
                <w:color w:val="000000"/>
                <w:sz w:val="24"/>
                <w:highlight w:val="none"/>
              </w:rPr>
              <w:t>经济效益</w:t>
            </w:r>
          </w:p>
          <w:p w14:paraId="34734B24">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lang w:eastAsia="zh-CN"/>
              </w:rPr>
            </w:pPr>
            <w:r>
              <w:rPr>
                <w:rFonts w:ascii="宋体" w:hAnsi="宋体" w:eastAsia="宋体" w:cs="Times New Roman"/>
                <w:color w:val="000000"/>
                <w:sz w:val="24"/>
                <w:highlight w:val="none"/>
              </w:rPr>
              <w:t>项目区土地复垦除产生良好的社会效益和生态效益以外还可以带来不可估量的经济效益。土地复垦工程的经济效益体现在通过实施土地复垦工程而减少对项目区土地损毁等需要的生态补偿费。</w:t>
            </w:r>
          </w:p>
          <w:p w14:paraId="2C4B0C6F">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b/>
                <w:bCs/>
                <w:color w:val="000000"/>
                <w:sz w:val="24"/>
                <w:highlight w:val="none"/>
                <w:lang w:val="en-US" w:eastAsia="zh-CN"/>
              </w:rPr>
            </w:pPr>
            <w:r>
              <w:rPr>
                <w:rFonts w:ascii="宋体" w:hAnsi="宋体" w:eastAsia="宋体" w:cs="Times New Roman"/>
                <w:color w:val="000000"/>
                <w:sz w:val="24"/>
                <w:highlight w:val="none"/>
              </w:rPr>
              <w:t>本项目通过土地复垦后，复垦</w:t>
            </w:r>
            <w:r>
              <w:rPr>
                <w:rFonts w:hint="eastAsia" w:ascii="宋体" w:hAnsi="宋体" w:eastAsia="宋体" w:cs="Times New Roman"/>
                <w:color w:val="000000"/>
                <w:sz w:val="24"/>
                <w:highlight w:val="none"/>
                <w:lang w:val="en-US" w:eastAsia="zh-CN"/>
              </w:rPr>
              <w:t>其他土地</w:t>
            </w:r>
            <w:r>
              <w:rPr>
                <w:rFonts w:ascii="宋体" w:hAnsi="宋体" w:eastAsia="宋体" w:cs="Times New Roman"/>
                <w:color w:val="000000"/>
                <w:sz w:val="24"/>
                <w:highlight w:val="none"/>
              </w:rPr>
              <w:t>-</w:t>
            </w:r>
            <w:r>
              <w:rPr>
                <w:rFonts w:hint="eastAsia" w:ascii="宋体" w:hAnsi="宋体" w:eastAsia="宋体" w:cs="Times New Roman"/>
                <w:color w:val="000000"/>
                <w:sz w:val="24"/>
                <w:highlight w:val="none"/>
                <w:lang w:val="en-US" w:eastAsia="zh-CN"/>
              </w:rPr>
              <w:t>裸岩石砾地3.6828</w:t>
            </w:r>
            <w:r>
              <w:rPr>
                <w:rFonts w:hint="eastAsia" w:ascii="宋体" w:hAnsi="宋体" w:eastAsia="宋体" w:cs="Times New Roman"/>
                <w:color w:val="000000"/>
                <w:sz w:val="24"/>
                <w:highlight w:val="none"/>
              </w:rPr>
              <w:t>公顷</w:t>
            </w:r>
            <w:r>
              <w:rPr>
                <w:rFonts w:hint="eastAsia" w:ascii="宋体" w:hAnsi="宋体" w:eastAsia="宋体" w:cs="Times New Roman"/>
                <w:color w:val="000000"/>
                <w:sz w:val="24"/>
                <w:highlight w:val="none"/>
                <w:lang w:eastAsia="zh-CN"/>
              </w:rPr>
              <w:t>。</w:t>
            </w:r>
          </w:p>
          <w:p w14:paraId="02ED7B92">
            <w:pPr>
              <w:keepNext w:val="0"/>
              <w:keepLines w:val="0"/>
              <w:suppressLineNumbers w:val="0"/>
              <w:spacing w:before="0" w:beforeAutospacing="0" w:after="0" w:afterAutospacing="0" w:line="440" w:lineRule="exact"/>
              <w:ind w:left="0" w:right="0" w:firstLine="463" w:firstLineChars="192"/>
              <w:rPr>
                <w:rFonts w:ascii="宋体" w:hAnsi="宋体" w:eastAsia="宋体" w:cs="Times New Roman"/>
                <w:b/>
                <w:bCs/>
                <w:color w:val="000000"/>
                <w:sz w:val="24"/>
                <w:highlight w:val="none"/>
              </w:rPr>
            </w:pPr>
            <w:r>
              <w:rPr>
                <w:rFonts w:ascii="宋体" w:hAnsi="宋体" w:eastAsia="宋体" w:cs="Times New Roman"/>
                <w:b/>
                <w:bCs/>
                <w:color w:val="000000"/>
                <w:sz w:val="24"/>
                <w:highlight w:val="none"/>
              </w:rPr>
              <w:t>十、保障措施</w:t>
            </w:r>
          </w:p>
          <w:p w14:paraId="4AEAC795">
            <w:pPr>
              <w:keepNext w:val="0"/>
              <w:keepLines w:val="0"/>
              <w:suppressLineNumbers w:val="0"/>
              <w:spacing w:before="0" w:beforeAutospacing="0" w:after="0" w:afterAutospacing="0" w:line="440" w:lineRule="exact"/>
              <w:ind w:left="0" w:right="0" w:firstLine="460" w:firstLineChars="192"/>
              <w:rPr>
                <w:rFonts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10.1</w:t>
            </w:r>
            <w:r>
              <w:rPr>
                <w:rFonts w:ascii="宋体" w:hAnsi="宋体" w:eastAsia="宋体" w:cs="Times New Roman"/>
                <w:color w:val="000000"/>
                <w:sz w:val="24"/>
                <w:highlight w:val="none"/>
              </w:rPr>
              <w:t>组织保障</w:t>
            </w:r>
          </w:p>
          <w:p w14:paraId="1031EC47">
            <w:pPr>
              <w:keepNext w:val="0"/>
              <w:keepLines w:val="0"/>
              <w:suppressLineNumbers w:val="0"/>
              <w:spacing w:before="0" w:beforeAutospacing="0" w:after="0" w:afterAutospacing="0" w:line="440" w:lineRule="exact"/>
              <w:ind w:left="0" w:right="0" w:firstLine="460" w:firstLineChars="192"/>
              <w:rPr>
                <w:rFonts w:ascii="宋体" w:hAnsi="宋体" w:eastAsia="宋体" w:cs="Times New Roman"/>
                <w:color w:val="000000"/>
                <w:sz w:val="24"/>
                <w:highlight w:val="none"/>
              </w:rPr>
            </w:pPr>
            <w:r>
              <w:rPr>
                <w:rFonts w:ascii="宋体" w:hAnsi="宋体" w:eastAsia="宋体" w:cs="Times New Roman"/>
                <w:color w:val="000000"/>
                <w:sz w:val="24"/>
                <w:highlight w:val="none"/>
              </w:rPr>
              <w:t>为保障复垦工程的实施，</w:t>
            </w:r>
            <w:r>
              <w:rPr>
                <w:rFonts w:hint="eastAsia" w:ascii="宋体" w:hAnsi="宋体" w:eastAsia="宋体" w:cs="Times New Roman"/>
                <w:color w:val="000000"/>
                <w:sz w:val="24"/>
                <w:highlight w:val="none"/>
                <w:lang w:eastAsia="zh-CN"/>
              </w:rPr>
              <w:t>中交一公局集团有限公司</w:t>
            </w:r>
            <w:r>
              <w:rPr>
                <w:rFonts w:ascii="宋体" w:hAnsi="宋体" w:eastAsia="宋体" w:cs="Times New Roman"/>
                <w:color w:val="000000"/>
                <w:sz w:val="24"/>
                <w:highlight w:val="none"/>
              </w:rPr>
              <w:t>将设立土地复垦管理机构，</w:t>
            </w:r>
            <w:r>
              <w:rPr>
                <w:rFonts w:hint="eastAsia" w:ascii="宋体" w:hAnsi="宋体" w:eastAsia="宋体" w:cs="Times New Roman"/>
                <w:color w:val="000000"/>
                <w:sz w:val="24"/>
                <w:highlight w:val="none"/>
              </w:rPr>
              <w:t>由</w:t>
            </w:r>
            <w:r>
              <w:rPr>
                <w:rFonts w:hint="eastAsia" w:ascii="宋体" w:hAnsi="宋体" w:eastAsia="宋体" w:cs="Times New Roman"/>
                <w:color w:val="000000"/>
                <w:sz w:val="24"/>
                <w:highlight w:val="none"/>
                <w:lang w:eastAsia="zh-CN"/>
              </w:rPr>
              <w:t>中交一公局集团有限公司</w:t>
            </w:r>
            <w:r>
              <w:rPr>
                <w:rFonts w:ascii="宋体" w:hAnsi="宋体" w:eastAsia="宋体" w:cs="Times New Roman"/>
                <w:color w:val="000000"/>
                <w:sz w:val="24"/>
                <w:highlight w:val="none"/>
              </w:rPr>
              <w:t>全面负责该项目土地复垦工作，同时，加强规章制度建设和业务学习培训，防止质量事故、安全事故的发生。</w:t>
            </w:r>
          </w:p>
          <w:p w14:paraId="682E4FC2">
            <w:pPr>
              <w:keepNext w:val="0"/>
              <w:keepLines w:val="0"/>
              <w:suppressLineNumbers w:val="0"/>
              <w:spacing w:before="0" w:beforeAutospacing="0" w:after="0" w:afterAutospacing="0" w:line="440" w:lineRule="exact"/>
              <w:ind w:left="0" w:right="0" w:firstLine="460" w:firstLineChars="192"/>
              <w:rPr>
                <w:rFonts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10.2</w:t>
            </w:r>
            <w:r>
              <w:rPr>
                <w:rFonts w:ascii="宋体" w:hAnsi="宋体" w:eastAsia="宋体" w:cs="Times New Roman"/>
                <w:color w:val="000000"/>
                <w:sz w:val="24"/>
                <w:highlight w:val="none"/>
              </w:rPr>
              <w:t>技术保障</w:t>
            </w:r>
          </w:p>
          <w:p w14:paraId="798DB3E6">
            <w:pPr>
              <w:keepNext w:val="0"/>
              <w:keepLines w:val="0"/>
              <w:suppressLineNumbers w:val="0"/>
              <w:spacing w:before="0" w:beforeAutospacing="0" w:after="0" w:afterAutospacing="0" w:line="440" w:lineRule="exact"/>
              <w:ind w:left="0" w:right="0" w:firstLine="460" w:firstLineChars="192"/>
              <w:rPr>
                <w:rFonts w:ascii="宋体" w:hAnsi="宋体" w:eastAsia="宋体" w:cs="Times New Roman"/>
                <w:color w:val="000000"/>
                <w:sz w:val="24"/>
                <w:highlight w:val="none"/>
              </w:rPr>
            </w:pPr>
            <w:r>
              <w:rPr>
                <w:rFonts w:ascii="宋体" w:hAnsi="宋体" w:eastAsia="宋体" w:cs="Times New Roman"/>
                <w:color w:val="000000"/>
                <w:sz w:val="24"/>
                <w:highlight w:val="none"/>
              </w:rPr>
              <w:t>针对项目区内土地复垦的方法，经济、合理、可行、达到合理高效利用土地的标准。复垦所需</w:t>
            </w:r>
            <w:r>
              <w:rPr>
                <w:rFonts w:hint="eastAsia" w:ascii="宋体" w:hAnsi="宋体" w:eastAsia="宋体" w:cs="Times New Roman"/>
                <w:color w:val="000000"/>
                <w:sz w:val="24"/>
                <w:highlight w:val="none"/>
                <w:lang w:eastAsia="zh-CN"/>
              </w:rPr>
              <w:t>的材</w:t>
            </w:r>
            <w:r>
              <w:rPr>
                <w:rFonts w:ascii="宋体" w:hAnsi="宋体" w:eastAsia="宋体" w:cs="Times New Roman"/>
                <w:color w:val="000000"/>
                <w:sz w:val="24"/>
                <w:highlight w:val="none"/>
              </w:rPr>
              <w:t>料可就地取材，有充分的保障。必须严格按照总体规划执行，并确保资金、人员、机械、技术服务到位，该项目土地复垦项目领导小组具体负责复垦工程的规划指导、监督、检查、组织协调和工程实施，并对其实行目标管理，确保复垦工作保质保量</w:t>
            </w:r>
            <w:r>
              <w:rPr>
                <w:rFonts w:hint="eastAsia" w:ascii="宋体" w:hAnsi="宋体" w:eastAsia="宋体" w:cs="Times New Roman"/>
                <w:color w:val="000000"/>
                <w:sz w:val="24"/>
                <w:highlight w:val="none"/>
                <w:lang w:eastAsia="zh-CN"/>
              </w:rPr>
              <w:t>地</w:t>
            </w:r>
            <w:r>
              <w:rPr>
                <w:rFonts w:ascii="宋体" w:hAnsi="宋体" w:eastAsia="宋体" w:cs="Times New Roman"/>
                <w:color w:val="000000"/>
                <w:sz w:val="24"/>
                <w:highlight w:val="none"/>
              </w:rPr>
              <w:t>完成。</w:t>
            </w:r>
          </w:p>
          <w:p w14:paraId="5F3AC4E6">
            <w:pPr>
              <w:keepNext w:val="0"/>
              <w:keepLines w:val="0"/>
              <w:suppressLineNumbers w:val="0"/>
              <w:spacing w:before="0" w:beforeAutospacing="0" w:after="0" w:afterAutospacing="0" w:line="440" w:lineRule="exact"/>
              <w:ind w:left="0" w:right="0" w:firstLine="460" w:firstLineChars="192"/>
              <w:rPr>
                <w:rFonts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10.3</w:t>
            </w:r>
            <w:r>
              <w:rPr>
                <w:rFonts w:ascii="宋体" w:hAnsi="宋体" w:eastAsia="宋体" w:cs="Times New Roman"/>
                <w:color w:val="000000"/>
                <w:sz w:val="24"/>
                <w:highlight w:val="none"/>
              </w:rPr>
              <w:t>资金保障</w:t>
            </w:r>
          </w:p>
          <w:p w14:paraId="44F885A9">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lang w:eastAsia="zh-CN"/>
              </w:rPr>
            </w:pPr>
            <w:r>
              <w:rPr>
                <w:rFonts w:hint="eastAsia" w:ascii="宋体" w:hAnsi="宋体" w:eastAsia="宋体" w:cs="Times New Roman"/>
                <w:color w:val="000000"/>
                <w:sz w:val="24"/>
                <w:highlight w:val="none"/>
                <w:lang w:eastAsia="zh-CN"/>
              </w:rPr>
              <w:t>中交一公局集团有限公司</w:t>
            </w:r>
            <w:r>
              <w:rPr>
                <w:rFonts w:ascii="宋体" w:hAnsi="宋体" w:eastAsia="宋体" w:cs="Times New Roman"/>
                <w:color w:val="000000"/>
                <w:sz w:val="24"/>
                <w:highlight w:val="none"/>
              </w:rPr>
              <w:t>在当地银行建立“</w:t>
            </w:r>
            <w:r>
              <w:rPr>
                <w:rFonts w:hint="eastAsia" w:ascii="宋体" w:hAnsi="宋体" w:eastAsia="宋体" w:cs="Times New Roman"/>
                <w:color w:val="000000"/>
                <w:sz w:val="24"/>
                <w:highlight w:val="none"/>
                <w:lang w:eastAsia="zh-CN"/>
              </w:rPr>
              <w:t>中交一公局集团有限公司G331线至三塘湖火车站道路建设项目临时用地</w:t>
            </w:r>
            <w:r>
              <w:rPr>
                <w:rFonts w:ascii="宋体" w:hAnsi="宋体" w:eastAsia="宋体" w:cs="Times New Roman"/>
                <w:color w:val="000000"/>
                <w:sz w:val="24"/>
                <w:highlight w:val="none"/>
              </w:rPr>
              <w:t>土地复垦资金专用账户”，将土地复垦费用存入复垦费用专用账户中，结合复垦工作计划安排，并与当地自然资源主管部门、银行三方签订“土地复垦费用监管协议”，协议中需明确各方的责任，复垦费用的具体监管手段。土地复垦费用专用账户按照“企业所有，政府监管，专户存储、专款专用”的原则管理。</w:t>
            </w:r>
          </w:p>
          <w:p w14:paraId="5DAA2DA8">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lang w:eastAsia="zh-CN"/>
              </w:rPr>
            </w:pPr>
            <w:r>
              <w:rPr>
                <w:rFonts w:ascii="宋体" w:hAnsi="宋体" w:eastAsia="宋体" w:cs="Times New Roman"/>
                <w:color w:val="000000"/>
                <w:sz w:val="24"/>
                <w:highlight w:val="none"/>
              </w:rPr>
              <w:t>当地自然资源主管部门将按照土地复垦计划，对土地复垦资金专用账户中的资金存储、使用情况进行监督管理。银行协助当地自然资源主管部门对</w:t>
            </w:r>
            <w:r>
              <w:rPr>
                <w:rFonts w:hint="eastAsia" w:ascii="宋体" w:hAnsi="宋体" w:eastAsia="宋体" w:cs="Times New Roman"/>
                <w:color w:val="000000"/>
                <w:sz w:val="24"/>
                <w:highlight w:val="none"/>
                <w:lang w:eastAsia="zh-CN"/>
              </w:rPr>
              <w:t>中交一公局集团有限公司G331线至三塘湖火车站道路建设项目临时用地</w:t>
            </w:r>
            <w:r>
              <w:rPr>
                <w:rFonts w:ascii="宋体" w:hAnsi="宋体" w:eastAsia="宋体" w:cs="Times New Roman"/>
                <w:color w:val="000000"/>
                <w:sz w:val="24"/>
                <w:highlight w:val="none"/>
              </w:rPr>
              <w:t>土地复垦费用的存储、支取进行监督管理。</w:t>
            </w:r>
          </w:p>
          <w:p w14:paraId="1CBD9563">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10.4</w:t>
            </w:r>
            <w:r>
              <w:rPr>
                <w:rFonts w:hint="eastAsia" w:ascii="宋体" w:hAnsi="宋体" w:eastAsia="宋体" w:cs="Times New Roman"/>
                <w:color w:val="000000"/>
                <w:sz w:val="24"/>
                <w:highlight w:val="none"/>
              </w:rPr>
              <w:t>土地复垦保障措施</w:t>
            </w:r>
          </w:p>
          <w:p w14:paraId="3AE3F44B">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（1）加强对复垦后土地的管理，严格执行该复垦方案；</w:t>
            </w:r>
          </w:p>
          <w:p w14:paraId="2407F139">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（2）按照方案确定的年度复垦方案报告表逐地块落实，对土地开发复垦实行统一管理；</w:t>
            </w:r>
          </w:p>
          <w:p w14:paraId="3FE881A8">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（3）保护土地复垦单位的利益，调动土地复垦的积极性；</w:t>
            </w:r>
          </w:p>
          <w:p w14:paraId="0DB16161">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（4）坚持全面规划，综合治理，要治理一片见效一片，不搞半截子工程，在工程建设中严格实行招标制，按照公开、公正、公平的原则，择优选择工程队伍以确保工程质量，降低工程成本，加快工程进度；</w:t>
            </w:r>
          </w:p>
          <w:p w14:paraId="71B9F672">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lang w:eastAsia="zh-CN"/>
              </w:rPr>
            </w:pPr>
            <w:r>
              <w:rPr>
                <w:rFonts w:hint="eastAsia" w:ascii="宋体" w:hAnsi="宋体" w:eastAsia="宋体" w:cs="Times New Roman"/>
                <w:color w:val="000000"/>
                <w:sz w:val="24"/>
                <w:highlight w:val="none"/>
              </w:rPr>
              <w:t>（5）对施工单位组织学习、宣传工作，提高工程建设者的土地复垦自觉行动意识，同时应配备土地复垦专业人员，以解决措施实施过程中的技术问题，接受当地主管部门的监督检查。</w:t>
            </w:r>
          </w:p>
          <w:p w14:paraId="436B5950">
            <w:pPr>
              <w:keepNext w:val="0"/>
              <w:keepLines w:val="0"/>
              <w:suppressLineNumbers w:val="0"/>
              <w:spacing w:before="0" w:beforeAutospacing="0" w:after="0" w:afterAutospacing="0" w:line="440" w:lineRule="exact"/>
              <w:ind w:left="0" w:right="0" w:firstLine="463" w:firstLineChars="192"/>
              <w:rPr>
                <w:rFonts w:ascii="宋体" w:hAnsi="宋体" w:eastAsia="宋体" w:cs="Times New Roman"/>
                <w:b/>
                <w:bCs/>
                <w:color w:val="000000"/>
                <w:sz w:val="24"/>
                <w:highlight w:val="none"/>
              </w:rPr>
            </w:pPr>
            <w:r>
              <w:rPr>
                <w:rFonts w:ascii="宋体" w:hAnsi="宋体" w:eastAsia="宋体" w:cs="Times New Roman"/>
                <w:b/>
                <w:bCs/>
                <w:color w:val="000000"/>
                <w:sz w:val="24"/>
                <w:highlight w:val="none"/>
              </w:rPr>
              <w:t>十</w:t>
            </w:r>
            <w:r>
              <w:rPr>
                <w:rFonts w:hint="eastAsia" w:ascii="宋体" w:hAnsi="宋体" w:eastAsia="宋体" w:cs="Times New Roman"/>
                <w:b/>
                <w:bCs/>
                <w:color w:val="000000"/>
                <w:sz w:val="24"/>
                <w:highlight w:val="none"/>
              </w:rPr>
              <w:t>一</w:t>
            </w:r>
            <w:r>
              <w:rPr>
                <w:rFonts w:ascii="宋体" w:hAnsi="宋体" w:eastAsia="宋体" w:cs="Times New Roman"/>
                <w:b/>
                <w:bCs/>
                <w:color w:val="000000"/>
                <w:sz w:val="24"/>
                <w:highlight w:val="none"/>
              </w:rPr>
              <w:t>、土地复垦方案编制成果</w:t>
            </w:r>
          </w:p>
          <w:p w14:paraId="5F42D7A6">
            <w:pPr>
              <w:keepNext w:val="0"/>
              <w:keepLines w:val="0"/>
              <w:suppressLineNumbers w:val="0"/>
              <w:spacing w:before="0" w:beforeAutospacing="0" w:after="0" w:afterAutospacing="0" w:line="440" w:lineRule="exact"/>
              <w:ind w:left="0" w:right="0" w:firstLine="460" w:firstLineChars="192"/>
              <w:rPr>
                <w:rFonts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11.1</w:t>
            </w:r>
            <w:r>
              <w:rPr>
                <w:rFonts w:hint="eastAsia" w:ascii="宋体" w:hAnsi="宋体" w:eastAsia="宋体" w:cs="Times New Roman"/>
                <w:color w:val="000000"/>
                <w:sz w:val="24"/>
                <w:highlight w:val="none"/>
              </w:rPr>
              <w:t>报告</w:t>
            </w:r>
          </w:p>
          <w:p w14:paraId="458DC9D0">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宋体"/>
                <w:color w:val="000000"/>
                <w:sz w:val="24"/>
                <w:highlight w:val="none"/>
              </w:rPr>
            </w:pPr>
            <w:r>
              <w:rPr>
                <w:rFonts w:hint="eastAsia" w:ascii="宋体" w:hAnsi="宋体" w:eastAsia="宋体" w:cs="宋体"/>
                <w:color w:val="000000"/>
                <w:sz w:val="24"/>
                <w:highlight w:val="none"/>
              </w:rPr>
              <w:t>a）土地复垦方案报告表</w:t>
            </w:r>
          </w:p>
          <w:p w14:paraId="61461A4E">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11.2</w:t>
            </w:r>
            <w:r>
              <w:rPr>
                <w:rFonts w:hint="eastAsia" w:ascii="宋体" w:hAnsi="宋体" w:eastAsia="宋体" w:cs="Times New Roman"/>
                <w:color w:val="000000"/>
                <w:sz w:val="24"/>
                <w:highlight w:val="none"/>
              </w:rPr>
              <w:t>附件</w:t>
            </w:r>
          </w:p>
          <w:p w14:paraId="45902F9F">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1</w:t>
            </w:r>
            <w:r>
              <w:rPr>
                <w:rFonts w:hint="eastAsia" w:ascii="宋体" w:hAnsi="宋体" w:eastAsia="宋体" w:cs="Times New Roman"/>
                <w:color w:val="000000"/>
                <w:sz w:val="24"/>
                <w:highlight w:val="none"/>
              </w:rPr>
              <w:t>）关于编制《</w:t>
            </w:r>
            <w:r>
              <w:rPr>
                <w:rFonts w:hint="eastAsia" w:ascii="宋体" w:hAnsi="宋体" w:eastAsia="宋体" w:cs="Times New Roman"/>
                <w:color w:val="000000"/>
                <w:sz w:val="24"/>
                <w:highlight w:val="none"/>
                <w:lang w:eastAsia="zh-CN"/>
              </w:rPr>
              <w:t>中交一公局集团有限公司G331线至三塘湖火车站道路建设项目临时用地</w:t>
            </w:r>
            <w:r>
              <w:rPr>
                <w:rFonts w:ascii="宋体" w:hAnsi="宋体" w:eastAsia="宋体" w:cs="Times New Roman"/>
                <w:color w:val="000000"/>
                <w:sz w:val="24"/>
                <w:highlight w:val="none"/>
              </w:rPr>
              <w:t>土地复垦</w:t>
            </w:r>
            <w:r>
              <w:rPr>
                <w:rFonts w:hint="eastAsia" w:ascii="宋体" w:hAnsi="宋体" w:eastAsia="宋体" w:cs="Times New Roman"/>
                <w:color w:val="000000"/>
                <w:sz w:val="24"/>
                <w:highlight w:val="none"/>
              </w:rPr>
              <w:t>方案报告表》的委托函；</w:t>
            </w:r>
          </w:p>
          <w:p w14:paraId="2C8148DC">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2</w:t>
            </w:r>
            <w:r>
              <w:rPr>
                <w:rFonts w:hint="eastAsia" w:ascii="宋体" w:hAnsi="宋体" w:eastAsia="宋体" w:cs="Times New Roman"/>
                <w:color w:val="000000"/>
                <w:sz w:val="24"/>
                <w:highlight w:val="none"/>
              </w:rPr>
              <w:t>）关于《</w:t>
            </w:r>
            <w:r>
              <w:rPr>
                <w:rFonts w:hint="eastAsia" w:ascii="宋体" w:hAnsi="宋体" w:eastAsia="宋体" w:cs="Times New Roman"/>
                <w:color w:val="000000"/>
                <w:sz w:val="24"/>
                <w:highlight w:val="none"/>
                <w:lang w:eastAsia="zh-CN"/>
              </w:rPr>
              <w:t>中交一公局集团有限公司G331线至三塘湖火车站道路建设项目临时用地</w:t>
            </w:r>
            <w:r>
              <w:rPr>
                <w:rFonts w:ascii="宋体" w:hAnsi="宋体" w:eastAsia="宋体" w:cs="Times New Roman"/>
                <w:color w:val="000000"/>
                <w:sz w:val="24"/>
                <w:highlight w:val="none"/>
              </w:rPr>
              <w:t>土地复垦</w:t>
            </w:r>
            <w:r>
              <w:rPr>
                <w:rFonts w:hint="eastAsia" w:ascii="宋体" w:hAnsi="宋体" w:eastAsia="宋体" w:cs="Times New Roman"/>
                <w:color w:val="000000"/>
                <w:sz w:val="24"/>
                <w:highlight w:val="none"/>
              </w:rPr>
              <w:t>方案报告表》的承诺书；</w:t>
            </w:r>
          </w:p>
          <w:p w14:paraId="4FDB29BD">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3</w:t>
            </w:r>
            <w:r>
              <w:rPr>
                <w:rFonts w:hint="eastAsia" w:ascii="宋体" w:hAnsi="宋体" w:eastAsia="宋体" w:cs="Times New Roman"/>
                <w:color w:val="000000"/>
                <w:sz w:val="24"/>
                <w:highlight w:val="none"/>
              </w:rPr>
              <w:t>）</w:t>
            </w:r>
            <w:r>
              <w:rPr>
                <w:rFonts w:hint="eastAsia" w:ascii="宋体" w:hAnsi="宋体" w:eastAsia="宋体" w:cs="Times New Roman"/>
                <w:color w:val="000000"/>
                <w:sz w:val="24"/>
                <w:highlight w:val="none"/>
                <w:lang w:val="en-US" w:eastAsia="zh-CN"/>
              </w:rPr>
              <w:t>关于中交一公局集团有限公司G331线至三塘湖火车站道路建设项目中标通知书；</w:t>
            </w:r>
          </w:p>
          <w:p w14:paraId="73DB2D29">
            <w:pPr>
              <w:keepNext w:val="0"/>
              <w:keepLines w:val="0"/>
              <w:suppressLineNumbers w:val="0"/>
              <w:spacing w:before="0" w:beforeAutospacing="0" w:after="0" w:afterAutospacing="0" w:line="440" w:lineRule="exact"/>
              <w:ind w:left="0" w:right="0" w:firstLine="460" w:firstLineChars="192"/>
              <w:rPr>
                <w:rFonts w:hint="eastAsia" w:ascii="宋体" w:hAnsi="宋体" w:eastAsia="宋体" w:cs="Times New Roman"/>
                <w:color w:val="000000"/>
                <w:sz w:val="24"/>
                <w:highlight w:val="none"/>
                <w:lang w:val="en-US" w:eastAsia="zh-CN"/>
              </w:rPr>
            </w:pPr>
            <w:r>
              <w:rPr>
                <w:rFonts w:hint="eastAsia" w:ascii="宋体" w:hAnsi="宋体" w:eastAsia="宋体" w:cs="Times New Roman"/>
                <w:color w:val="000000"/>
                <w:sz w:val="24"/>
                <w:highlight w:val="none"/>
                <w:lang w:val="en-US" w:eastAsia="zh-CN"/>
              </w:rPr>
              <w:t>4）</w:t>
            </w:r>
            <w:r>
              <w:rPr>
                <w:rFonts w:hint="eastAsia" w:ascii="宋体" w:hAnsi="宋体" w:eastAsia="宋体" w:cs="Times New Roman"/>
                <w:color w:val="000000"/>
                <w:kern w:val="2"/>
                <w:sz w:val="24"/>
                <w:szCs w:val="24"/>
                <w:highlight w:val="none"/>
                <w:lang w:val="en-US" w:eastAsia="zh-CN" w:bidi="ar-SA"/>
              </w:rPr>
              <w:t>中交一公局集团有限公司营业执照副本；</w:t>
            </w:r>
          </w:p>
          <w:p w14:paraId="306CBEC0">
            <w:pPr>
              <w:pStyle w:val="6"/>
              <w:suppressLineNumbers w:val="0"/>
              <w:spacing w:before="0" w:beforeAutospacing="0" w:after="0" w:afterAutospacing="0"/>
              <w:ind w:left="0" w:right="0" w:firstLine="480" w:firstLineChars="200"/>
              <w:outlineLvl w:val="3"/>
              <w:rPr>
                <w:rFonts w:hint="eastAsia"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5）编制单位营业执照副本；</w:t>
            </w:r>
          </w:p>
          <w:p w14:paraId="0B1C5D68">
            <w:pPr>
              <w:pStyle w:val="6"/>
              <w:suppressLineNumbers w:val="0"/>
              <w:spacing w:before="0" w:beforeAutospacing="0" w:after="0" w:afterAutospacing="0"/>
              <w:ind w:left="0" w:right="0" w:firstLine="480" w:firstLineChars="200"/>
              <w:outlineLvl w:val="3"/>
              <w:rPr>
                <w:rFonts w:hint="default"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6）项目照片集；</w:t>
            </w:r>
          </w:p>
          <w:p w14:paraId="44D01D91">
            <w:pPr>
              <w:pStyle w:val="6"/>
              <w:suppressLineNumbers w:val="0"/>
              <w:spacing w:before="0" w:beforeAutospacing="0" w:after="0" w:afterAutospacing="0"/>
              <w:ind w:left="0" w:right="0" w:firstLine="480" w:firstLineChars="200"/>
              <w:outlineLvl w:val="3"/>
              <w:rPr>
                <w:rFonts w:hint="eastAsia"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11.3附图</w:t>
            </w:r>
          </w:p>
          <w:p w14:paraId="494390BD">
            <w:pPr>
              <w:keepNext w:val="0"/>
              <w:keepLines w:val="0"/>
              <w:widowControl/>
              <w:suppressLineNumbers w:val="0"/>
              <w:spacing w:before="0" w:beforeAutospacing="0" w:after="0" w:afterAutospacing="0" w:line="360" w:lineRule="auto"/>
              <w:ind w:left="0" w:right="0" w:firstLine="480" w:firstLineChars="200"/>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lang w:val="en-US" w:eastAsia="zh-CN"/>
              </w:rPr>
              <w:t>1</w:t>
            </w:r>
            <w:r>
              <w:rPr>
                <w:rFonts w:hint="eastAsia" w:ascii="宋体" w:hAnsi="宋体" w:eastAsia="宋体" w:cs="宋体"/>
                <w:color w:val="000000"/>
                <w:kern w:val="0"/>
                <w:sz w:val="24"/>
                <w:highlight w:val="none"/>
              </w:rPr>
              <w:t>.</w:t>
            </w:r>
            <w:r>
              <w:rPr>
                <w:rFonts w:hint="eastAsia" w:ascii="宋体" w:hAnsi="宋体" w:eastAsia="宋体" w:cs="Times New Roman"/>
                <w:color w:val="000000"/>
                <w:sz w:val="24"/>
                <w:highlight w:val="none"/>
                <w:lang w:eastAsia="zh-CN"/>
              </w:rPr>
              <w:t>中交一公局集团有限公司G331线至三塘湖火车站道路建设项目临时用地</w:t>
            </w:r>
            <w:r>
              <w:rPr>
                <w:rFonts w:hint="eastAsia" w:ascii="宋体" w:hAnsi="宋体" w:eastAsia="宋体" w:cs="宋体"/>
                <w:color w:val="000000"/>
                <w:kern w:val="0"/>
                <w:sz w:val="24"/>
                <w:highlight w:val="none"/>
              </w:rPr>
              <w:t>土地利用现状图（1:</w:t>
            </w:r>
            <w:r>
              <w:rPr>
                <w:rFonts w:hint="eastAsia" w:ascii="宋体" w:hAnsi="宋体" w:cs="宋体"/>
                <w:color w:val="000000"/>
                <w:kern w:val="0"/>
                <w:sz w:val="24"/>
                <w:highlight w:val="none"/>
                <w:lang w:val="en-US" w:eastAsia="zh-CN"/>
              </w:rPr>
              <w:t>2</w:t>
            </w:r>
            <w:r>
              <w:rPr>
                <w:rFonts w:hint="eastAsia" w:ascii="宋体" w:hAnsi="宋体" w:eastAsia="宋体" w:cs="宋体"/>
                <w:color w:val="000000"/>
                <w:kern w:val="0"/>
                <w:sz w:val="24"/>
                <w:highlight w:val="none"/>
              </w:rPr>
              <w:t>000）</w:t>
            </w:r>
          </w:p>
          <w:p w14:paraId="4CD97882">
            <w:pPr>
              <w:keepNext w:val="0"/>
              <w:keepLines w:val="0"/>
              <w:widowControl/>
              <w:suppressLineNumbers w:val="0"/>
              <w:spacing w:before="0" w:beforeAutospacing="0" w:after="0" w:afterAutospacing="0" w:line="360" w:lineRule="auto"/>
              <w:ind w:left="0" w:right="0" w:firstLine="480" w:firstLineChars="200"/>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lang w:val="en-US" w:eastAsia="zh-CN"/>
              </w:rPr>
              <w:t>2</w:t>
            </w:r>
            <w:r>
              <w:rPr>
                <w:rFonts w:hint="eastAsia" w:ascii="宋体" w:hAnsi="宋体" w:eastAsia="宋体" w:cs="宋体"/>
                <w:color w:val="000000"/>
                <w:kern w:val="0"/>
                <w:sz w:val="24"/>
                <w:highlight w:val="none"/>
              </w:rPr>
              <w:t>.</w:t>
            </w:r>
            <w:r>
              <w:rPr>
                <w:rFonts w:hint="eastAsia" w:ascii="宋体" w:hAnsi="宋体" w:eastAsia="宋体" w:cs="Times New Roman"/>
                <w:color w:val="000000"/>
                <w:sz w:val="24"/>
                <w:highlight w:val="none"/>
                <w:lang w:eastAsia="zh-CN"/>
              </w:rPr>
              <w:t>中交一公局集团有限公司G331线至三塘湖火车站道路建设项目临时用地</w:t>
            </w:r>
            <w:r>
              <w:rPr>
                <w:rFonts w:hint="eastAsia" w:ascii="宋体" w:hAnsi="宋体" w:eastAsia="宋体" w:cs="宋体"/>
                <w:color w:val="000000"/>
                <w:kern w:val="0"/>
                <w:sz w:val="24"/>
                <w:highlight w:val="none"/>
              </w:rPr>
              <w:t>土地损毁预测图（1:</w:t>
            </w:r>
            <w:r>
              <w:rPr>
                <w:rFonts w:hint="eastAsia" w:ascii="宋体" w:hAnsi="宋体" w:cs="宋体"/>
                <w:color w:val="000000"/>
                <w:kern w:val="0"/>
                <w:sz w:val="24"/>
                <w:highlight w:val="none"/>
                <w:lang w:val="en-US" w:eastAsia="zh-CN"/>
              </w:rPr>
              <w:t>2</w:t>
            </w:r>
            <w:r>
              <w:rPr>
                <w:rFonts w:hint="eastAsia" w:ascii="宋体" w:hAnsi="宋体" w:eastAsia="宋体" w:cs="宋体"/>
                <w:color w:val="000000"/>
                <w:kern w:val="0"/>
                <w:sz w:val="24"/>
                <w:highlight w:val="none"/>
              </w:rPr>
              <w:t>000）</w:t>
            </w:r>
          </w:p>
          <w:p w14:paraId="7BCBB540">
            <w:pPr>
              <w:keepNext w:val="0"/>
              <w:keepLines w:val="0"/>
              <w:widowControl/>
              <w:suppressLineNumbers w:val="0"/>
              <w:spacing w:before="0" w:beforeAutospacing="0" w:after="0" w:afterAutospacing="0" w:line="360" w:lineRule="auto"/>
              <w:ind w:left="0" w:right="0" w:firstLine="480" w:firstLineChars="200"/>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lang w:val="en-US" w:eastAsia="zh-CN"/>
              </w:rPr>
              <w:t>3</w:t>
            </w:r>
            <w:r>
              <w:rPr>
                <w:rFonts w:hint="eastAsia" w:ascii="宋体" w:hAnsi="宋体" w:eastAsia="宋体" w:cs="宋体"/>
                <w:color w:val="000000"/>
                <w:kern w:val="0"/>
                <w:sz w:val="24"/>
                <w:highlight w:val="none"/>
              </w:rPr>
              <w:t>.</w:t>
            </w:r>
            <w:r>
              <w:rPr>
                <w:rFonts w:hint="eastAsia" w:ascii="宋体" w:hAnsi="宋体" w:eastAsia="宋体" w:cs="Times New Roman"/>
                <w:color w:val="000000"/>
                <w:sz w:val="24"/>
                <w:highlight w:val="none"/>
                <w:lang w:eastAsia="zh-CN"/>
              </w:rPr>
              <w:t>中交一公局集团有限公司G331线至三塘湖火车站道路建设项目临时用地</w:t>
            </w:r>
            <w:r>
              <w:rPr>
                <w:rFonts w:hint="eastAsia" w:ascii="宋体" w:hAnsi="宋体" w:eastAsia="宋体" w:cs="宋体"/>
                <w:color w:val="000000"/>
                <w:kern w:val="0"/>
                <w:sz w:val="24"/>
                <w:highlight w:val="none"/>
              </w:rPr>
              <w:t>土地复垦规划图（1:</w:t>
            </w:r>
            <w:r>
              <w:rPr>
                <w:rFonts w:hint="eastAsia" w:ascii="宋体" w:hAnsi="宋体" w:cs="宋体"/>
                <w:color w:val="000000"/>
                <w:kern w:val="0"/>
                <w:sz w:val="24"/>
                <w:highlight w:val="none"/>
                <w:lang w:val="en-US" w:eastAsia="zh-CN"/>
              </w:rPr>
              <w:t>2</w:t>
            </w:r>
            <w:r>
              <w:rPr>
                <w:rFonts w:hint="eastAsia" w:ascii="宋体" w:hAnsi="宋体" w:eastAsia="宋体" w:cs="宋体"/>
                <w:color w:val="000000"/>
                <w:kern w:val="0"/>
                <w:sz w:val="24"/>
                <w:highlight w:val="none"/>
              </w:rPr>
              <w:t>000）</w:t>
            </w:r>
          </w:p>
        </w:tc>
      </w:tr>
    </w:tbl>
    <w:p w14:paraId="221B7F18">
      <w:pPr>
        <w:pStyle w:val="2"/>
        <w:ind w:left="0" w:leftChars="0" w:firstLine="0" w:firstLineChars="0"/>
        <w:outlineLvl w:val="0"/>
        <w:rPr>
          <w:rFonts w:hint="eastAsia" w:ascii="宋体" w:hAnsi="宋体" w:eastAsia="宋体"/>
          <w:color w:val="000000"/>
          <w:sz w:val="24"/>
          <w:highlight w:val="none"/>
          <w:lang w:val="en-US" w:eastAsia="zh-CN"/>
        </w:rPr>
      </w:pPr>
      <w:r>
        <w:rPr>
          <w:rFonts w:hint="eastAsia" w:ascii="宋体" w:hAnsi="宋体"/>
          <w:color w:val="000000"/>
          <w:sz w:val="24"/>
          <w:highlight w:val="none"/>
        </w:rPr>
        <w:t>填表人：</w:t>
      </w:r>
      <w:r>
        <w:rPr>
          <w:rFonts w:hint="eastAsia" w:ascii="宋体" w:hAnsi="宋体"/>
          <w:color w:val="000000"/>
          <w:sz w:val="24"/>
          <w:highlight w:val="none"/>
          <w:lang w:val="en-US" w:eastAsia="zh-CN"/>
        </w:rPr>
        <w:t xml:space="preserve">祖里帕哈        </w:t>
      </w:r>
      <w:r>
        <w:rPr>
          <w:rFonts w:hint="eastAsia" w:ascii="宋体" w:hAnsi="宋体"/>
          <w:color w:val="000000"/>
          <w:sz w:val="24"/>
          <w:highlight w:val="none"/>
        </w:rPr>
        <w:t>填表日期：</w:t>
      </w:r>
      <w:r>
        <w:rPr>
          <w:rFonts w:hint="eastAsia" w:ascii="宋体" w:hAnsi="宋体"/>
          <w:color w:val="000000"/>
          <w:sz w:val="24"/>
          <w:highlight w:val="none"/>
          <w:lang w:eastAsia="zh-CN"/>
        </w:rPr>
        <w:t>202</w:t>
      </w:r>
      <w:r>
        <w:rPr>
          <w:rFonts w:hint="eastAsia" w:ascii="宋体" w:hAnsi="宋体"/>
          <w:color w:val="000000"/>
          <w:sz w:val="24"/>
          <w:highlight w:val="none"/>
          <w:lang w:val="en-US" w:eastAsia="zh-CN"/>
        </w:rPr>
        <w:t>5</w:t>
      </w:r>
      <w:r>
        <w:rPr>
          <w:rFonts w:hint="eastAsia" w:ascii="宋体" w:hAnsi="宋体"/>
          <w:color w:val="000000"/>
          <w:sz w:val="24"/>
          <w:highlight w:val="none"/>
          <w:lang w:eastAsia="zh-CN"/>
        </w:rPr>
        <w:t>年</w:t>
      </w:r>
      <w:r>
        <w:rPr>
          <w:rFonts w:hint="eastAsia" w:ascii="宋体" w:hAnsi="宋体"/>
          <w:color w:val="000000"/>
          <w:sz w:val="24"/>
          <w:highlight w:val="none"/>
          <w:lang w:val="en-US" w:eastAsia="zh-CN"/>
        </w:rPr>
        <w:t>1</w:t>
      </w:r>
      <w:r>
        <w:rPr>
          <w:rFonts w:hint="eastAsia" w:ascii="宋体" w:hAnsi="宋体"/>
          <w:color w:val="000000"/>
          <w:sz w:val="24"/>
          <w:highlight w:val="none"/>
          <w:lang w:eastAsia="zh-CN"/>
        </w:rPr>
        <w:t>月</w:t>
      </w:r>
      <w:r>
        <w:rPr>
          <w:rFonts w:hint="eastAsia" w:ascii="宋体" w:hAnsi="宋体"/>
          <w:color w:val="000000"/>
          <w:sz w:val="24"/>
          <w:highlight w:val="none"/>
          <w:lang w:val="en-US" w:eastAsia="zh-CN"/>
        </w:rPr>
        <w:t>2</w:t>
      </w:r>
      <w:r>
        <w:rPr>
          <w:rFonts w:hint="eastAsia" w:ascii="宋体" w:hAnsi="宋体"/>
          <w:color w:val="000000"/>
          <w:sz w:val="24"/>
          <w:highlight w:val="none"/>
          <w:lang w:eastAsia="zh-CN"/>
        </w:rPr>
        <w:t>日</w:t>
      </w:r>
    </w:p>
    <w:sectPr>
      <w:footerReference r:id="rId6" w:type="default"/>
      <w:pgSz w:w="11906" w:h="16838"/>
      <w:pgMar w:top="1134" w:right="1418" w:bottom="1134" w:left="896" w:header="851" w:footer="992" w:gutter="567"/>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EC794">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E2B60">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9EC6F02">
                          <w:pPr>
                            <w:pStyle w:val="14"/>
                          </w:pPr>
                          <w:r>
                            <w:fldChar w:fldCharType="begin"/>
                          </w:r>
                          <w:r>
                            <w:instrText xml:space="preserve"> PAGE  \* MERGEFORMAT </w:instrText>
                          </w:r>
                          <w:r>
                            <w:fldChar w:fldCharType="separate"/>
                          </w:r>
                          <w:r>
                            <w:t>3</w:t>
                          </w:r>
                          <w:r>
                            <w:fldChar w:fldCharType="end"/>
                          </w:r>
                        </w:p>
                      </w:txbxContent>
                    </wps:txbx>
                    <wps:bodyPr vert="horz" wrap="none" lIns="0" tIns="0" rIns="0" bIns="0" anchor="t"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hpgkvTAAAABQEAAA8A&#10;AAAAAAAAAQAgAAAAIgAAAGRycy9kb3ducmV2LnhtbFBLAQIUABQAAAAIAIdO4kAIFA5W4wEAAL0D&#10;AAAOAAAAAAAAAAEAIAAAACIBAABkcnMvZTJvRG9jLnhtbFBLBQYAAAAABgAGAFkBAAB3BQAAAAA=&#10;">
              <v:fill on="f" focussize="0,0"/>
              <v:stroke on="f" weight="1.25pt"/>
              <v:imagedata o:title=""/>
              <o:lock v:ext="edit" aspectratio="f"/>
              <v:textbox inset="0mm,0mm,0mm,0mm" style="mso-fit-shape-to-text:t;">
                <w:txbxContent>
                  <w:p w14:paraId="59EC6F02">
                    <w:pPr>
                      <w:pStyle w:val="14"/>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F0E81">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35850">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9B7000"/>
    <w:multiLevelType w:val="singleLevel"/>
    <w:tmpl w:val="919B7000"/>
    <w:lvl w:ilvl="0" w:tentative="0">
      <w:start w:val="1"/>
      <w:numFmt w:val="chineseCounting"/>
      <w:suff w:val="nothing"/>
      <w:lvlText w:val="%1、"/>
      <w:lvlJc w:val="left"/>
      <w:rPr>
        <w:rFonts w:hint="eastAsia"/>
      </w:rPr>
    </w:lvl>
  </w:abstractNum>
  <w:abstractNum w:abstractNumId="1">
    <w:nsid w:val="DDCD0B02"/>
    <w:multiLevelType w:val="singleLevel"/>
    <w:tmpl w:val="DDCD0B02"/>
    <w:lvl w:ilvl="0" w:tentative="0">
      <w:start w:val="1"/>
      <w:numFmt w:val="decimal"/>
      <w:pStyle w:val="12"/>
      <w:lvlText w:val="%1."/>
      <w:lvlJc w:val="left"/>
      <w:pPr>
        <w:tabs>
          <w:tab w:val="left" w:pos="2040"/>
        </w:tabs>
        <w:ind w:left="2040" w:hanging="360"/>
      </w:pPr>
    </w:lvl>
  </w:abstractNum>
  <w:abstractNum w:abstractNumId="2">
    <w:nsid w:val="58FA7C4C"/>
    <w:multiLevelType w:val="multilevel"/>
    <w:tmpl w:val="58FA7C4C"/>
    <w:lvl w:ilvl="0" w:tentative="0">
      <w:start w:val="1"/>
      <w:numFmt w:val="bullet"/>
      <w:lvlText w:val="o"/>
      <w:lvlJc w:val="left"/>
      <w:pPr>
        <w:tabs>
          <w:tab w:val="left" w:pos="720"/>
        </w:tabs>
        <w:ind w:left="720" w:hanging="360"/>
      </w:pPr>
      <w:rPr>
        <w:rFonts w:ascii="Courier New" w:hAnsi="Courier New" w:cs="Courier New"/>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o"/>
      <w:lvlJc w:val="left"/>
      <w:pPr>
        <w:tabs>
          <w:tab w:val="left" w:pos="2160"/>
        </w:tabs>
        <w:ind w:left="2160" w:hanging="360"/>
      </w:pPr>
      <w:rPr>
        <w:rFonts w:hint="default" w:ascii="Courier New" w:hAnsi="Courier New" w:cs="Courier New"/>
        <w:sz w:val="20"/>
      </w:rPr>
    </w:lvl>
    <w:lvl w:ilvl="3" w:tentative="0">
      <w:start w:val="1"/>
      <w:numFmt w:val="bullet"/>
      <w:lvlText w:val="o"/>
      <w:lvlJc w:val="left"/>
      <w:pPr>
        <w:tabs>
          <w:tab w:val="left" w:pos="2880"/>
        </w:tabs>
        <w:ind w:left="2880" w:hanging="360"/>
      </w:pPr>
      <w:rPr>
        <w:rFonts w:hint="default" w:ascii="Courier New" w:hAnsi="Courier New" w:cs="Courier New"/>
        <w:sz w:val="20"/>
      </w:rPr>
    </w:lvl>
    <w:lvl w:ilvl="4" w:tentative="0">
      <w:start w:val="1"/>
      <w:numFmt w:val="bullet"/>
      <w:lvlText w:val="o"/>
      <w:lvlJc w:val="left"/>
      <w:pPr>
        <w:tabs>
          <w:tab w:val="left" w:pos="3600"/>
        </w:tabs>
        <w:ind w:left="3600" w:hanging="360"/>
      </w:pPr>
      <w:rPr>
        <w:rFonts w:hint="default" w:ascii="Courier New" w:hAnsi="Courier New" w:cs="Courier New"/>
        <w:sz w:val="20"/>
      </w:rPr>
    </w:lvl>
    <w:lvl w:ilvl="5" w:tentative="0">
      <w:start w:val="1"/>
      <w:numFmt w:val="bullet"/>
      <w:lvlText w:val="o"/>
      <w:lvlJc w:val="left"/>
      <w:pPr>
        <w:tabs>
          <w:tab w:val="left" w:pos="4320"/>
        </w:tabs>
        <w:ind w:left="4320" w:hanging="360"/>
      </w:pPr>
      <w:rPr>
        <w:rFonts w:hint="default" w:ascii="Courier New" w:hAnsi="Courier New" w:cs="Courier New"/>
        <w:sz w:val="20"/>
      </w:rPr>
    </w:lvl>
    <w:lvl w:ilvl="6" w:tentative="0">
      <w:start w:val="1"/>
      <w:numFmt w:val="bullet"/>
      <w:lvlText w:val="o"/>
      <w:lvlJc w:val="left"/>
      <w:pPr>
        <w:tabs>
          <w:tab w:val="left" w:pos="5040"/>
        </w:tabs>
        <w:ind w:left="5040" w:hanging="360"/>
      </w:pPr>
      <w:rPr>
        <w:rFonts w:hint="default" w:ascii="Courier New" w:hAnsi="Courier New" w:cs="Courier New"/>
        <w:sz w:val="20"/>
      </w:rPr>
    </w:lvl>
    <w:lvl w:ilvl="7" w:tentative="0">
      <w:start w:val="1"/>
      <w:numFmt w:val="bullet"/>
      <w:lvlText w:val="o"/>
      <w:lvlJc w:val="left"/>
      <w:pPr>
        <w:tabs>
          <w:tab w:val="left" w:pos="5760"/>
        </w:tabs>
        <w:ind w:left="5760" w:hanging="360"/>
      </w:pPr>
      <w:rPr>
        <w:rFonts w:hint="default" w:ascii="Courier New" w:hAnsi="Courier New" w:cs="Courier New"/>
        <w:sz w:val="20"/>
      </w:rPr>
    </w:lvl>
    <w:lvl w:ilvl="8" w:tentative="0">
      <w:start w:val="1"/>
      <w:numFmt w:val="bullet"/>
      <w:lvlText w:val="o"/>
      <w:lvlJc w:val="left"/>
      <w:pPr>
        <w:tabs>
          <w:tab w:val="left" w:pos="6480"/>
        </w:tabs>
        <w:ind w:left="6480" w:hanging="360"/>
      </w:pPr>
      <w:rPr>
        <w:rFonts w:hint="default" w:ascii="Courier New" w:hAnsi="Courier New" w:cs="Courier New"/>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5MzdmNGJiNDIzM2M3ODY4MDYxZWI1OGYzZTY4ZWUifQ=="/>
  </w:docVars>
  <w:rsids>
    <w:rsidRoot w:val="00172A27"/>
    <w:rsid w:val="000B28FA"/>
    <w:rsid w:val="001068B8"/>
    <w:rsid w:val="001431BC"/>
    <w:rsid w:val="00150EAD"/>
    <w:rsid w:val="0016614D"/>
    <w:rsid w:val="00186BF0"/>
    <w:rsid w:val="00250FE5"/>
    <w:rsid w:val="002B6923"/>
    <w:rsid w:val="00302053"/>
    <w:rsid w:val="00305CE7"/>
    <w:rsid w:val="00327CB1"/>
    <w:rsid w:val="00396E9F"/>
    <w:rsid w:val="004640BE"/>
    <w:rsid w:val="00494B63"/>
    <w:rsid w:val="00495E99"/>
    <w:rsid w:val="004C6560"/>
    <w:rsid w:val="00534A08"/>
    <w:rsid w:val="00593490"/>
    <w:rsid w:val="005B037A"/>
    <w:rsid w:val="00621C19"/>
    <w:rsid w:val="0067722F"/>
    <w:rsid w:val="00683500"/>
    <w:rsid w:val="00770D23"/>
    <w:rsid w:val="0078768E"/>
    <w:rsid w:val="007A1658"/>
    <w:rsid w:val="0082125B"/>
    <w:rsid w:val="008B5614"/>
    <w:rsid w:val="00902C2A"/>
    <w:rsid w:val="009269A2"/>
    <w:rsid w:val="0097410F"/>
    <w:rsid w:val="00991CA0"/>
    <w:rsid w:val="009C5EF5"/>
    <w:rsid w:val="00A276E5"/>
    <w:rsid w:val="00A34C56"/>
    <w:rsid w:val="00A364B9"/>
    <w:rsid w:val="00A9653C"/>
    <w:rsid w:val="00AD558A"/>
    <w:rsid w:val="00B12462"/>
    <w:rsid w:val="00B32474"/>
    <w:rsid w:val="00B3504E"/>
    <w:rsid w:val="00C025D1"/>
    <w:rsid w:val="00C6664C"/>
    <w:rsid w:val="00CD79DA"/>
    <w:rsid w:val="00D05B6E"/>
    <w:rsid w:val="00D1075A"/>
    <w:rsid w:val="00DD2DBE"/>
    <w:rsid w:val="00DE3995"/>
    <w:rsid w:val="00DF79D8"/>
    <w:rsid w:val="00E84814"/>
    <w:rsid w:val="00EA7D23"/>
    <w:rsid w:val="00EC7181"/>
    <w:rsid w:val="00F211EF"/>
    <w:rsid w:val="00F27441"/>
    <w:rsid w:val="00F41F05"/>
    <w:rsid w:val="00F90DD3"/>
    <w:rsid w:val="01101675"/>
    <w:rsid w:val="01200547"/>
    <w:rsid w:val="0126649C"/>
    <w:rsid w:val="01284C10"/>
    <w:rsid w:val="012A0989"/>
    <w:rsid w:val="01325A8F"/>
    <w:rsid w:val="0132783D"/>
    <w:rsid w:val="013853A2"/>
    <w:rsid w:val="013B0DE8"/>
    <w:rsid w:val="0147153B"/>
    <w:rsid w:val="01537095"/>
    <w:rsid w:val="015438CB"/>
    <w:rsid w:val="01600513"/>
    <w:rsid w:val="016A5202"/>
    <w:rsid w:val="0179546C"/>
    <w:rsid w:val="017E0CD4"/>
    <w:rsid w:val="018A331A"/>
    <w:rsid w:val="019F1377"/>
    <w:rsid w:val="01A63CD7"/>
    <w:rsid w:val="01B14216"/>
    <w:rsid w:val="01BB7833"/>
    <w:rsid w:val="01C04E49"/>
    <w:rsid w:val="01C40DDD"/>
    <w:rsid w:val="01C505B5"/>
    <w:rsid w:val="01D339F3"/>
    <w:rsid w:val="01DB1C83"/>
    <w:rsid w:val="01E66FA5"/>
    <w:rsid w:val="01ED634F"/>
    <w:rsid w:val="01EF549E"/>
    <w:rsid w:val="01F33470"/>
    <w:rsid w:val="01F45CF8"/>
    <w:rsid w:val="01F8010F"/>
    <w:rsid w:val="02004611"/>
    <w:rsid w:val="020766B9"/>
    <w:rsid w:val="02084865"/>
    <w:rsid w:val="020E2058"/>
    <w:rsid w:val="02217FDE"/>
    <w:rsid w:val="022526E0"/>
    <w:rsid w:val="022573A2"/>
    <w:rsid w:val="02306473"/>
    <w:rsid w:val="02385327"/>
    <w:rsid w:val="02405F8A"/>
    <w:rsid w:val="02426589"/>
    <w:rsid w:val="024F7D9B"/>
    <w:rsid w:val="025263E9"/>
    <w:rsid w:val="02567E33"/>
    <w:rsid w:val="02624E89"/>
    <w:rsid w:val="02650658"/>
    <w:rsid w:val="026E0D49"/>
    <w:rsid w:val="02746F16"/>
    <w:rsid w:val="02783976"/>
    <w:rsid w:val="027F4D04"/>
    <w:rsid w:val="02820350"/>
    <w:rsid w:val="028D4AE0"/>
    <w:rsid w:val="02A77EAB"/>
    <w:rsid w:val="02A824AD"/>
    <w:rsid w:val="02AB5AF9"/>
    <w:rsid w:val="02B60A8D"/>
    <w:rsid w:val="02B73F10"/>
    <w:rsid w:val="02BC3648"/>
    <w:rsid w:val="02C62933"/>
    <w:rsid w:val="02C90C82"/>
    <w:rsid w:val="02CE17E8"/>
    <w:rsid w:val="02D23086"/>
    <w:rsid w:val="02D74B40"/>
    <w:rsid w:val="02E35293"/>
    <w:rsid w:val="02E5725D"/>
    <w:rsid w:val="02E64D83"/>
    <w:rsid w:val="02EA2C12"/>
    <w:rsid w:val="02F32FFC"/>
    <w:rsid w:val="02F72F66"/>
    <w:rsid w:val="02F9504A"/>
    <w:rsid w:val="03015719"/>
    <w:rsid w:val="030E7E36"/>
    <w:rsid w:val="031514EA"/>
    <w:rsid w:val="0317318F"/>
    <w:rsid w:val="031F3DF1"/>
    <w:rsid w:val="032633D2"/>
    <w:rsid w:val="032E5CBE"/>
    <w:rsid w:val="033A0C2B"/>
    <w:rsid w:val="03435D32"/>
    <w:rsid w:val="0344024F"/>
    <w:rsid w:val="03451AAA"/>
    <w:rsid w:val="034B4BE6"/>
    <w:rsid w:val="03661A20"/>
    <w:rsid w:val="036F42F3"/>
    <w:rsid w:val="03824AAC"/>
    <w:rsid w:val="038C709D"/>
    <w:rsid w:val="03962305"/>
    <w:rsid w:val="03A10CAA"/>
    <w:rsid w:val="03A502A7"/>
    <w:rsid w:val="03AA75BD"/>
    <w:rsid w:val="03B1493A"/>
    <w:rsid w:val="03BE30DF"/>
    <w:rsid w:val="03BE360A"/>
    <w:rsid w:val="03C63AB9"/>
    <w:rsid w:val="03C736E0"/>
    <w:rsid w:val="03C74493"/>
    <w:rsid w:val="03D03378"/>
    <w:rsid w:val="03D60954"/>
    <w:rsid w:val="03D80B70"/>
    <w:rsid w:val="03DA48E8"/>
    <w:rsid w:val="03E017D2"/>
    <w:rsid w:val="03FB660C"/>
    <w:rsid w:val="03FD515B"/>
    <w:rsid w:val="03FE7EAB"/>
    <w:rsid w:val="04051EBB"/>
    <w:rsid w:val="04115C76"/>
    <w:rsid w:val="04163446"/>
    <w:rsid w:val="041D4D09"/>
    <w:rsid w:val="0438617D"/>
    <w:rsid w:val="043B2EAD"/>
    <w:rsid w:val="043D09D3"/>
    <w:rsid w:val="043E40D7"/>
    <w:rsid w:val="04447FB3"/>
    <w:rsid w:val="045204C8"/>
    <w:rsid w:val="04581CB1"/>
    <w:rsid w:val="045F303F"/>
    <w:rsid w:val="046643CE"/>
    <w:rsid w:val="04784101"/>
    <w:rsid w:val="049700B1"/>
    <w:rsid w:val="049E5D1F"/>
    <w:rsid w:val="04A9250C"/>
    <w:rsid w:val="04AC007F"/>
    <w:rsid w:val="04B35139"/>
    <w:rsid w:val="04B52447"/>
    <w:rsid w:val="04B70785"/>
    <w:rsid w:val="04B86B18"/>
    <w:rsid w:val="04BD68EF"/>
    <w:rsid w:val="04C17A26"/>
    <w:rsid w:val="04C546E0"/>
    <w:rsid w:val="04D534BD"/>
    <w:rsid w:val="04DC01EC"/>
    <w:rsid w:val="04E43544"/>
    <w:rsid w:val="04EE7F1F"/>
    <w:rsid w:val="04F76DD4"/>
    <w:rsid w:val="04F80D9E"/>
    <w:rsid w:val="04FA5919"/>
    <w:rsid w:val="04FD0162"/>
    <w:rsid w:val="05017C52"/>
    <w:rsid w:val="0505571B"/>
    <w:rsid w:val="050A70BB"/>
    <w:rsid w:val="0519537F"/>
    <w:rsid w:val="051C2760"/>
    <w:rsid w:val="052B4CCF"/>
    <w:rsid w:val="052E324A"/>
    <w:rsid w:val="053D043C"/>
    <w:rsid w:val="054364BD"/>
    <w:rsid w:val="05502988"/>
    <w:rsid w:val="05517A24"/>
    <w:rsid w:val="05581AAB"/>
    <w:rsid w:val="05595CE0"/>
    <w:rsid w:val="05712A4E"/>
    <w:rsid w:val="05856AD5"/>
    <w:rsid w:val="05871D85"/>
    <w:rsid w:val="058C1C12"/>
    <w:rsid w:val="059D3E1F"/>
    <w:rsid w:val="05A0746B"/>
    <w:rsid w:val="05B22616"/>
    <w:rsid w:val="05BB44C9"/>
    <w:rsid w:val="05C0366A"/>
    <w:rsid w:val="05C720E3"/>
    <w:rsid w:val="05C869C2"/>
    <w:rsid w:val="05D15877"/>
    <w:rsid w:val="05E27A84"/>
    <w:rsid w:val="05E355AA"/>
    <w:rsid w:val="05EA2DDC"/>
    <w:rsid w:val="05F22A9A"/>
    <w:rsid w:val="05F91647"/>
    <w:rsid w:val="05FE23E4"/>
    <w:rsid w:val="06020FE1"/>
    <w:rsid w:val="060E6ACB"/>
    <w:rsid w:val="060F45F1"/>
    <w:rsid w:val="060F5ED8"/>
    <w:rsid w:val="061614DB"/>
    <w:rsid w:val="06175254"/>
    <w:rsid w:val="0618635C"/>
    <w:rsid w:val="06242998"/>
    <w:rsid w:val="062736E9"/>
    <w:rsid w:val="062958A2"/>
    <w:rsid w:val="062B77DA"/>
    <w:rsid w:val="062C6F51"/>
    <w:rsid w:val="06473D8B"/>
    <w:rsid w:val="0653252A"/>
    <w:rsid w:val="06601CDF"/>
    <w:rsid w:val="06767EE0"/>
    <w:rsid w:val="0677779A"/>
    <w:rsid w:val="068154EF"/>
    <w:rsid w:val="06826B71"/>
    <w:rsid w:val="06856F56"/>
    <w:rsid w:val="068943A3"/>
    <w:rsid w:val="068B1EC9"/>
    <w:rsid w:val="068D4557"/>
    <w:rsid w:val="06930D7E"/>
    <w:rsid w:val="06976AC0"/>
    <w:rsid w:val="069A035E"/>
    <w:rsid w:val="06A0349B"/>
    <w:rsid w:val="06AC1E40"/>
    <w:rsid w:val="06AF067A"/>
    <w:rsid w:val="06B055DE"/>
    <w:rsid w:val="06CA25FA"/>
    <w:rsid w:val="06D66EBD"/>
    <w:rsid w:val="06D870D9"/>
    <w:rsid w:val="06E82466"/>
    <w:rsid w:val="06EB0BBA"/>
    <w:rsid w:val="06EE4206"/>
    <w:rsid w:val="07016A24"/>
    <w:rsid w:val="070C0DEF"/>
    <w:rsid w:val="07177C01"/>
    <w:rsid w:val="072639A0"/>
    <w:rsid w:val="07322345"/>
    <w:rsid w:val="07347FFB"/>
    <w:rsid w:val="073A04A2"/>
    <w:rsid w:val="074327A4"/>
    <w:rsid w:val="075671B9"/>
    <w:rsid w:val="075E75DE"/>
    <w:rsid w:val="076741AC"/>
    <w:rsid w:val="076754F1"/>
    <w:rsid w:val="076E16CA"/>
    <w:rsid w:val="07707311"/>
    <w:rsid w:val="07796682"/>
    <w:rsid w:val="077C69D1"/>
    <w:rsid w:val="078F7797"/>
    <w:rsid w:val="07944DAE"/>
    <w:rsid w:val="07950700"/>
    <w:rsid w:val="07966D78"/>
    <w:rsid w:val="079A524B"/>
    <w:rsid w:val="079A79C5"/>
    <w:rsid w:val="079D3328"/>
    <w:rsid w:val="07A47AD1"/>
    <w:rsid w:val="07B13BB2"/>
    <w:rsid w:val="07B748F3"/>
    <w:rsid w:val="07B94814"/>
    <w:rsid w:val="07BE68B5"/>
    <w:rsid w:val="07CD7D59"/>
    <w:rsid w:val="07E55E8F"/>
    <w:rsid w:val="07E86EA8"/>
    <w:rsid w:val="07EF46DA"/>
    <w:rsid w:val="07F10452"/>
    <w:rsid w:val="07F56673"/>
    <w:rsid w:val="07F90D99"/>
    <w:rsid w:val="08072FEE"/>
    <w:rsid w:val="0808754A"/>
    <w:rsid w:val="080D0C0C"/>
    <w:rsid w:val="08111672"/>
    <w:rsid w:val="08122176"/>
    <w:rsid w:val="081303C8"/>
    <w:rsid w:val="08161C67"/>
    <w:rsid w:val="08163028"/>
    <w:rsid w:val="081713D3"/>
    <w:rsid w:val="08183C31"/>
    <w:rsid w:val="081964D9"/>
    <w:rsid w:val="082920BD"/>
    <w:rsid w:val="082F4AD6"/>
    <w:rsid w:val="0833466A"/>
    <w:rsid w:val="0833790B"/>
    <w:rsid w:val="08365E65"/>
    <w:rsid w:val="08397703"/>
    <w:rsid w:val="0843241C"/>
    <w:rsid w:val="08564602"/>
    <w:rsid w:val="085D7896"/>
    <w:rsid w:val="08602EE2"/>
    <w:rsid w:val="086735A3"/>
    <w:rsid w:val="0880171A"/>
    <w:rsid w:val="0891753F"/>
    <w:rsid w:val="0896755D"/>
    <w:rsid w:val="08980941"/>
    <w:rsid w:val="089900B5"/>
    <w:rsid w:val="089E3A0A"/>
    <w:rsid w:val="08A22808"/>
    <w:rsid w:val="08AE00F1"/>
    <w:rsid w:val="08B17E8F"/>
    <w:rsid w:val="08B33959"/>
    <w:rsid w:val="08B651F8"/>
    <w:rsid w:val="08B76626"/>
    <w:rsid w:val="08C62F21"/>
    <w:rsid w:val="08C6543B"/>
    <w:rsid w:val="08C77405"/>
    <w:rsid w:val="08C90A87"/>
    <w:rsid w:val="08DB07BA"/>
    <w:rsid w:val="08EB6C4F"/>
    <w:rsid w:val="08F024B8"/>
    <w:rsid w:val="08FD160B"/>
    <w:rsid w:val="08FF7AB1"/>
    <w:rsid w:val="090B1EB0"/>
    <w:rsid w:val="091361A6"/>
    <w:rsid w:val="09155A79"/>
    <w:rsid w:val="091E5277"/>
    <w:rsid w:val="092A7852"/>
    <w:rsid w:val="09410D22"/>
    <w:rsid w:val="09430557"/>
    <w:rsid w:val="094E3682"/>
    <w:rsid w:val="09565F9E"/>
    <w:rsid w:val="09640C9C"/>
    <w:rsid w:val="09646A02"/>
    <w:rsid w:val="096D4E25"/>
    <w:rsid w:val="096E5B72"/>
    <w:rsid w:val="097906FF"/>
    <w:rsid w:val="097C1F9D"/>
    <w:rsid w:val="097D0913"/>
    <w:rsid w:val="09916EF4"/>
    <w:rsid w:val="09954E0D"/>
    <w:rsid w:val="09991B5B"/>
    <w:rsid w:val="09A11A04"/>
    <w:rsid w:val="09A6526C"/>
    <w:rsid w:val="09AB4631"/>
    <w:rsid w:val="09B90AFC"/>
    <w:rsid w:val="09BE25B6"/>
    <w:rsid w:val="09C556F2"/>
    <w:rsid w:val="09CF7351"/>
    <w:rsid w:val="09DB4F16"/>
    <w:rsid w:val="09EE3789"/>
    <w:rsid w:val="09F45FD8"/>
    <w:rsid w:val="09F47B7D"/>
    <w:rsid w:val="09FB4E28"/>
    <w:rsid w:val="0A0C77ED"/>
    <w:rsid w:val="0A0F696E"/>
    <w:rsid w:val="0A145D5E"/>
    <w:rsid w:val="0A1641A0"/>
    <w:rsid w:val="0A171CC6"/>
    <w:rsid w:val="0A2328C0"/>
    <w:rsid w:val="0A2549A1"/>
    <w:rsid w:val="0A357AEC"/>
    <w:rsid w:val="0A3C654C"/>
    <w:rsid w:val="0A407D4E"/>
    <w:rsid w:val="0A546A76"/>
    <w:rsid w:val="0A56459C"/>
    <w:rsid w:val="0A570314"/>
    <w:rsid w:val="0A63101A"/>
    <w:rsid w:val="0A636CB9"/>
    <w:rsid w:val="0A6A6C5A"/>
    <w:rsid w:val="0A6B77C1"/>
    <w:rsid w:val="0A6C0264"/>
    <w:rsid w:val="0A6D5929"/>
    <w:rsid w:val="0A762E91"/>
    <w:rsid w:val="0A7B2255"/>
    <w:rsid w:val="0A80786B"/>
    <w:rsid w:val="0A8839C3"/>
    <w:rsid w:val="0A8F45D6"/>
    <w:rsid w:val="0A981059"/>
    <w:rsid w:val="0A9D21CB"/>
    <w:rsid w:val="0AA90B70"/>
    <w:rsid w:val="0AAA48E8"/>
    <w:rsid w:val="0AAA4967"/>
    <w:rsid w:val="0ABB6AF5"/>
    <w:rsid w:val="0AC110ED"/>
    <w:rsid w:val="0AD86B07"/>
    <w:rsid w:val="0ADD2F10"/>
    <w:rsid w:val="0ADE440B"/>
    <w:rsid w:val="0AE2298C"/>
    <w:rsid w:val="0AE55920"/>
    <w:rsid w:val="0AEC3153"/>
    <w:rsid w:val="0AEE2A27"/>
    <w:rsid w:val="0AF55D55"/>
    <w:rsid w:val="0AF95572"/>
    <w:rsid w:val="0B0508D1"/>
    <w:rsid w:val="0B077F8D"/>
    <w:rsid w:val="0B0C55A3"/>
    <w:rsid w:val="0B106E41"/>
    <w:rsid w:val="0B156206"/>
    <w:rsid w:val="0B303367"/>
    <w:rsid w:val="0B3979E2"/>
    <w:rsid w:val="0B3B7059"/>
    <w:rsid w:val="0B3F5BAF"/>
    <w:rsid w:val="0B460AB5"/>
    <w:rsid w:val="0B4B7E79"/>
    <w:rsid w:val="0B4F3D8E"/>
    <w:rsid w:val="0B52745A"/>
    <w:rsid w:val="0B574A70"/>
    <w:rsid w:val="0B582596"/>
    <w:rsid w:val="0B5E5DCE"/>
    <w:rsid w:val="0B622E4D"/>
    <w:rsid w:val="0B6D3F73"/>
    <w:rsid w:val="0B6F522E"/>
    <w:rsid w:val="0B78703F"/>
    <w:rsid w:val="0B7A42BB"/>
    <w:rsid w:val="0B8C1B1F"/>
    <w:rsid w:val="0B913BC2"/>
    <w:rsid w:val="0B927856"/>
    <w:rsid w:val="0B955598"/>
    <w:rsid w:val="0B9610F4"/>
    <w:rsid w:val="0B971310"/>
    <w:rsid w:val="0B9C06D5"/>
    <w:rsid w:val="0B9C2483"/>
    <w:rsid w:val="0BA87886"/>
    <w:rsid w:val="0BAB0918"/>
    <w:rsid w:val="0BC008A8"/>
    <w:rsid w:val="0BD22349"/>
    <w:rsid w:val="0BD91BC8"/>
    <w:rsid w:val="0BEB51B8"/>
    <w:rsid w:val="0BF422BF"/>
    <w:rsid w:val="0BF72C4A"/>
    <w:rsid w:val="0BF91683"/>
    <w:rsid w:val="0C0B585A"/>
    <w:rsid w:val="0C0D3381"/>
    <w:rsid w:val="0C1267FA"/>
    <w:rsid w:val="0C1D6DA1"/>
    <w:rsid w:val="0C22507E"/>
    <w:rsid w:val="0C232C50"/>
    <w:rsid w:val="0C2E7DBA"/>
    <w:rsid w:val="0C364685"/>
    <w:rsid w:val="0C3E0FB5"/>
    <w:rsid w:val="0C41120D"/>
    <w:rsid w:val="0C43689A"/>
    <w:rsid w:val="0C4548C9"/>
    <w:rsid w:val="0C550FD5"/>
    <w:rsid w:val="0C594818"/>
    <w:rsid w:val="0C5D5AA4"/>
    <w:rsid w:val="0C6236CC"/>
    <w:rsid w:val="0C694752"/>
    <w:rsid w:val="0C6B2FCE"/>
    <w:rsid w:val="0C6C00A7"/>
    <w:rsid w:val="0C6C454B"/>
    <w:rsid w:val="0C71137D"/>
    <w:rsid w:val="0C727688"/>
    <w:rsid w:val="0C7358DA"/>
    <w:rsid w:val="0C743400"/>
    <w:rsid w:val="0C874EE1"/>
    <w:rsid w:val="0C880C59"/>
    <w:rsid w:val="0C923886"/>
    <w:rsid w:val="0C980C60"/>
    <w:rsid w:val="0CA23A42"/>
    <w:rsid w:val="0CB33F28"/>
    <w:rsid w:val="0CC55A09"/>
    <w:rsid w:val="0CC9725B"/>
    <w:rsid w:val="0CD143AE"/>
    <w:rsid w:val="0CDB347F"/>
    <w:rsid w:val="0CDD0FA5"/>
    <w:rsid w:val="0CE61730"/>
    <w:rsid w:val="0CE97D9E"/>
    <w:rsid w:val="0CED498B"/>
    <w:rsid w:val="0CEF799A"/>
    <w:rsid w:val="0CF307C8"/>
    <w:rsid w:val="0CF426D5"/>
    <w:rsid w:val="0D1C2D59"/>
    <w:rsid w:val="0D1F15BD"/>
    <w:rsid w:val="0D241CB5"/>
    <w:rsid w:val="0D2E35AF"/>
    <w:rsid w:val="0D33389B"/>
    <w:rsid w:val="0D374B59"/>
    <w:rsid w:val="0D4728C2"/>
    <w:rsid w:val="0D4B2816"/>
    <w:rsid w:val="0D56480C"/>
    <w:rsid w:val="0D645222"/>
    <w:rsid w:val="0D696CDD"/>
    <w:rsid w:val="0D7D4536"/>
    <w:rsid w:val="0D7E1EE5"/>
    <w:rsid w:val="0D870F11"/>
    <w:rsid w:val="0D8853B5"/>
    <w:rsid w:val="0D8E2B66"/>
    <w:rsid w:val="0D8E6B48"/>
    <w:rsid w:val="0D935B07"/>
    <w:rsid w:val="0D9C2C0E"/>
    <w:rsid w:val="0DA35CCD"/>
    <w:rsid w:val="0DAB10A3"/>
    <w:rsid w:val="0DBE2B84"/>
    <w:rsid w:val="0DC54C1A"/>
    <w:rsid w:val="0DD423A8"/>
    <w:rsid w:val="0DD84FC2"/>
    <w:rsid w:val="0DD85C30"/>
    <w:rsid w:val="0DE913BE"/>
    <w:rsid w:val="0DEF71E2"/>
    <w:rsid w:val="0DFA16E3"/>
    <w:rsid w:val="0E0620AA"/>
    <w:rsid w:val="0E121122"/>
    <w:rsid w:val="0E1529C0"/>
    <w:rsid w:val="0E1F65D3"/>
    <w:rsid w:val="0E1F739B"/>
    <w:rsid w:val="0E26697C"/>
    <w:rsid w:val="0E3F1C0C"/>
    <w:rsid w:val="0E4101FE"/>
    <w:rsid w:val="0E48210F"/>
    <w:rsid w:val="0E4D1D1D"/>
    <w:rsid w:val="0E4D215A"/>
    <w:rsid w:val="0E5434E9"/>
    <w:rsid w:val="0E574D87"/>
    <w:rsid w:val="0E5B6625"/>
    <w:rsid w:val="0E6179B4"/>
    <w:rsid w:val="0E6D6359"/>
    <w:rsid w:val="0E76345F"/>
    <w:rsid w:val="0E772D33"/>
    <w:rsid w:val="0E793AA3"/>
    <w:rsid w:val="0E7D2A40"/>
    <w:rsid w:val="0E87566C"/>
    <w:rsid w:val="0E8C4A31"/>
    <w:rsid w:val="0E9655FB"/>
    <w:rsid w:val="0E9E5E03"/>
    <w:rsid w:val="0EC42733"/>
    <w:rsid w:val="0ECA7307"/>
    <w:rsid w:val="0ECE5049"/>
    <w:rsid w:val="0ED65CAC"/>
    <w:rsid w:val="0ED87C76"/>
    <w:rsid w:val="0EEF792D"/>
    <w:rsid w:val="0EF34A9B"/>
    <w:rsid w:val="0EF95E3E"/>
    <w:rsid w:val="0EFB1BB6"/>
    <w:rsid w:val="0F022F45"/>
    <w:rsid w:val="0F040A6B"/>
    <w:rsid w:val="0F0F11BE"/>
    <w:rsid w:val="0F0F48C6"/>
    <w:rsid w:val="0F0F5662"/>
    <w:rsid w:val="0F12129A"/>
    <w:rsid w:val="0F1418F9"/>
    <w:rsid w:val="0F17472E"/>
    <w:rsid w:val="0F1E7653"/>
    <w:rsid w:val="0F296723"/>
    <w:rsid w:val="0F2A424A"/>
    <w:rsid w:val="0F2B249C"/>
    <w:rsid w:val="0F2D159F"/>
    <w:rsid w:val="0F503CB0"/>
    <w:rsid w:val="0F621C35"/>
    <w:rsid w:val="0F6A65F2"/>
    <w:rsid w:val="0F73676B"/>
    <w:rsid w:val="0F7463F4"/>
    <w:rsid w:val="0F7C0340"/>
    <w:rsid w:val="0F7C1CFD"/>
    <w:rsid w:val="0F826CDC"/>
    <w:rsid w:val="0F867822"/>
    <w:rsid w:val="0F9067A2"/>
    <w:rsid w:val="0F955B67"/>
    <w:rsid w:val="0FA77648"/>
    <w:rsid w:val="0FA97864"/>
    <w:rsid w:val="0FAC6704"/>
    <w:rsid w:val="0FB75ADD"/>
    <w:rsid w:val="0FBC4E7E"/>
    <w:rsid w:val="0FC226D4"/>
    <w:rsid w:val="0FC7471C"/>
    <w:rsid w:val="0FD038A4"/>
    <w:rsid w:val="0FDD4314"/>
    <w:rsid w:val="0FE60EFC"/>
    <w:rsid w:val="0FE64CD0"/>
    <w:rsid w:val="0FED7751"/>
    <w:rsid w:val="0FFB5F1B"/>
    <w:rsid w:val="0FFD2107"/>
    <w:rsid w:val="10093E5F"/>
    <w:rsid w:val="100F603B"/>
    <w:rsid w:val="10125409"/>
    <w:rsid w:val="10142F30"/>
    <w:rsid w:val="10156CA8"/>
    <w:rsid w:val="10190546"/>
    <w:rsid w:val="102170A0"/>
    <w:rsid w:val="10246EEB"/>
    <w:rsid w:val="102F6000"/>
    <w:rsid w:val="1035457B"/>
    <w:rsid w:val="103D0568"/>
    <w:rsid w:val="1043262A"/>
    <w:rsid w:val="10437371"/>
    <w:rsid w:val="104B091B"/>
    <w:rsid w:val="10533CEF"/>
    <w:rsid w:val="105E4BB0"/>
    <w:rsid w:val="1065378B"/>
    <w:rsid w:val="1068327B"/>
    <w:rsid w:val="106C5F4C"/>
    <w:rsid w:val="10744CD5"/>
    <w:rsid w:val="107F096B"/>
    <w:rsid w:val="108A31F2"/>
    <w:rsid w:val="10947BCD"/>
    <w:rsid w:val="10951256"/>
    <w:rsid w:val="10A51DDA"/>
    <w:rsid w:val="10AB4F16"/>
    <w:rsid w:val="10B12423"/>
    <w:rsid w:val="10B169D0"/>
    <w:rsid w:val="10B64790"/>
    <w:rsid w:val="10C76721"/>
    <w:rsid w:val="10CF6E57"/>
    <w:rsid w:val="10D10E21"/>
    <w:rsid w:val="10DE709A"/>
    <w:rsid w:val="10E30B54"/>
    <w:rsid w:val="10E31284"/>
    <w:rsid w:val="10E50428"/>
    <w:rsid w:val="10EC7A09"/>
    <w:rsid w:val="10F1501F"/>
    <w:rsid w:val="10F83127"/>
    <w:rsid w:val="10F863AD"/>
    <w:rsid w:val="110765F0"/>
    <w:rsid w:val="110F7B9B"/>
    <w:rsid w:val="11162CD7"/>
    <w:rsid w:val="111B1571"/>
    <w:rsid w:val="111D17ED"/>
    <w:rsid w:val="11222081"/>
    <w:rsid w:val="11274EE5"/>
    <w:rsid w:val="112E6273"/>
    <w:rsid w:val="11447845"/>
    <w:rsid w:val="1146069C"/>
    <w:rsid w:val="11665A0D"/>
    <w:rsid w:val="1178129C"/>
    <w:rsid w:val="117B6FDE"/>
    <w:rsid w:val="1190173B"/>
    <w:rsid w:val="11902A8A"/>
    <w:rsid w:val="11933665"/>
    <w:rsid w:val="119576D6"/>
    <w:rsid w:val="11AB1672"/>
    <w:rsid w:val="11AC214E"/>
    <w:rsid w:val="11AC53EA"/>
    <w:rsid w:val="11C24C0D"/>
    <w:rsid w:val="11C73FD2"/>
    <w:rsid w:val="11CF67AE"/>
    <w:rsid w:val="11E06E41"/>
    <w:rsid w:val="11E93F48"/>
    <w:rsid w:val="11EA4F9D"/>
    <w:rsid w:val="11EC2004"/>
    <w:rsid w:val="11F42AB7"/>
    <w:rsid w:val="11FF70C3"/>
    <w:rsid w:val="120F3915"/>
    <w:rsid w:val="121A05A5"/>
    <w:rsid w:val="121D0BF1"/>
    <w:rsid w:val="121F796A"/>
    <w:rsid w:val="122E1553"/>
    <w:rsid w:val="12301B77"/>
    <w:rsid w:val="1230601B"/>
    <w:rsid w:val="12380A00"/>
    <w:rsid w:val="123E24E6"/>
    <w:rsid w:val="12413ECC"/>
    <w:rsid w:val="12443522"/>
    <w:rsid w:val="12451836"/>
    <w:rsid w:val="12452611"/>
    <w:rsid w:val="124D0F89"/>
    <w:rsid w:val="124E685E"/>
    <w:rsid w:val="125910CE"/>
    <w:rsid w:val="125C471A"/>
    <w:rsid w:val="12633CFA"/>
    <w:rsid w:val="12651DCE"/>
    <w:rsid w:val="126857B5"/>
    <w:rsid w:val="126B7053"/>
    <w:rsid w:val="127356E5"/>
    <w:rsid w:val="127A47E9"/>
    <w:rsid w:val="12883761"/>
    <w:rsid w:val="1292638E"/>
    <w:rsid w:val="12945F01"/>
    <w:rsid w:val="129469FD"/>
    <w:rsid w:val="129640D0"/>
    <w:rsid w:val="12A52565"/>
    <w:rsid w:val="12AB15D9"/>
    <w:rsid w:val="12AD1419"/>
    <w:rsid w:val="12B02CB8"/>
    <w:rsid w:val="12B04A66"/>
    <w:rsid w:val="12B5207C"/>
    <w:rsid w:val="12B53287"/>
    <w:rsid w:val="12B56410"/>
    <w:rsid w:val="12C10A21"/>
    <w:rsid w:val="12C24608"/>
    <w:rsid w:val="12C86253"/>
    <w:rsid w:val="12CA4F08"/>
    <w:rsid w:val="12CE3754"/>
    <w:rsid w:val="12E0359D"/>
    <w:rsid w:val="12ED5CBA"/>
    <w:rsid w:val="12EF558E"/>
    <w:rsid w:val="12F2507E"/>
    <w:rsid w:val="12F47048"/>
    <w:rsid w:val="12FB3F33"/>
    <w:rsid w:val="131944C4"/>
    <w:rsid w:val="131C2DB0"/>
    <w:rsid w:val="131D24B5"/>
    <w:rsid w:val="13294F44"/>
    <w:rsid w:val="132D60B6"/>
    <w:rsid w:val="13360FBC"/>
    <w:rsid w:val="13394A5B"/>
    <w:rsid w:val="133E02C4"/>
    <w:rsid w:val="13437170"/>
    <w:rsid w:val="134753CA"/>
    <w:rsid w:val="134B507B"/>
    <w:rsid w:val="134F24D1"/>
    <w:rsid w:val="13577E6B"/>
    <w:rsid w:val="135875D7"/>
    <w:rsid w:val="13616DDA"/>
    <w:rsid w:val="1361772B"/>
    <w:rsid w:val="137E6912"/>
    <w:rsid w:val="13833F28"/>
    <w:rsid w:val="138A52B7"/>
    <w:rsid w:val="139B74C4"/>
    <w:rsid w:val="139E0D62"/>
    <w:rsid w:val="13AB3BAB"/>
    <w:rsid w:val="13AF1FDE"/>
    <w:rsid w:val="13BA5B9C"/>
    <w:rsid w:val="13BB2306"/>
    <w:rsid w:val="13D10B04"/>
    <w:rsid w:val="13D44784"/>
    <w:rsid w:val="13DC1FB6"/>
    <w:rsid w:val="13E35CD5"/>
    <w:rsid w:val="13EE1CEA"/>
    <w:rsid w:val="13F37300"/>
    <w:rsid w:val="13FA68E0"/>
    <w:rsid w:val="13FB22A7"/>
    <w:rsid w:val="13FC293F"/>
    <w:rsid w:val="13FD017F"/>
    <w:rsid w:val="140E413A"/>
    <w:rsid w:val="14131750"/>
    <w:rsid w:val="14165A61"/>
    <w:rsid w:val="141F65E1"/>
    <w:rsid w:val="142E658A"/>
    <w:rsid w:val="143649EB"/>
    <w:rsid w:val="14380EA5"/>
    <w:rsid w:val="14553B17"/>
    <w:rsid w:val="14575AE1"/>
    <w:rsid w:val="145A2EDB"/>
    <w:rsid w:val="14665D24"/>
    <w:rsid w:val="14694902"/>
    <w:rsid w:val="14700951"/>
    <w:rsid w:val="14760733"/>
    <w:rsid w:val="147C2CE6"/>
    <w:rsid w:val="147F0B94"/>
    <w:rsid w:val="148D1503"/>
    <w:rsid w:val="149503B7"/>
    <w:rsid w:val="1497412F"/>
    <w:rsid w:val="14983A03"/>
    <w:rsid w:val="149C55DC"/>
    <w:rsid w:val="14A32AD4"/>
    <w:rsid w:val="14AA20B4"/>
    <w:rsid w:val="14AB7BDB"/>
    <w:rsid w:val="14AF25B3"/>
    <w:rsid w:val="14B06F9F"/>
    <w:rsid w:val="14B24AC5"/>
    <w:rsid w:val="14B44CE1"/>
    <w:rsid w:val="14B70D20"/>
    <w:rsid w:val="14B940A6"/>
    <w:rsid w:val="14CA1923"/>
    <w:rsid w:val="14D64C58"/>
    <w:rsid w:val="14E53B8B"/>
    <w:rsid w:val="14FC1E68"/>
    <w:rsid w:val="15023C9F"/>
    <w:rsid w:val="15076350"/>
    <w:rsid w:val="150A66AF"/>
    <w:rsid w:val="150D43F1"/>
    <w:rsid w:val="15121A08"/>
    <w:rsid w:val="153C0833"/>
    <w:rsid w:val="154B582C"/>
    <w:rsid w:val="154D3803"/>
    <w:rsid w:val="15545B7C"/>
    <w:rsid w:val="155500FD"/>
    <w:rsid w:val="155913E5"/>
    <w:rsid w:val="156009C5"/>
    <w:rsid w:val="156C55BC"/>
    <w:rsid w:val="157D06E3"/>
    <w:rsid w:val="1585667E"/>
    <w:rsid w:val="158C7B2F"/>
    <w:rsid w:val="158E5532"/>
    <w:rsid w:val="15920249"/>
    <w:rsid w:val="159A3ED7"/>
    <w:rsid w:val="15A46B04"/>
    <w:rsid w:val="15A87CC5"/>
    <w:rsid w:val="15B34F99"/>
    <w:rsid w:val="15B5385C"/>
    <w:rsid w:val="15B7437E"/>
    <w:rsid w:val="15B80AFE"/>
    <w:rsid w:val="15BC56FF"/>
    <w:rsid w:val="15C918AE"/>
    <w:rsid w:val="15E94D3C"/>
    <w:rsid w:val="15F86E50"/>
    <w:rsid w:val="15FB5949"/>
    <w:rsid w:val="15FD7FC2"/>
    <w:rsid w:val="16013F56"/>
    <w:rsid w:val="16021A7C"/>
    <w:rsid w:val="16113A6D"/>
    <w:rsid w:val="161672D6"/>
    <w:rsid w:val="16201F02"/>
    <w:rsid w:val="162163A6"/>
    <w:rsid w:val="16217823"/>
    <w:rsid w:val="162401FA"/>
    <w:rsid w:val="162639BD"/>
    <w:rsid w:val="162B0FD3"/>
    <w:rsid w:val="163868AA"/>
    <w:rsid w:val="163C4950"/>
    <w:rsid w:val="16445BF1"/>
    <w:rsid w:val="16474597"/>
    <w:rsid w:val="16483486"/>
    <w:rsid w:val="164976AB"/>
    <w:rsid w:val="164B6F7F"/>
    <w:rsid w:val="164F6768"/>
    <w:rsid w:val="165A5414"/>
    <w:rsid w:val="165E3157"/>
    <w:rsid w:val="16614BA8"/>
    <w:rsid w:val="167275EA"/>
    <w:rsid w:val="16753FFC"/>
    <w:rsid w:val="16773635"/>
    <w:rsid w:val="168801D3"/>
    <w:rsid w:val="168966DA"/>
    <w:rsid w:val="168C1346"/>
    <w:rsid w:val="169052DA"/>
    <w:rsid w:val="1695469E"/>
    <w:rsid w:val="169803E2"/>
    <w:rsid w:val="169D657B"/>
    <w:rsid w:val="169E6C1A"/>
    <w:rsid w:val="16A224C9"/>
    <w:rsid w:val="16A82624"/>
    <w:rsid w:val="16AD578F"/>
    <w:rsid w:val="16B234A2"/>
    <w:rsid w:val="16B6565B"/>
    <w:rsid w:val="16B94831"/>
    <w:rsid w:val="16C17241"/>
    <w:rsid w:val="16CE787B"/>
    <w:rsid w:val="16DB5237"/>
    <w:rsid w:val="16E91E8E"/>
    <w:rsid w:val="16EC4737"/>
    <w:rsid w:val="16ED396B"/>
    <w:rsid w:val="16F64959"/>
    <w:rsid w:val="170850BA"/>
    <w:rsid w:val="170E3922"/>
    <w:rsid w:val="170F26A3"/>
    <w:rsid w:val="171A253B"/>
    <w:rsid w:val="171F4EEF"/>
    <w:rsid w:val="172C4160"/>
    <w:rsid w:val="17351F8F"/>
    <w:rsid w:val="17397720"/>
    <w:rsid w:val="173B5246"/>
    <w:rsid w:val="1740460A"/>
    <w:rsid w:val="174170AE"/>
    <w:rsid w:val="1767428D"/>
    <w:rsid w:val="176A5B2B"/>
    <w:rsid w:val="176B0033"/>
    <w:rsid w:val="17797B1C"/>
    <w:rsid w:val="178865EF"/>
    <w:rsid w:val="178A3AD7"/>
    <w:rsid w:val="178E008D"/>
    <w:rsid w:val="17942BA8"/>
    <w:rsid w:val="17994EC4"/>
    <w:rsid w:val="17A10E21"/>
    <w:rsid w:val="17A56CB6"/>
    <w:rsid w:val="17A64BEA"/>
    <w:rsid w:val="17AF6E8C"/>
    <w:rsid w:val="17B43302"/>
    <w:rsid w:val="17BE7C25"/>
    <w:rsid w:val="17D17958"/>
    <w:rsid w:val="17D44CBD"/>
    <w:rsid w:val="17E21B65"/>
    <w:rsid w:val="17E56F60"/>
    <w:rsid w:val="17E86A50"/>
    <w:rsid w:val="17F17FFA"/>
    <w:rsid w:val="180A2E6A"/>
    <w:rsid w:val="1818137A"/>
    <w:rsid w:val="18185587"/>
    <w:rsid w:val="18190834"/>
    <w:rsid w:val="181C24A1"/>
    <w:rsid w:val="181E2472"/>
    <w:rsid w:val="181F7F3D"/>
    <w:rsid w:val="1824217E"/>
    <w:rsid w:val="182932F0"/>
    <w:rsid w:val="182E4DAB"/>
    <w:rsid w:val="183C74C7"/>
    <w:rsid w:val="1849421C"/>
    <w:rsid w:val="185B573F"/>
    <w:rsid w:val="186407CC"/>
    <w:rsid w:val="18820C52"/>
    <w:rsid w:val="18826EA4"/>
    <w:rsid w:val="188975B7"/>
    <w:rsid w:val="188E5849"/>
    <w:rsid w:val="188E5ACF"/>
    <w:rsid w:val="18983CA8"/>
    <w:rsid w:val="189A00D0"/>
    <w:rsid w:val="189C1059"/>
    <w:rsid w:val="189E7194"/>
    <w:rsid w:val="189E7C17"/>
    <w:rsid w:val="18A27202"/>
    <w:rsid w:val="18A75FC9"/>
    <w:rsid w:val="18A8690B"/>
    <w:rsid w:val="18C0454B"/>
    <w:rsid w:val="18C64FE3"/>
    <w:rsid w:val="18E40145"/>
    <w:rsid w:val="18E95076"/>
    <w:rsid w:val="18EB73D8"/>
    <w:rsid w:val="18ED07C2"/>
    <w:rsid w:val="18EF453A"/>
    <w:rsid w:val="18F41B50"/>
    <w:rsid w:val="18F54C3F"/>
    <w:rsid w:val="19056043"/>
    <w:rsid w:val="190D42EB"/>
    <w:rsid w:val="190F0738"/>
    <w:rsid w:val="191310CD"/>
    <w:rsid w:val="19145D4E"/>
    <w:rsid w:val="19202DC5"/>
    <w:rsid w:val="192B2350"/>
    <w:rsid w:val="192F0DDA"/>
    <w:rsid w:val="1931131D"/>
    <w:rsid w:val="193D1F88"/>
    <w:rsid w:val="19404D95"/>
    <w:rsid w:val="194303E2"/>
    <w:rsid w:val="194D1260"/>
    <w:rsid w:val="19516FA3"/>
    <w:rsid w:val="19524AC9"/>
    <w:rsid w:val="195271C6"/>
    <w:rsid w:val="195725A1"/>
    <w:rsid w:val="195E521C"/>
    <w:rsid w:val="195F2D42"/>
    <w:rsid w:val="19706CFD"/>
    <w:rsid w:val="1983182B"/>
    <w:rsid w:val="198E782D"/>
    <w:rsid w:val="198F7ACB"/>
    <w:rsid w:val="199649B5"/>
    <w:rsid w:val="199926F8"/>
    <w:rsid w:val="199C4094"/>
    <w:rsid w:val="199F6C5D"/>
    <w:rsid w:val="19A76BC3"/>
    <w:rsid w:val="19AF7825"/>
    <w:rsid w:val="19B337B9"/>
    <w:rsid w:val="19C14304"/>
    <w:rsid w:val="19C15918"/>
    <w:rsid w:val="19C26662"/>
    <w:rsid w:val="19C7118E"/>
    <w:rsid w:val="19D00F2E"/>
    <w:rsid w:val="19D165BA"/>
    <w:rsid w:val="19DB686C"/>
    <w:rsid w:val="19E219A9"/>
    <w:rsid w:val="19E971DB"/>
    <w:rsid w:val="19EC4C52"/>
    <w:rsid w:val="19F67CCD"/>
    <w:rsid w:val="19FD6EE7"/>
    <w:rsid w:val="1A037B71"/>
    <w:rsid w:val="1A052254"/>
    <w:rsid w:val="1A057D8D"/>
    <w:rsid w:val="1A206975"/>
    <w:rsid w:val="1A226249"/>
    <w:rsid w:val="1A2C0C90"/>
    <w:rsid w:val="1A2E1092"/>
    <w:rsid w:val="1A3348FA"/>
    <w:rsid w:val="1A352420"/>
    <w:rsid w:val="1A3818FE"/>
    <w:rsid w:val="1A3A1D53"/>
    <w:rsid w:val="1A3F329F"/>
    <w:rsid w:val="1A5D3725"/>
    <w:rsid w:val="1A646826"/>
    <w:rsid w:val="1A6B4094"/>
    <w:rsid w:val="1A6C4DDA"/>
    <w:rsid w:val="1A77295A"/>
    <w:rsid w:val="1A844076"/>
    <w:rsid w:val="1A8575E0"/>
    <w:rsid w:val="1A8E38DF"/>
    <w:rsid w:val="1A937147"/>
    <w:rsid w:val="1A954BE0"/>
    <w:rsid w:val="1A972B45"/>
    <w:rsid w:val="1A98650B"/>
    <w:rsid w:val="1A9F766B"/>
    <w:rsid w:val="1AA75CB5"/>
    <w:rsid w:val="1AAC1FB7"/>
    <w:rsid w:val="1AB1581F"/>
    <w:rsid w:val="1AC65CE4"/>
    <w:rsid w:val="1ACC4407"/>
    <w:rsid w:val="1ACE060B"/>
    <w:rsid w:val="1AD02149"/>
    <w:rsid w:val="1ADA4D76"/>
    <w:rsid w:val="1AE060D9"/>
    <w:rsid w:val="1AE17EB2"/>
    <w:rsid w:val="1AE856E5"/>
    <w:rsid w:val="1B0E2C71"/>
    <w:rsid w:val="1B102545"/>
    <w:rsid w:val="1B155DAE"/>
    <w:rsid w:val="1B1E1106"/>
    <w:rsid w:val="1B1F78AE"/>
    <w:rsid w:val="1B210BF7"/>
    <w:rsid w:val="1B266661"/>
    <w:rsid w:val="1B3506B9"/>
    <w:rsid w:val="1B375D24"/>
    <w:rsid w:val="1B387A1F"/>
    <w:rsid w:val="1B3A5814"/>
    <w:rsid w:val="1B430B6D"/>
    <w:rsid w:val="1B4A02FA"/>
    <w:rsid w:val="1B4E7B79"/>
    <w:rsid w:val="1B4F7512"/>
    <w:rsid w:val="1B591603"/>
    <w:rsid w:val="1B5E7755"/>
    <w:rsid w:val="1B60171F"/>
    <w:rsid w:val="1B632FBD"/>
    <w:rsid w:val="1B644B05"/>
    <w:rsid w:val="1B672B83"/>
    <w:rsid w:val="1B6D38EF"/>
    <w:rsid w:val="1B6F3710"/>
    <w:rsid w:val="1B6F54BE"/>
    <w:rsid w:val="1B733202"/>
    <w:rsid w:val="1B852F33"/>
    <w:rsid w:val="1B8B6C1C"/>
    <w:rsid w:val="1B8C20A0"/>
    <w:rsid w:val="1B8D3B96"/>
    <w:rsid w:val="1B8D5D61"/>
    <w:rsid w:val="1B9206DD"/>
    <w:rsid w:val="1BA17641"/>
    <w:rsid w:val="1BA974EF"/>
    <w:rsid w:val="1BAB04C0"/>
    <w:rsid w:val="1BB455C7"/>
    <w:rsid w:val="1BBE4697"/>
    <w:rsid w:val="1BC575EB"/>
    <w:rsid w:val="1BD45C69"/>
    <w:rsid w:val="1BDE0896"/>
    <w:rsid w:val="1BE20386"/>
    <w:rsid w:val="1BE7774A"/>
    <w:rsid w:val="1BE85270"/>
    <w:rsid w:val="1BF34DB3"/>
    <w:rsid w:val="1BFC0DD6"/>
    <w:rsid w:val="1C021D94"/>
    <w:rsid w:val="1C055E22"/>
    <w:rsid w:val="1C0628B7"/>
    <w:rsid w:val="1C0C0F5F"/>
    <w:rsid w:val="1C1F4B80"/>
    <w:rsid w:val="1C224C26"/>
    <w:rsid w:val="1C2838BF"/>
    <w:rsid w:val="1C2F10F1"/>
    <w:rsid w:val="1C330BE1"/>
    <w:rsid w:val="1C406E5A"/>
    <w:rsid w:val="1C47468D"/>
    <w:rsid w:val="1C4A7CD9"/>
    <w:rsid w:val="1C4C2837"/>
    <w:rsid w:val="1C4E5A1B"/>
    <w:rsid w:val="1C55661C"/>
    <w:rsid w:val="1C5A0D28"/>
    <w:rsid w:val="1C653702"/>
    <w:rsid w:val="1C662D65"/>
    <w:rsid w:val="1C6654FB"/>
    <w:rsid w:val="1C672639"/>
    <w:rsid w:val="1C67479D"/>
    <w:rsid w:val="1C7A05BE"/>
    <w:rsid w:val="1C84143D"/>
    <w:rsid w:val="1C99052B"/>
    <w:rsid w:val="1CA27B15"/>
    <w:rsid w:val="1CC01D49"/>
    <w:rsid w:val="1CCB706C"/>
    <w:rsid w:val="1CD045AB"/>
    <w:rsid w:val="1CD25790"/>
    <w:rsid w:val="1CDB6B83"/>
    <w:rsid w:val="1CF55E97"/>
    <w:rsid w:val="1CF57C45"/>
    <w:rsid w:val="1CFC0FD3"/>
    <w:rsid w:val="1D007348"/>
    <w:rsid w:val="1D0600A4"/>
    <w:rsid w:val="1D077978"/>
    <w:rsid w:val="1D083E1C"/>
    <w:rsid w:val="1D0E0D07"/>
    <w:rsid w:val="1D126A49"/>
    <w:rsid w:val="1D167BBB"/>
    <w:rsid w:val="1D1A3B4F"/>
    <w:rsid w:val="1D1C78C7"/>
    <w:rsid w:val="1D226ADF"/>
    <w:rsid w:val="1D2642A2"/>
    <w:rsid w:val="1D352737"/>
    <w:rsid w:val="1D3D3461"/>
    <w:rsid w:val="1D526E45"/>
    <w:rsid w:val="1D547061"/>
    <w:rsid w:val="1D556936"/>
    <w:rsid w:val="1D5671B4"/>
    <w:rsid w:val="1D594AE3"/>
    <w:rsid w:val="1D5A3F4C"/>
    <w:rsid w:val="1D6276C2"/>
    <w:rsid w:val="1D631052"/>
    <w:rsid w:val="1D6333DE"/>
    <w:rsid w:val="1D6A01E2"/>
    <w:rsid w:val="1D6E4BC9"/>
    <w:rsid w:val="1D716AB4"/>
    <w:rsid w:val="1D7E5E8C"/>
    <w:rsid w:val="1D867B2D"/>
    <w:rsid w:val="1D900E67"/>
    <w:rsid w:val="1DA022A7"/>
    <w:rsid w:val="1DA43327"/>
    <w:rsid w:val="1DA82090"/>
    <w:rsid w:val="1DAC0C4B"/>
    <w:rsid w:val="1DB16262"/>
    <w:rsid w:val="1DB32B62"/>
    <w:rsid w:val="1DBC0763"/>
    <w:rsid w:val="1DE33F41"/>
    <w:rsid w:val="1DF148B0"/>
    <w:rsid w:val="1DF84A9C"/>
    <w:rsid w:val="1E03458E"/>
    <w:rsid w:val="1E0C793C"/>
    <w:rsid w:val="1E0F34E6"/>
    <w:rsid w:val="1E1103F2"/>
    <w:rsid w:val="1E1A4447"/>
    <w:rsid w:val="1E2660A9"/>
    <w:rsid w:val="1E311151"/>
    <w:rsid w:val="1E335A8E"/>
    <w:rsid w:val="1E3824DF"/>
    <w:rsid w:val="1E3E5BD7"/>
    <w:rsid w:val="1E4A74D5"/>
    <w:rsid w:val="1E4B0F80"/>
    <w:rsid w:val="1E4C7C64"/>
    <w:rsid w:val="1E4E1D03"/>
    <w:rsid w:val="1E526FE0"/>
    <w:rsid w:val="1E58492F"/>
    <w:rsid w:val="1E594203"/>
    <w:rsid w:val="1E5A233A"/>
    <w:rsid w:val="1E5F5CBE"/>
    <w:rsid w:val="1E7770DE"/>
    <w:rsid w:val="1E802E13"/>
    <w:rsid w:val="1E8079E2"/>
    <w:rsid w:val="1E890F8D"/>
    <w:rsid w:val="1E95520B"/>
    <w:rsid w:val="1E965458"/>
    <w:rsid w:val="1EA35C7E"/>
    <w:rsid w:val="1EB346F2"/>
    <w:rsid w:val="1EB3600A"/>
    <w:rsid w:val="1EB678A8"/>
    <w:rsid w:val="1EB83BDA"/>
    <w:rsid w:val="1EB8717C"/>
    <w:rsid w:val="1EBF050A"/>
    <w:rsid w:val="1EC21DA9"/>
    <w:rsid w:val="1EDC02C9"/>
    <w:rsid w:val="1EDE43F6"/>
    <w:rsid w:val="1EE14925"/>
    <w:rsid w:val="1EE34E13"/>
    <w:rsid w:val="1EE61B5A"/>
    <w:rsid w:val="1EE95587"/>
    <w:rsid w:val="1EF220FA"/>
    <w:rsid w:val="1EF34658"/>
    <w:rsid w:val="1F047B3B"/>
    <w:rsid w:val="1F06728C"/>
    <w:rsid w:val="1F067C7E"/>
    <w:rsid w:val="1F0A515A"/>
    <w:rsid w:val="1F0B7BF4"/>
    <w:rsid w:val="1F1D18F8"/>
    <w:rsid w:val="1F241AF7"/>
    <w:rsid w:val="1F2E5389"/>
    <w:rsid w:val="1F356A1F"/>
    <w:rsid w:val="1F382D02"/>
    <w:rsid w:val="1F3E5F04"/>
    <w:rsid w:val="1F43738D"/>
    <w:rsid w:val="1F4924CA"/>
    <w:rsid w:val="1F5275D0"/>
    <w:rsid w:val="1F5D7D23"/>
    <w:rsid w:val="1F613473"/>
    <w:rsid w:val="1F6C281F"/>
    <w:rsid w:val="1F6F618F"/>
    <w:rsid w:val="1F896D6A"/>
    <w:rsid w:val="1FA023ED"/>
    <w:rsid w:val="1FA4374E"/>
    <w:rsid w:val="1FAD6B4E"/>
    <w:rsid w:val="1FBC2C9C"/>
    <w:rsid w:val="1FBE51A6"/>
    <w:rsid w:val="1FBF453A"/>
    <w:rsid w:val="1FD219CC"/>
    <w:rsid w:val="1FD2256B"/>
    <w:rsid w:val="1FD660B5"/>
    <w:rsid w:val="1FD72C61"/>
    <w:rsid w:val="1FD91AA0"/>
    <w:rsid w:val="1FDF6F76"/>
    <w:rsid w:val="1FE12702"/>
    <w:rsid w:val="1FE31116"/>
    <w:rsid w:val="1FE40559"/>
    <w:rsid w:val="1FE521F3"/>
    <w:rsid w:val="1FE741BD"/>
    <w:rsid w:val="1FED4A06"/>
    <w:rsid w:val="1FEF3071"/>
    <w:rsid w:val="1FF70178"/>
    <w:rsid w:val="1FF71F26"/>
    <w:rsid w:val="1FFC62A9"/>
    <w:rsid w:val="1FFD700C"/>
    <w:rsid w:val="200C3C23"/>
    <w:rsid w:val="200D799B"/>
    <w:rsid w:val="20142AD8"/>
    <w:rsid w:val="202150B1"/>
    <w:rsid w:val="20270A5D"/>
    <w:rsid w:val="202D5948"/>
    <w:rsid w:val="20401B1F"/>
    <w:rsid w:val="20411E00"/>
    <w:rsid w:val="20464723"/>
    <w:rsid w:val="20474FD3"/>
    <w:rsid w:val="20481DE0"/>
    <w:rsid w:val="20485E60"/>
    <w:rsid w:val="204B28C3"/>
    <w:rsid w:val="204F04A4"/>
    <w:rsid w:val="204F3B10"/>
    <w:rsid w:val="205B1CED"/>
    <w:rsid w:val="205E024D"/>
    <w:rsid w:val="206D16AB"/>
    <w:rsid w:val="20831A0C"/>
    <w:rsid w:val="20832C3C"/>
    <w:rsid w:val="208337BA"/>
    <w:rsid w:val="208539D6"/>
    <w:rsid w:val="20857532"/>
    <w:rsid w:val="209B2C72"/>
    <w:rsid w:val="20A21E92"/>
    <w:rsid w:val="20A57BD4"/>
    <w:rsid w:val="20A756FA"/>
    <w:rsid w:val="20AE1B47"/>
    <w:rsid w:val="20BF1AAB"/>
    <w:rsid w:val="20C444FE"/>
    <w:rsid w:val="20C938C2"/>
    <w:rsid w:val="20D61B3B"/>
    <w:rsid w:val="20E64474"/>
    <w:rsid w:val="20E77BB9"/>
    <w:rsid w:val="20EB5CF5"/>
    <w:rsid w:val="20EF2BFD"/>
    <w:rsid w:val="20F3403C"/>
    <w:rsid w:val="2107263D"/>
    <w:rsid w:val="210E7527"/>
    <w:rsid w:val="211508B6"/>
    <w:rsid w:val="2116556C"/>
    <w:rsid w:val="211F30B1"/>
    <w:rsid w:val="211F7986"/>
    <w:rsid w:val="212374EC"/>
    <w:rsid w:val="2126019F"/>
    <w:rsid w:val="212C0BB4"/>
    <w:rsid w:val="21303941"/>
    <w:rsid w:val="21351C12"/>
    <w:rsid w:val="213C1752"/>
    <w:rsid w:val="214178FD"/>
    <w:rsid w:val="21463165"/>
    <w:rsid w:val="214E5B76"/>
    <w:rsid w:val="215567E7"/>
    <w:rsid w:val="215A09BE"/>
    <w:rsid w:val="215C688C"/>
    <w:rsid w:val="215D5C95"/>
    <w:rsid w:val="216E446A"/>
    <w:rsid w:val="216F69CC"/>
    <w:rsid w:val="21740670"/>
    <w:rsid w:val="21765B22"/>
    <w:rsid w:val="217D645B"/>
    <w:rsid w:val="218B501C"/>
    <w:rsid w:val="219043E0"/>
    <w:rsid w:val="21916FC2"/>
    <w:rsid w:val="219C0BA8"/>
    <w:rsid w:val="219E4D4F"/>
    <w:rsid w:val="219F1439"/>
    <w:rsid w:val="21A5207B"/>
    <w:rsid w:val="21B12333"/>
    <w:rsid w:val="21B31E7D"/>
    <w:rsid w:val="21B93937"/>
    <w:rsid w:val="21BF7938"/>
    <w:rsid w:val="21C13051"/>
    <w:rsid w:val="21C1459A"/>
    <w:rsid w:val="21C36564"/>
    <w:rsid w:val="21CA5B44"/>
    <w:rsid w:val="2208666C"/>
    <w:rsid w:val="220C60C8"/>
    <w:rsid w:val="22181344"/>
    <w:rsid w:val="2229125B"/>
    <w:rsid w:val="222B51BB"/>
    <w:rsid w:val="222F3BF9"/>
    <w:rsid w:val="22386CFF"/>
    <w:rsid w:val="22430EDF"/>
    <w:rsid w:val="22431452"/>
    <w:rsid w:val="224B0307"/>
    <w:rsid w:val="225A6F48"/>
    <w:rsid w:val="22602004"/>
    <w:rsid w:val="22603DB2"/>
    <w:rsid w:val="22605254"/>
    <w:rsid w:val="22714212"/>
    <w:rsid w:val="22725EDB"/>
    <w:rsid w:val="22770125"/>
    <w:rsid w:val="227B6E3E"/>
    <w:rsid w:val="227E248B"/>
    <w:rsid w:val="228B3B76"/>
    <w:rsid w:val="229E48DB"/>
    <w:rsid w:val="22A808B1"/>
    <w:rsid w:val="22AB6FED"/>
    <w:rsid w:val="22BC1011"/>
    <w:rsid w:val="22C06C83"/>
    <w:rsid w:val="22C119EC"/>
    <w:rsid w:val="22C31AFD"/>
    <w:rsid w:val="22C72083"/>
    <w:rsid w:val="22CB70E1"/>
    <w:rsid w:val="22CC040A"/>
    <w:rsid w:val="22CF0F38"/>
    <w:rsid w:val="22D8603F"/>
    <w:rsid w:val="22DB5B2F"/>
    <w:rsid w:val="22E36792"/>
    <w:rsid w:val="22E55D2F"/>
    <w:rsid w:val="22E916C9"/>
    <w:rsid w:val="22EB3FC4"/>
    <w:rsid w:val="23111551"/>
    <w:rsid w:val="23131B18"/>
    <w:rsid w:val="231577B4"/>
    <w:rsid w:val="23160BB0"/>
    <w:rsid w:val="231921B3"/>
    <w:rsid w:val="231A6657"/>
    <w:rsid w:val="232C638A"/>
    <w:rsid w:val="233B65CE"/>
    <w:rsid w:val="234F08C0"/>
    <w:rsid w:val="23513C66"/>
    <w:rsid w:val="235D02F2"/>
    <w:rsid w:val="236E24FF"/>
    <w:rsid w:val="237044C9"/>
    <w:rsid w:val="23775858"/>
    <w:rsid w:val="2379418A"/>
    <w:rsid w:val="237D17A2"/>
    <w:rsid w:val="23841D23"/>
    <w:rsid w:val="23863CED"/>
    <w:rsid w:val="2386584B"/>
    <w:rsid w:val="238C3C24"/>
    <w:rsid w:val="23A14683"/>
    <w:rsid w:val="23A822F1"/>
    <w:rsid w:val="23BB00A6"/>
    <w:rsid w:val="23BC7CA6"/>
    <w:rsid w:val="23BF0FAD"/>
    <w:rsid w:val="23CE7442"/>
    <w:rsid w:val="23D34A58"/>
    <w:rsid w:val="23E26A49"/>
    <w:rsid w:val="23E32EED"/>
    <w:rsid w:val="23ED78C8"/>
    <w:rsid w:val="23F02C2F"/>
    <w:rsid w:val="23F073B8"/>
    <w:rsid w:val="23F46EA8"/>
    <w:rsid w:val="240108BE"/>
    <w:rsid w:val="24101808"/>
    <w:rsid w:val="24140873"/>
    <w:rsid w:val="24172B97"/>
    <w:rsid w:val="241E3A48"/>
    <w:rsid w:val="2423153B"/>
    <w:rsid w:val="242729A8"/>
    <w:rsid w:val="243454F7"/>
    <w:rsid w:val="24362BC1"/>
    <w:rsid w:val="243A6885"/>
    <w:rsid w:val="244020ED"/>
    <w:rsid w:val="2443573A"/>
    <w:rsid w:val="24466FD8"/>
    <w:rsid w:val="245410F9"/>
    <w:rsid w:val="245F009A"/>
    <w:rsid w:val="24705167"/>
    <w:rsid w:val="2480073C"/>
    <w:rsid w:val="248021E9"/>
    <w:rsid w:val="2480698E"/>
    <w:rsid w:val="24833D88"/>
    <w:rsid w:val="24843748"/>
    <w:rsid w:val="249705CB"/>
    <w:rsid w:val="249E6966"/>
    <w:rsid w:val="24A94248"/>
    <w:rsid w:val="24AF12C8"/>
    <w:rsid w:val="24B122FE"/>
    <w:rsid w:val="24B57F51"/>
    <w:rsid w:val="24C20D54"/>
    <w:rsid w:val="24CA7C09"/>
    <w:rsid w:val="24DA2DF4"/>
    <w:rsid w:val="24DE36B4"/>
    <w:rsid w:val="24EB6BC4"/>
    <w:rsid w:val="24EF58C2"/>
    <w:rsid w:val="24F353B2"/>
    <w:rsid w:val="24F74064"/>
    <w:rsid w:val="24FE78B3"/>
    <w:rsid w:val="2500362B"/>
    <w:rsid w:val="250F38DA"/>
    <w:rsid w:val="251371A5"/>
    <w:rsid w:val="251E60B7"/>
    <w:rsid w:val="252607B8"/>
    <w:rsid w:val="252A68FA"/>
    <w:rsid w:val="252C2672"/>
    <w:rsid w:val="25393FD3"/>
    <w:rsid w:val="253B0B07"/>
    <w:rsid w:val="253E6A84"/>
    <w:rsid w:val="253F4153"/>
    <w:rsid w:val="25493224"/>
    <w:rsid w:val="25527AF3"/>
    <w:rsid w:val="255A0F8D"/>
    <w:rsid w:val="255F2A47"/>
    <w:rsid w:val="25611128"/>
    <w:rsid w:val="25616AB8"/>
    <w:rsid w:val="25624445"/>
    <w:rsid w:val="25694E93"/>
    <w:rsid w:val="256E67E6"/>
    <w:rsid w:val="2574490F"/>
    <w:rsid w:val="257A33DD"/>
    <w:rsid w:val="257C4C35"/>
    <w:rsid w:val="257D6E6D"/>
    <w:rsid w:val="2580476C"/>
    <w:rsid w:val="258424AE"/>
    <w:rsid w:val="25867FD4"/>
    <w:rsid w:val="25893A52"/>
    <w:rsid w:val="258C1362"/>
    <w:rsid w:val="258D3CE2"/>
    <w:rsid w:val="259049AF"/>
    <w:rsid w:val="25965D3D"/>
    <w:rsid w:val="259B3353"/>
    <w:rsid w:val="25A16BBC"/>
    <w:rsid w:val="25A57AD2"/>
    <w:rsid w:val="25AD4B37"/>
    <w:rsid w:val="25B508B9"/>
    <w:rsid w:val="25BD6057"/>
    <w:rsid w:val="25C844E9"/>
    <w:rsid w:val="25C952A7"/>
    <w:rsid w:val="25CA7C43"/>
    <w:rsid w:val="25CE1803"/>
    <w:rsid w:val="25D35993"/>
    <w:rsid w:val="25E75DF2"/>
    <w:rsid w:val="260158AC"/>
    <w:rsid w:val="260505C3"/>
    <w:rsid w:val="26061115"/>
    <w:rsid w:val="26105AEF"/>
    <w:rsid w:val="261C718E"/>
    <w:rsid w:val="26233A75"/>
    <w:rsid w:val="262B0B7B"/>
    <w:rsid w:val="26323CB8"/>
    <w:rsid w:val="26325A66"/>
    <w:rsid w:val="26376F63"/>
    <w:rsid w:val="263E1897"/>
    <w:rsid w:val="26472F16"/>
    <w:rsid w:val="264D7B2D"/>
    <w:rsid w:val="26664B13"/>
    <w:rsid w:val="266B0F78"/>
    <w:rsid w:val="266D6A9E"/>
    <w:rsid w:val="267C4F33"/>
    <w:rsid w:val="26854C1C"/>
    <w:rsid w:val="26922123"/>
    <w:rsid w:val="26973C70"/>
    <w:rsid w:val="26B80661"/>
    <w:rsid w:val="26BB3CAD"/>
    <w:rsid w:val="26BE19EF"/>
    <w:rsid w:val="26C0695F"/>
    <w:rsid w:val="26CD1C32"/>
    <w:rsid w:val="26D56C9A"/>
    <w:rsid w:val="26E85C2F"/>
    <w:rsid w:val="26F4223F"/>
    <w:rsid w:val="26F70A5D"/>
    <w:rsid w:val="270311B0"/>
    <w:rsid w:val="27090EBD"/>
    <w:rsid w:val="270C62B7"/>
    <w:rsid w:val="27182EAE"/>
    <w:rsid w:val="271E1144"/>
    <w:rsid w:val="27201D62"/>
    <w:rsid w:val="27206206"/>
    <w:rsid w:val="27223D2C"/>
    <w:rsid w:val="27252C9C"/>
    <w:rsid w:val="27337CE7"/>
    <w:rsid w:val="274B6DEF"/>
    <w:rsid w:val="274C0DA9"/>
    <w:rsid w:val="274D797D"/>
    <w:rsid w:val="274E4B21"/>
    <w:rsid w:val="2756665E"/>
    <w:rsid w:val="27606603"/>
    <w:rsid w:val="2765261C"/>
    <w:rsid w:val="27673E35"/>
    <w:rsid w:val="2769195B"/>
    <w:rsid w:val="276B56D3"/>
    <w:rsid w:val="276C4FA7"/>
    <w:rsid w:val="2772576F"/>
    <w:rsid w:val="2774529A"/>
    <w:rsid w:val="278B529D"/>
    <w:rsid w:val="27934C2A"/>
    <w:rsid w:val="279F712B"/>
    <w:rsid w:val="27A24E6D"/>
    <w:rsid w:val="27AA0645"/>
    <w:rsid w:val="27B24AE1"/>
    <w:rsid w:val="27BA21B7"/>
    <w:rsid w:val="27C950F9"/>
    <w:rsid w:val="27CC3C98"/>
    <w:rsid w:val="27D165A2"/>
    <w:rsid w:val="27D74B17"/>
    <w:rsid w:val="27DA0163"/>
    <w:rsid w:val="27E15995"/>
    <w:rsid w:val="27E26BD4"/>
    <w:rsid w:val="27E50DCB"/>
    <w:rsid w:val="27F07987"/>
    <w:rsid w:val="27F54F9D"/>
    <w:rsid w:val="280C1B93"/>
    <w:rsid w:val="2810627B"/>
    <w:rsid w:val="281501F8"/>
    <w:rsid w:val="28163807"/>
    <w:rsid w:val="281F304C"/>
    <w:rsid w:val="28221B0A"/>
    <w:rsid w:val="28235FAE"/>
    <w:rsid w:val="282633A8"/>
    <w:rsid w:val="28341F69"/>
    <w:rsid w:val="2838059E"/>
    <w:rsid w:val="285B2042"/>
    <w:rsid w:val="285D6C24"/>
    <w:rsid w:val="285F6D72"/>
    <w:rsid w:val="28616AD6"/>
    <w:rsid w:val="286914E7"/>
    <w:rsid w:val="286B7341"/>
    <w:rsid w:val="287142F5"/>
    <w:rsid w:val="28771E56"/>
    <w:rsid w:val="2881465B"/>
    <w:rsid w:val="288F719F"/>
    <w:rsid w:val="289116D1"/>
    <w:rsid w:val="289360AA"/>
    <w:rsid w:val="28996E4C"/>
    <w:rsid w:val="289E0A26"/>
    <w:rsid w:val="28A075FF"/>
    <w:rsid w:val="28A61A94"/>
    <w:rsid w:val="28B26426"/>
    <w:rsid w:val="28B81504"/>
    <w:rsid w:val="28BF44FB"/>
    <w:rsid w:val="28C01A4F"/>
    <w:rsid w:val="28C66939"/>
    <w:rsid w:val="28CB19DB"/>
    <w:rsid w:val="28D21782"/>
    <w:rsid w:val="28D76D98"/>
    <w:rsid w:val="28D9041B"/>
    <w:rsid w:val="28D931FF"/>
    <w:rsid w:val="28DE0127"/>
    <w:rsid w:val="28EE3166"/>
    <w:rsid w:val="28FB4835"/>
    <w:rsid w:val="29095602"/>
    <w:rsid w:val="291034DE"/>
    <w:rsid w:val="291458F7"/>
    <w:rsid w:val="2916166F"/>
    <w:rsid w:val="29175571"/>
    <w:rsid w:val="291B6C85"/>
    <w:rsid w:val="292024ED"/>
    <w:rsid w:val="29357C48"/>
    <w:rsid w:val="293D4E4D"/>
    <w:rsid w:val="29474458"/>
    <w:rsid w:val="29475CCC"/>
    <w:rsid w:val="294A30C6"/>
    <w:rsid w:val="29543F45"/>
    <w:rsid w:val="296248B4"/>
    <w:rsid w:val="29690088"/>
    <w:rsid w:val="2973086F"/>
    <w:rsid w:val="297779CB"/>
    <w:rsid w:val="297939AC"/>
    <w:rsid w:val="297D16EE"/>
    <w:rsid w:val="298567F4"/>
    <w:rsid w:val="29872278"/>
    <w:rsid w:val="29932CBF"/>
    <w:rsid w:val="2996630C"/>
    <w:rsid w:val="29986528"/>
    <w:rsid w:val="299B2660"/>
    <w:rsid w:val="299B4FB9"/>
    <w:rsid w:val="29A05144"/>
    <w:rsid w:val="29A547A1"/>
    <w:rsid w:val="29A6660E"/>
    <w:rsid w:val="29AA1DB7"/>
    <w:rsid w:val="29AB2B4D"/>
    <w:rsid w:val="29B22DA9"/>
    <w:rsid w:val="29B359BE"/>
    <w:rsid w:val="29BA649E"/>
    <w:rsid w:val="29BF1AE3"/>
    <w:rsid w:val="29C64ABB"/>
    <w:rsid w:val="29CA4207"/>
    <w:rsid w:val="29D3130E"/>
    <w:rsid w:val="29DB4666"/>
    <w:rsid w:val="29E663CA"/>
    <w:rsid w:val="29F3375E"/>
    <w:rsid w:val="29F91CFC"/>
    <w:rsid w:val="29FA0F90"/>
    <w:rsid w:val="29FA2D3E"/>
    <w:rsid w:val="2A07200A"/>
    <w:rsid w:val="2A157B78"/>
    <w:rsid w:val="2A1A0CEB"/>
    <w:rsid w:val="2A1C0F07"/>
    <w:rsid w:val="2A1D28D2"/>
    <w:rsid w:val="2A273408"/>
    <w:rsid w:val="2A4A19AC"/>
    <w:rsid w:val="2A560B3D"/>
    <w:rsid w:val="2A5A1A2F"/>
    <w:rsid w:val="2A5C2CCF"/>
    <w:rsid w:val="2A5E151F"/>
    <w:rsid w:val="2A622692"/>
    <w:rsid w:val="2A657603"/>
    <w:rsid w:val="2A823E28"/>
    <w:rsid w:val="2A8D770F"/>
    <w:rsid w:val="2A902B12"/>
    <w:rsid w:val="2A9036A3"/>
    <w:rsid w:val="2A952A67"/>
    <w:rsid w:val="2A9767DF"/>
    <w:rsid w:val="2AAA1B21"/>
    <w:rsid w:val="2AAD6003"/>
    <w:rsid w:val="2AB27175"/>
    <w:rsid w:val="2AB729DE"/>
    <w:rsid w:val="2ABC4498"/>
    <w:rsid w:val="2ABF1892"/>
    <w:rsid w:val="2AC142A7"/>
    <w:rsid w:val="2AC87261"/>
    <w:rsid w:val="2ACB6D8B"/>
    <w:rsid w:val="2AD31F7E"/>
    <w:rsid w:val="2AD3790C"/>
    <w:rsid w:val="2ADC41F2"/>
    <w:rsid w:val="2AE06B47"/>
    <w:rsid w:val="2AE17A5A"/>
    <w:rsid w:val="2AE62D4A"/>
    <w:rsid w:val="2AF53506"/>
    <w:rsid w:val="2AF74127"/>
    <w:rsid w:val="2B0040EC"/>
    <w:rsid w:val="2B073182"/>
    <w:rsid w:val="2B0C6E2A"/>
    <w:rsid w:val="2B0F281A"/>
    <w:rsid w:val="2B100D21"/>
    <w:rsid w:val="2B125E66"/>
    <w:rsid w:val="2B2449FC"/>
    <w:rsid w:val="2B253DEB"/>
    <w:rsid w:val="2B2E5FF2"/>
    <w:rsid w:val="2B3C497B"/>
    <w:rsid w:val="2B3D3F5B"/>
    <w:rsid w:val="2B471FB3"/>
    <w:rsid w:val="2B5244B4"/>
    <w:rsid w:val="2B5446D0"/>
    <w:rsid w:val="2B5E554F"/>
    <w:rsid w:val="2B683CD8"/>
    <w:rsid w:val="2B6D5267"/>
    <w:rsid w:val="2B7236EA"/>
    <w:rsid w:val="2B732DA8"/>
    <w:rsid w:val="2B786611"/>
    <w:rsid w:val="2B7908D3"/>
    <w:rsid w:val="2B797C93"/>
    <w:rsid w:val="2B7A5CF9"/>
    <w:rsid w:val="2B7B1C5D"/>
    <w:rsid w:val="2B825572"/>
    <w:rsid w:val="2B8C5C18"/>
    <w:rsid w:val="2B8F1F47"/>
    <w:rsid w:val="2B98280F"/>
    <w:rsid w:val="2B9E594C"/>
    <w:rsid w:val="2BA54F2C"/>
    <w:rsid w:val="2BA70961"/>
    <w:rsid w:val="2BA74800"/>
    <w:rsid w:val="2BAA0794"/>
    <w:rsid w:val="2BAC5646"/>
    <w:rsid w:val="2BAD44D0"/>
    <w:rsid w:val="2BB6669F"/>
    <w:rsid w:val="2BB92785"/>
    <w:rsid w:val="2BBB2606"/>
    <w:rsid w:val="2BC26F54"/>
    <w:rsid w:val="2BC52ED8"/>
    <w:rsid w:val="2BCE7FDF"/>
    <w:rsid w:val="2BCF4D07"/>
    <w:rsid w:val="2BD263C0"/>
    <w:rsid w:val="2BEE242F"/>
    <w:rsid w:val="2BEE55D3"/>
    <w:rsid w:val="2BEE68D3"/>
    <w:rsid w:val="2BF65788"/>
    <w:rsid w:val="2BF8505C"/>
    <w:rsid w:val="2BFB2D9E"/>
    <w:rsid w:val="2BFD68A2"/>
    <w:rsid w:val="2C050F23"/>
    <w:rsid w:val="2C161986"/>
    <w:rsid w:val="2C173AFE"/>
    <w:rsid w:val="2C1A76C8"/>
    <w:rsid w:val="2C1B6F9C"/>
    <w:rsid w:val="2C2B3683"/>
    <w:rsid w:val="2C2D77CB"/>
    <w:rsid w:val="2C33078A"/>
    <w:rsid w:val="2C330E69"/>
    <w:rsid w:val="2C351E0C"/>
    <w:rsid w:val="2C3B319A"/>
    <w:rsid w:val="2C3C2CCD"/>
    <w:rsid w:val="2C3D26A8"/>
    <w:rsid w:val="2C4604BD"/>
    <w:rsid w:val="2C493B09"/>
    <w:rsid w:val="2C49508A"/>
    <w:rsid w:val="2C4E1120"/>
    <w:rsid w:val="2C4E1D21"/>
    <w:rsid w:val="2C5030EA"/>
    <w:rsid w:val="2C5933A3"/>
    <w:rsid w:val="2C6262F3"/>
    <w:rsid w:val="2C695F59"/>
    <w:rsid w:val="2C6F5E7F"/>
    <w:rsid w:val="2C8763E0"/>
    <w:rsid w:val="2C893CDB"/>
    <w:rsid w:val="2C8B4122"/>
    <w:rsid w:val="2C8E6BD9"/>
    <w:rsid w:val="2C9142C1"/>
    <w:rsid w:val="2C965551"/>
    <w:rsid w:val="2CA866EA"/>
    <w:rsid w:val="2CAB3B93"/>
    <w:rsid w:val="2CAE1BBE"/>
    <w:rsid w:val="2CB66FB0"/>
    <w:rsid w:val="2CDB2017"/>
    <w:rsid w:val="2CDC08C3"/>
    <w:rsid w:val="2CDC672B"/>
    <w:rsid w:val="2CEB299B"/>
    <w:rsid w:val="2CFF31EB"/>
    <w:rsid w:val="2D03015C"/>
    <w:rsid w:val="2D030A47"/>
    <w:rsid w:val="2D0A773C"/>
    <w:rsid w:val="2D0B7011"/>
    <w:rsid w:val="2D0C27AA"/>
    <w:rsid w:val="2D157E8F"/>
    <w:rsid w:val="2D2D1817"/>
    <w:rsid w:val="2D2F0F51"/>
    <w:rsid w:val="2D4A7B39"/>
    <w:rsid w:val="2D4B5A24"/>
    <w:rsid w:val="2D5173D9"/>
    <w:rsid w:val="2D547854"/>
    <w:rsid w:val="2D574004"/>
    <w:rsid w:val="2D5C7E09"/>
    <w:rsid w:val="2D742E08"/>
    <w:rsid w:val="2D834DF9"/>
    <w:rsid w:val="2D8D3ECA"/>
    <w:rsid w:val="2D906B77"/>
    <w:rsid w:val="2D9175DA"/>
    <w:rsid w:val="2D956230"/>
    <w:rsid w:val="2DA336ED"/>
    <w:rsid w:val="2DA91851"/>
    <w:rsid w:val="2DAD7E08"/>
    <w:rsid w:val="2DB10047"/>
    <w:rsid w:val="2DBA2FCF"/>
    <w:rsid w:val="2DC31316"/>
    <w:rsid w:val="2DC60356"/>
    <w:rsid w:val="2DDE33CA"/>
    <w:rsid w:val="2DF31F7F"/>
    <w:rsid w:val="2DF434B8"/>
    <w:rsid w:val="2DFF5933"/>
    <w:rsid w:val="2E094915"/>
    <w:rsid w:val="2E0B4ED3"/>
    <w:rsid w:val="2E1126DF"/>
    <w:rsid w:val="2E1168A9"/>
    <w:rsid w:val="2E150147"/>
    <w:rsid w:val="2E1A05F6"/>
    <w:rsid w:val="2E22398F"/>
    <w:rsid w:val="2E2C36E3"/>
    <w:rsid w:val="2E314855"/>
    <w:rsid w:val="2E344345"/>
    <w:rsid w:val="2E350E75"/>
    <w:rsid w:val="2E351D1B"/>
    <w:rsid w:val="2E3D31FA"/>
    <w:rsid w:val="2E440819"/>
    <w:rsid w:val="2E472931"/>
    <w:rsid w:val="2E520CBB"/>
    <w:rsid w:val="2E525FE5"/>
    <w:rsid w:val="2E56075F"/>
    <w:rsid w:val="2E58018F"/>
    <w:rsid w:val="2E5F7614"/>
    <w:rsid w:val="2E786928"/>
    <w:rsid w:val="2E7A6874"/>
    <w:rsid w:val="2E7B1F74"/>
    <w:rsid w:val="2E7C01C6"/>
    <w:rsid w:val="2E7E4623"/>
    <w:rsid w:val="2E7F3812"/>
    <w:rsid w:val="2E8B3370"/>
    <w:rsid w:val="2E9372BE"/>
    <w:rsid w:val="2E975000"/>
    <w:rsid w:val="2E9A689E"/>
    <w:rsid w:val="2E9D013C"/>
    <w:rsid w:val="2EA43E88"/>
    <w:rsid w:val="2EA92A1B"/>
    <w:rsid w:val="2EAD65D1"/>
    <w:rsid w:val="2EB018A7"/>
    <w:rsid w:val="2EB33E33"/>
    <w:rsid w:val="2EBD433B"/>
    <w:rsid w:val="2EC667E9"/>
    <w:rsid w:val="2EC92CDF"/>
    <w:rsid w:val="2ECF4736"/>
    <w:rsid w:val="2ED31DB0"/>
    <w:rsid w:val="2EE360DB"/>
    <w:rsid w:val="2EF22236"/>
    <w:rsid w:val="2EF25C0D"/>
    <w:rsid w:val="2EF35FAE"/>
    <w:rsid w:val="2EF4665C"/>
    <w:rsid w:val="2EFD1FBD"/>
    <w:rsid w:val="2EFE0BDB"/>
    <w:rsid w:val="2EFE7B15"/>
    <w:rsid w:val="2F0B154A"/>
    <w:rsid w:val="2F0B211E"/>
    <w:rsid w:val="2F0E15A6"/>
    <w:rsid w:val="2F1C004F"/>
    <w:rsid w:val="2F25085E"/>
    <w:rsid w:val="2F26688E"/>
    <w:rsid w:val="2F3E7229"/>
    <w:rsid w:val="2F401D2E"/>
    <w:rsid w:val="2F445CCB"/>
    <w:rsid w:val="2F4A1338"/>
    <w:rsid w:val="2F4D5D7A"/>
    <w:rsid w:val="2F5B427F"/>
    <w:rsid w:val="2F5B59C5"/>
    <w:rsid w:val="2F5E5B1E"/>
    <w:rsid w:val="2F634EE2"/>
    <w:rsid w:val="2F8202D8"/>
    <w:rsid w:val="2F854E58"/>
    <w:rsid w:val="2F8A2281"/>
    <w:rsid w:val="2F971030"/>
    <w:rsid w:val="2F9B0B20"/>
    <w:rsid w:val="2F9B467C"/>
    <w:rsid w:val="2FA72311"/>
    <w:rsid w:val="2FAC6889"/>
    <w:rsid w:val="2FB31F59"/>
    <w:rsid w:val="2FB35E69"/>
    <w:rsid w:val="2FBE38FB"/>
    <w:rsid w:val="2FCB18F1"/>
    <w:rsid w:val="2FCF07C9"/>
    <w:rsid w:val="2FD156C0"/>
    <w:rsid w:val="2FDD7EF0"/>
    <w:rsid w:val="2FE22B3E"/>
    <w:rsid w:val="2FE51D9B"/>
    <w:rsid w:val="2FEF6EDC"/>
    <w:rsid w:val="2FF26266"/>
    <w:rsid w:val="2FF62EF3"/>
    <w:rsid w:val="2FF7387C"/>
    <w:rsid w:val="2FF86323"/>
    <w:rsid w:val="2FFA6DB9"/>
    <w:rsid w:val="2FFD5337"/>
    <w:rsid w:val="300F1E8E"/>
    <w:rsid w:val="30197C97"/>
    <w:rsid w:val="301C2E03"/>
    <w:rsid w:val="301E5640"/>
    <w:rsid w:val="3025488D"/>
    <w:rsid w:val="302663B3"/>
    <w:rsid w:val="302B6013"/>
    <w:rsid w:val="30336FAA"/>
    <w:rsid w:val="30382E9F"/>
    <w:rsid w:val="303B5E5F"/>
    <w:rsid w:val="303E14AB"/>
    <w:rsid w:val="303E7A29"/>
    <w:rsid w:val="303F5701"/>
    <w:rsid w:val="30562C99"/>
    <w:rsid w:val="30586A11"/>
    <w:rsid w:val="305D59BC"/>
    <w:rsid w:val="30766E97"/>
    <w:rsid w:val="307C4B2C"/>
    <w:rsid w:val="30853333"/>
    <w:rsid w:val="30874C00"/>
    <w:rsid w:val="308A5619"/>
    <w:rsid w:val="308B2DDC"/>
    <w:rsid w:val="309A4933"/>
    <w:rsid w:val="30A43A04"/>
    <w:rsid w:val="30B009C8"/>
    <w:rsid w:val="30B72EC3"/>
    <w:rsid w:val="30B8125D"/>
    <w:rsid w:val="30BC6FA0"/>
    <w:rsid w:val="30C60521"/>
    <w:rsid w:val="30CC4A9F"/>
    <w:rsid w:val="30D66C73"/>
    <w:rsid w:val="30DB37B7"/>
    <w:rsid w:val="30DD6F16"/>
    <w:rsid w:val="30E107B4"/>
    <w:rsid w:val="30E42DF1"/>
    <w:rsid w:val="30E634E4"/>
    <w:rsid w:val="30EA318F"/>
    <w:rsid w:val="30ED1B0F"/>
    <w:rsid w:val="30F26836"/>
    <w:rsid w:val="30F524B2"/>
    <w:rsid w:val="30F60DF4"/>
    <w:rsid w:val="30F64EFB"/>
    <w:rsid w:val="30F84DC7"/>
    <w:rsid w:val="30FA7AC8"/>
    <w:rsid w:val="311566B0"/>
    <w:rsid w:val="311B76C1"/>
    <w:rsid w:val="31245B1A"/>
    <w:rsid w:val="31355DB8"/>
    <w:rsid w:val="31383FA4"/>
    <w:rsid w:val="313B79DA"/>
    <w:rsid w:val="313E5C07"/>
    <w:rsid w:val="314131F4"/>
    <w:rsid w:val="314E571E"/>
    <w:rsid w:val="315952FB"/>
    <w:rsid w:val="31626070"/>
    <w:rsid w:val="316B2774"/>
    <w:rsid w:val="31794E91"/>
    <w:rsid w:val="31797A88"/>
    <w:rsid w:val="317F3195"/>
    <w:rsid w:val="31833619"/>
    <w:rsid w:val="31843079"/>
    <w:rsid w:val="318D38FB"/>
    <w:rsid w:val="31921AAF"/>
    <w:rsid w:val="31973569"/>
    <w:rsid w:val="3199108F"/>
    <w:rsid w:val="319B0EE6"/>
    <w:rsid w:val="31A0241D"/>
    <w:rsid w:val="31A1198D"/>
    <w:rsid w:val="31A17E1B"/>
    <w:rsid w:val="31A41061"/>
    <w:rsid w:val="31A517E2"/>
    <w:rsid w:val="31A6555A"/>
    <w:rsid w:val="31AA504A"/>
    <w:rsid w:val="31AF2660"/>
    <w:rsid w:val="31BA1A73"/>
    <w:rsid w:val="31BA1C29"/>
    <w:rsid w:val="31BF1BBC"/>
    <w:rsid w:val="31C54017"/>
    <w:rsid w:val="31CA56EC"/>
    <w:rsid w:val="31D67BED"/>
    <w:rsid w:val="31D85ACB"/>
    <w:rsid w:val="31DB3455"/>
    <w:rsid w:val="31DD6C46"/>
    <w:rsid w:val="31E247E4"/>
    <w:rsid w:val="31E250BE"/>
    <w:rsid w:val="31ED5D34"/>
    <w:rsid w:val="31ED781E"/>
    <w:rsid w:val="31F12C79"/>
    <w:rsid w:val="3207424B"/>
    <w:rsid w:val="321F34EA"/>
    <w:rsid w:val="32273902"/>
    <w:rsid w:val="32303851"/>
    <w:rsid w:val="32321238"/>
    <w:rsid w:val="323E39E4"/>
    <w:rsid w:val="323F4193"/>
    <w:rsid w:val="3243161E"/>
    <w:rsid w:val="32470AEB"/>
    <w:rsid w:val="324D255F"/>
    <w:rsid w:val="32513718"/>
    <w:rsid w:val="3253123E"/>
    <w:rsid w:val="32557C5E"/>
    <w:rsid w:val="325A22A3"/>
    <w:rsid w:val="32607DFF"/>
    <w:rsid w:val="32640435"/>
    <w:rsid w:val="32664D79"/>
    <w:rsid w:val="328A6C2A"/>
    <w:rsid w:val="328F3859"/>
    <w:rsid w:val="329B0E37"/>
    <w:rsid w:val="32A0771A"/>
    <w:rsid w:val="32A45EFC"/>
    <w:rsid w:val="32B06690"/>
    <w:rsid w:val="32B716BE"/>
    <w:rsid w:val="32BC0A68"/>
    <w:rsid w:val="32BF68D3"/>
    <w:rsid w:val="32C10194"/>
    <w:rsid w:val="32D63C1D"/>
    <w:rsid w:val="32E97DF4"/>
    <w:rsid w:val="32F50547"/>
    <w:rsid w:val="32F64990"/>
    <w:rsid w:val="32F80037"/>
    <w:rsid w:val="32F823E5"/>
    <w:rsid w:val="32FA5B5D"/>
    <w:rsid w:val="33010C9A"/>
    <w:rsid w:val="331303EB"/>
    <w:rsid w:val="3313235B"/>
    <w:rsid w:val="33160B00"/>
    <w:rsid w:val="331644B4"/>
    <w:rsid w:val="33226E62"/>
    <w:rsid w:val="33242C79"/>
    <w:rsid w:val="332B21BB"/>
    <w:rsid w:val="332F3E0C"/>
    <w:rsid w:val="333F7A14"/>
    <w:rsid w:val="33480F8C"/>
    <w:rsid w:val="334F7338"/>
    <w:rsid w:val="33505FAA"/>
    <w:rsid w:val="3353631D"/>
    <w:rsid w:val="33557238"/>
    <w:rsid w:val="335A7E23"/>
    <w:rsid w:val="335E351E"/>
    <w:rsid w:val="33600D4E"/>
    <w:rsid w:val="33680D19"/>
    <w:rsid w:val="33694A91"/>
    <w:rsid w:val="337E6A42"/>
    <w:rsid w:val="3381222A"/>
    <w:rsid w:val="338D69D1"/>
    <w:rsid w:val="3390201E"/>
    <w:rsid w:val="33925D96"/>
    <w:rsid w:val="33941B0E"/>
    <w:rsid w:val="33983A23"/>
    <w:rsid w:val="339C4E66"/>
    <w:rsid w:val="33A87367"/>
    <w:rsid w:val="33A900F6"/>
    <w:rsid w:val="33AB32FB"/>
    <w:rsid w:val="33AF4B9A"/>
    <w:rsid w:val="33AF6948"/>
    <w:rsid w:val="33C00FF5"/>
    <w:rsid w:val="33C51ABD"/>
    <w:rsid w:val="33CA3782"/>
    <w:rsid w:val="33DA0E45"/>
    <w:rsid w:val="33E61958"/>
    <w:rsid w:val="33EA7980"/>
    <w:rsid w:val="33EF31E8"/>
    <w:rsid w:val="33F46A50"/>
    <w:rsid w:val="33F90F5D"/>
    <w:rsid w:val="33FB1B8D"/>
    <w:rsid w:val="33FE167D"/>
    <w:rsid w:val="340369FA"/>
    <w:rsid w:val="34125129"/>
    <w:rsid w:val="34150A37"/>
    <w:rsid w:val="341B1CD8"/>
    <w:rsid w:val="34210CBB"/>
    <w:rsid w:val="3421711A"/>
    <w:rsid w:val="342A2472"/>
    <w:rsid w:val="34474001"/>
    <w:rsid w:val="34572B3B"/>
    <w:rsid w:val="345B3646"/>
    <w:rsid w:val="345D5BA7"/>
    <w:rsid w:val="34645984"/>
    <w:rsid w:val="34646950"/>
    <w:rsid w:val="346A286F"/>
    <w:rsid w:val="347C1407"/>
    <w:rsid w:val="348E47AF"/>
    <w:rsid w:val="349124F1"/>
    <w:rsid w:val="34963664"/>
    <w:rsid w:val="34AF4725"/>
    <w:rsid w:val="34B00BC9"/>
    <w:rsid w:val="34CB5A03"/>
    <w:rsid w:val="34CC3529"/>
    <w:rsid w:val="34CE54F3"/>
    <w:rsid w:val="34D10B40"/>
    <w:rsid w:val="34DA0BF7"/>
    <w:rsid w:val="34DA3E98"/>
    <w:rsid w:val="34E22D4D"/>
    <w:rsid w:val="34E56399"/>
    <w:rsid w:val="34E70363"/>
    <w:rsid w:val="34E72111"/>
    <w:rsid w:val="34FA1E45"/>
    <w:rsid w:val="35076310"/>
    <w:rsid w:val="35143766"/>
    <w:rsid w:val="35160797"/>
    <w:rsid w:val="351B1DBB"/>
    <w:rsid w:val="352260F8"/>
    <w:rsid w:val="353D7F83"/>
    <w:rsid w:val="35441312"/>
    <w:rsid w:val="3545092B"/>
    <w:rsid w:val="354632DC"/>
    <w:rsid w:val="355C2AFF"/>
    <w:rsid w:val="355D23D3"/>
    <w:rsid w:val="3569521C"/>
    <w:rsid w:val="3575291B"/>
    <w:rsid w:val="357A116D"/>
    <w:rsid w:val="357E2A76"/>
    <w:rsid w:val="3583008C"/>
    <w:rsid w:val="35870510"/>
    <w:rsid w:val="358811E0"/>
    <w:rsid w:val="358F6692"/>
    <w:rsid w:val="35916DB3"/>
    <w:rsid w:val="35926521"/>
    <w:rsid w:val="35AF1E23"/>
    <w:rsid w:val="35B43F4C"/>
    <w:rsid w:val="35BC70FA"/>
    <w:rsid w:val="35C0308E"/>
    <w:rsid w:val="35D10F79"/>
    <w:rsid w:val="35E127F3"/>
    <w:rsid w:val="35E36D7D"/>
    <w:rsid w:val="35E46651"/>
    <w:rsid w:val="35E57D5A"/>
    <w:rsid w:val="35E825E5"/>
    <w:rsid w:val="35EB3E83"/>
    <w:rsid w:val="35F04FF6"/>
    <w:rsid w:val="35F5085E"/>
    <w:rsid w:val="35F8354B"/>
    <w:rsid w:val="36154A5C"/>
    <w:rsid w:val="36227C9F"/>
    <w:rsid w:val="3628478F"/>
    <w:rsid w:val="362A0C6A"/>
    <w:rsid w:val="36356EAC"/>
    <w:rsid w:val="363B454D"/>
    <w:rsid w:val="36435A6D"/>
    <w:rsid w:val="364C2B74"/>
    <w:rsid w:val="364D0B4B"/>
    <w:rsid w:val="364D41F6"/>
    <w:rsid w:val="36533F02"/>
    <w:rsid w:val="36655B51"/>
    <w:rsid w:val="36675F60"/>
    <w:rsid w:val="36716136"/>
    <w:rsid w:val="36730100"/>
    <w:rsid w:val="367E2601"/>
    <w:rsid w:val="367F2735"/>
    <w:rsid w:val="368A5C1D"/>
    <w:rsid w:val="368D6CE8"/>
    <w:rsid w:val="36911F1B"/>
    <w:rsid w:val="369342FF"/>
    <w:rsid w:val="369648D9"/>
    <w:rsid w:val="36985DB9"/>
    <w:rsid w:val="36A04C6E"/>
    <w:rsid w:val="36A24542"/>
    <w:rsid w:val="36AF3103"/>
    <w:rsid w:val="36B61F5B"/>
    <w:rsid w:val="36BD75CE"/>
    <w:rsid w:val="36C02C1A"/>
    <w:rsid w:val="36C5227C"/>
    <w:rsid w:val="36C554CC"/>
    <w:rsid w:val="36C56482"/>
    <w:rsid w:val="36CA1CEB"/>
    <w:rsid w:val="36CC15BF"/>
    <w:rsid w:val="36D13079"/>
    <w:rsid w:val="36D55BA7"/>
    <w:rsid w:val="36DB5CA6"/>
    <w:rsid w:val="36F55D23"/>
    <w:rsid w:val="36FF0751"/>
    <w:rsid w:val="370945C1"/>
    <w:rsid w:val="370C5E5F"/>
    <w:rsid w:val="370E4224"/>
    <w:rsid w:val="370E44A7"/>
    <w:rsid w:val="37133692"/>
    <w:rsid w:val="371371EE"/>
    <w:rsid w:val="37163FFD"/>
    <w:rsid w:val="37164F30"/>
    <w:rsid w:val="371B2546"/>
    <w:rsid w:val="372A2557"/>
    <w:rsid w:val="3739139C"/>
    <w:rsid w:val="37397F6D"/>
    <w:rsid w:val="373A6E70"/>
    <w:rsid w:val="373C427D"/>
    <w:rsid w:val="373C4996"/>
    <w:rsid w:val="373E3013"/>
    <w:rsid w:val="373F5FFA"/>
    <w:rsid w:val="3745707E"/>
    <w:rsid w:val="37503F9E"/>
    <w:rsid w:val="37561E14"/>
    <w:rsid w:val="375A7F6A"/>
    <w:rsid w:val="375D105C"/>
    <w:rsid w:val="37730354"/>
    <w:rsid w:val="3779329F"/>
    <w:rsid w:val="377A726D"/>
    <w:rsid w:val="377C7FC5"/>
    <w:rsid w:val="37831746"/>
    <w:rsid w:val="378679C0"/>
    <w:rsid w:val="37976071"/>
    <w:rsid w:val="379E11AD"/>
    <w:rsid w:val="37A67753"/>
    <w:rsid w:val="37AF57D9"/>
    <w:rsid w:val="37C52BDE"/>
    <w:rsid w:val="37CE22F9"/>
    <w:rsid w:val="37E8067A"/>
    <w:rsid w:val="37E82428"/>
    <w:rsid w:val="37F80C39"/>
    <w:rsid w:val="37FC6ABA"/>
    <w:rsid w:val="37FE39FA"/>
    <w:rsid w:val="3804472D"/>
    <w:rsid w:val="381256F7"/>
    <w:rsid w:val="381435AF"/>
    <w:rsid w:val="38151BEF"/>
    <w:rsid w:val="38172D0E"/>
    <w:rsid w:val="38176374"/>
    <w:rsid w:val="38194CD8"/>
    <w:rsid w:val="381D7640"/>
    <w:rsid w:val="38262F51"/>
    <w:rsid w:val="383733B0"/>
    <w:rsid w:val="384004B6"/>
    <w:rsid w:val="384C064E"/>
    <w:rsid w:val="384F083A"/>
    <w:rsid w:val="3854001D"/>
    <w:rsid w:val="386817BB"/>
    <w:rsid w:val="386A670A"/>
    <w:rsid w:val="386F2B4A"/>
    <w:rsid w:val="38743CBC"/>
    <w:rsid w:val="387A641C"/>
    <w:rsid w:val="387B607B"/>
    <w:rsid w:val="387D2F13"/>
    <w:rsid w:val="388163D9"/>
    <w:rsid w:val="3882287D"/>
    <w:rsid w:val="38822931"/>
    <w:rsid w:val="38864C2A"/>
    <w:rsid w:val="38984519"/>
    <w:rsid w:val="389D1465"/>
    <w:rsid w:val="38A00F55"/>
    <w:rsid w:val="38A5656B"/>
    <w:rsid w:val="38B75695"/>
    <w:rsid w:val="38BA1A98"/>
    <w:rsid w:val="38C075B5"/>
    <w:rsid w:val="38C430B9"/>
    <w:rsid w:val="38CD161E"/>
    <w:rsid w:val="38CF1788"/>
    <w:rsid w:val="38CF5396"/>
    <w:rsid w:val="38D330D8"/>
    <w:rsid w:val="38D773B0"/>
    <w:rsid w:val="38D95916"/>
    <w:rsid w:val="38DA7761"/>
    <w:rsid w:val="38E1134D"/>
    <w:rsid w:val="38E84B50"/>
    <w:rsid w:val="38E918CD"/>
    <w:rsid w:val="38F32FC2"/>
    <w:rsid w:val="390112E6"/>
    <w:rsid w:val="3914724D"/>
    <w:rsid w:val="39167469"/>
    <w:rsid w:val="39205BF2"/>
    <w:rsid w:val="3930052B"/>
    <w:rsid w:val="39365415"/>
    <w:rsid w:val="3938118D"/>
    <w:rsid w:val="393873DF"/>
    <w:rsid w:val="393D2C48"/>
    <w:rsid w:val="393D3F89"/>
    <w:rsid w:val="39407DC9"/>
    <w:rsid w:val="39477622"/>
    <w:rsid w:val="394C69E7"/>
    <w:rsid w:val="39553AED"/>
    <w:rsid w:val="396333E4"/>
    <w:rsid w:val="39697599"/>
    <w:rsid w:val="396C6330"/>
    <w:rsid w:val="39755F3E"/>
    <w:rsid w:val="397B107A"/>
    <w:rsid w:val="397C3770"/>
    <w:rsid w:val="39932868"/>
    <w:rsid w:val="399565E0"/>
    <w:rsid w:val="399A264D"/>
    <w:rsid w:val="399C796E"/>
    <w:rsid w:val="399F568A"/>
    <w:rsid w:val="39A15A94"/>
    <w:rsid w:val="39A46823"/>
    <w:rsid w:val="39A61B99"/>
    <w:rsid w:val="39A82234"/>
    <w:rsid w:val="39A86313"/>
    <w:rsid w:val="39AB195F"/>
    <w:rsid w:val="39AE7B1C"/>
    <w:rsid w:val="39B50B58"/>
    <w:rsid w:val="39C26CA9"/>
    <w:rsid w:val="39D37B62"/>
    <w:rsid w:val="39D85952"/>
    <w:rsid w:val="39D864CC"/>
    <w:rsid w:val="39D90415"/>
    <w:rsid w:val="39DF68E8"/>
    <w:rsid w:val="39F20325"/>
    <w:rsid w:val="39F8091D"/>
    <w:rsid w:val="39FC21BB"/>
    <w:rsid w:val="3A095CA8"/>
    <w:rsid w:val="3A10023F"/>
    <w:rsid w:val="3A1304A1"/>
    <w:rsid w:val="3A130E7B"/>
    <w:rsid w:val="3A132571"/>
    <w:rsid w:val="3A133427"/>
    <w:rsid w:val="3A156427"/>
    <w:rsid w:val="3A197EEE"/>
    <w:rsid w:val="3A1F5F14"/>
    <w:rsid w:val="3A2160C5"/>
    <w:rsid w:val="3A2225A8"/>
    <w:rsid w:val="3A342A1B"/>
    <w:rsid w:val="3A43428E"/>
    <w:rsid w:val="3A442A17"/>
    <w:rsid w:val="3A4D2A17"/>
    <w:rsid w:val="3A563FC1"/>
    <w:rsid w:val="3A5D1B43"/>
    <w:rsid w:val="3A655FD4"/>
    <w:rsid w:val="3A6761B1"/>
    <w:rsid w:val="3A695377"/>
    <w:rsid w:val="3A7B5946"/>
    <w:rsid w:val="3A7F400B"/>
    <w:rsid w:val="3A993DB9"/>
    <w:rsid w:val="3A9C399E"/>
    <w:rsid w:val="3AA0348E"/>
    <w:rsid w:val="3AA34D2C"/>
    <w:rsid w:val="3AA666D3"/>
    <w:rsid w:val="3AB05168"/>
    <w:rsid w:val="3AB42671"/>
    <w:rsid w:val="3AB92FEC"/>
    <w:rsid w:val="3AC56070"/>
    <w:rsid w:val="3AC81A75"/>
    <w:rsid w:val="3ACE216B"/>
    <w:rsid w:val="3ACE7FFB"/>
    <w:rsid w:val="3AD1189A"/>
    <w:rsid w:val="3AD249E7"/>
    <w:rsid w:val="3ADC5073"/>
    <w:rsid w:val="3ADF09B2"/>
    <w:rsid w:val="3ADF67F8"/>
    <w:rsid w:val="3AE25855"/>
    <w:rsid w:val="3AE60A26"/>
    <w:rsid w:val="3AE8273F"/>
    <w:rsid w:val="3AF662AC"/>
    <w:rsid w:val="3B0775F7"/>
    <w:rsid w:val="3B156FE4"/>
    <w:rsid w:val="3B1F0857"/>
    <w:rsid w:val="3B2F4FC9"/>
    <w:rsid w:val="3B365BA1"/>
    <w:rsid w:val="3B36794F"/>
    <w:rsid w:val="3B3D3C2D"/>
    <w:rsid w:val="3B4007CD"/>
    <w:rsid w:val="3B4E14F1"/>
    <w:rsid w:val="3B580448"/>
    <w:rsid w:val="3B5B1207"/>
    <w:rsid w:val="3B5E2A01"/>
    <w:rsid w:val="3B5F50F7"/>
    <w:rsid w:val="3B620230"/>
    <w:rsid w:val="3B7019AF"/>
    <w:rsid w:val="3B7A3CDF"/>
    <w:rsid w:val="3B7F12F6"/>
    <w:rsid w:val="3B8A3D3A"/>
    <w:rsid w:val="3B8C756F"/>
    <w:rsid w:val="3B936B4F"/>
    <w:rsid w:val="3B9603ED"/>
    <w:rsid w:val="3B9D5CA4"/>
    <w:rsid w:val="3BAE100F"/>
    <w:rsid w:val="3BC001D3"/>
    <w:rsid w:val="3BCC3E0F"/>
    <w:rsid w:val="3BD17677"/>
    <w:rsid w:val="3BE1661F"/>
    <w:rsid w:val="3BE92C13"/>
    <w:rsid w:val="3BEC625F"/>
    <w:rsid w:val="3BF07AFD"/>
    <w:rsid w:val="3BF3545F"/>
    <w:rsid w:val="3BF35840"/>
    <w:rsid w:val="3BFA4240"/>
    <w:rsid w:val="3BFD114C"/>
    <w:rsid w:val="3BFE66BE"/>
    <w:rsid w:val="3C055B26"/>
    <w:rsid w:val="3C0637C5"/>
    <w:rsid w:val="3C091451"/>
    <w:rsid w:val="3C0B0DDB"/>
    <w:rsid w:val="3C272DDF"/>
    <w:rsid w:val="3C2D6471"/>
    <w:rsid w:val="3C2E4AE3"/>
    <w:rsid w:val="3C307B67"/>
    <w:rsid w:val="3C3C71E7"/>
    <w:rsid w:val="3C463BC1"/>
    <w:rsid w:val="3C4B11D8"/>
    <w:rsid w:val="3C575DCE"/>
    <w:rsid w:val="3C5E0F0B"/>
    <w:rsid w:val="3C7F415F"/>
    <w:rsid w:val="3C8E5CD0"/>
    <w:rsid w:val="3C915C2A"/>
    <w:rsid w:val="3C964B49"/>
    <w:rsid w:val="3C9E39FD"/>
    <w:rsid w:val="3CA56B3A"/>
    <w:rsid w:val="3CA632DA"/>
    <w:rsid w:val="3CA8487C"/>
    <w:rsid w:val="3CB7686D"/>
    <w:rsid w:val="3CB92091"/>
    <w:rsid w:val="3CBC3E83"/>
    <w:rsid w:val="3CBE5E4E"/>
    <w:rsid w:val="3CC316B6"/>
    <w:rsid w:val="3CCB2319"/>
    <w:rsid w:val="3CD37937"/>
    <w:rsid w:val="3CE04016"/>
    <w:rsid w:val="3CE8365E"/>
    <w:rsid w:val="3CF17FD1"/>
    <w:rsid w:val="3CF61143"/>
    <w:rsid w:val="3CF71391"/>
    <w:rsid w:val="3D0715A3"/>
    <w:rsid w:val="3D0A6D79"/>
    <w:rsid w:val="3D1A6305"/>
    <w:rsid w:val="3D1F71F5"/>
    <w:rsid w:val="3D22462E"/>
    <w:rsid w:val="3D29776B"/>
    <w:rsid w:val="3D2A6BB4"/>
    <w:rsid w:val="3D2D6B2F"/>
    <w:rsid w:val="3D2E070A"/>
    <w:rsid w:val="3D346474"/>
    <w:rsid w:val="3D3E2AEA"/>
    <w:rsid w:val="3D421C50"/>
    <w:rsid w:val="3D490EC8"/>
    <w:rsid w:val="3D4D1558"/>
    <w:rsid w:val="3D4F2463"/>
    <w:rsid w:val="3D5416FA"/>
    <w:rsid w:val="3D592A43"/>
    <w:rsid w:val="3D597924"/>
    <w:rsid w:val="3D7309E6"/>
    <w:rsid w:val="3D734CA5"/>
    <w:rsid w:val="3D7961F3"/>
    <w:rsid w:val="3D7B3D3F"/>
    <w:rsid w:val="3D7D103E"/>
    <w:rsid w:val="3D8A614D"/>
    <w:rsid w:val="3D9236E4"/>
    <w:rsid w:val="3D9848F1"/>
    <w:rsid w:val="3DA01E53"/>
    <w:rsid w:val="3DA556F2"/>
    <w:rsid w:val="3DA66C1D"/>
    <w:rsid w:val="3DAA0180"/>
    <w:rsid w:val="3DAE7C70"/>
    <w:rsid w:val="3DAF5796"/>
    <w:rsid w:val="3DB57251"/>
    <w:rsid w:val="3DB90882"/>
    <w:rsid w:val="3DBA03C3"/>
    <w:rsid w:val="3DC079A3"/>
    <w:rsid w:val="3DCB0822"/>
    <w:rsid w:val="3DCE23CB"/>
    <w:rsid w:val="3DD220DA"/>
    <w:rsid w:val="3DD23C8F"/>
    <w:rsid w:val="3DDD67A7"/>
    <w:rsid w:val="3DE25620"/>
    <w:rsid w:val="3DE50A59"/>
    <w:rsid w:val="3DE713D4"/>
    <w:rsid w:val="3DE72932"/>
    <w:rsid w:val="3DE827D2"/>
    <w:rsid w:val="3DE93370"/>
    <w:rsid w:val="3DED69EA"/>
    <w:rsid w:val="3DF156C8"/>
    <w:rsid w:val="3DF15DAF"/>
    <w:rsid w:val="3DFA4C63"/>
    <w:rsid w:val="3E043F4D"/>
    <w:rsid w:val="3E087964"/>
    <w:rsid w:val="3E120611"/>
    <w:rsid w:val="3E151A9D"/>
    <w:rsid w:val="3E18333B"/>
    <w:rsid w:val="3E1A79B5"/>
    <w:rsid w:val="3E215755"/>
    <w:rsid w:val="3E23240C"/>
    <w:rsid w:val="3E2D55BB"/>
    <w:rsid w:val="3E383670"/>
    <w:rsid w:val="3E3C527C"/>
    <w:rsid w:val="3E410AE4"/>
    <w:rsid w:val="3E4D7489"/>
    <w:rsid w:val="3E522CF1"/>
    <w:rsid w:val="3E565CBB"/>
    <w:rsid w:val="3E5B66EA"/>
    <w:rsid w:val="3E6F3172"/>
    <w:rsid w:val="3E724DF7"/>
    <w:rsid w:val="3E7762B4"/>
    <w:rsid w:val="3E7944FF"/>
    <w:rsid w:val="3E7E7642"/>
    <w:rsid w:val="3E824BC6"/>
    <w:rsid w:val="3E90381A"/>
    <w:rsid w:val="3E921340"/>
    <w:rsid w:val="3E9C7F9D"/>
    <w:rsid w:val="3EA00C1E"/>
    <w:rsid w:val="3EA3354D"/>
    <w:rsid w:val="3EA83CF5"/>
    <w:rsid w:val="3EB219E2"/>
    <w:rsid w:val="3EB47508"/>
    <w:rsid w:val="3EB92D70"/>
    <w:rsid w:val="3EBF5DFF"/>
    <w:rsid w:val="3EC70F45"/>
    <w:rsid w:val="3ED23E32"/>
    <w:rsid w:val="3ED46D8E"/>
    <w:rsid w:val="3ED92B93"/>
    <w:rsid w:val="3EDB73BB"/>
    <w:rsid w:val="3EEC2B1F"/>
    <w:rsid w:val="3EF142B8"/>
    <w:rsid w:val="3EF23B8C"/>
    <w:rsid w:val="3EF26A59"/>
    <w:rsid w:val="3EF70A82"/>
    <w:rsid w:val="3EFD48DE"/>
    <w:rsid w:val="3EFE0783"/>
    <w:rsid w:val="3F261DA1"/>
    <w:rsid w:val="3F381EE7"/>
    <w:rsid w:val="3F454A0B"/>
    <w:rsid w:val="3F464143"/>
    <w:rsid w:val="3F4A7E6C"/>
    <w:rsid w:val="3F5E425D"/>
    <w:rsid w:val="3F611772"/>
    <w:rsid w:val="3F620FE1"/>
    <w:rsid w:val="3F626F64"/>
    <w:rsid w:val="3F6A3664"/>
    <w:rsid w:val="3F6B19BB"/>
    <w:rsid w:val="3F7647BE"/>
    <w:rsid w:val="3F807045"/>
    <w:rsid w:val="3F835EEE"/>
    <w:rsid w:val="3F884E12"/>
    <w:rsid w:val="3F9904AC"/>
    <w:rsid w:val="3F9B2476"/>
    <w:rsid w:val="3FA330D9"/>
    <w:rsid w:val="3FA404D9"/>
    <w:rsid w:val="3FA6268D"/>
    <w:rsid w:val="3FAE03FB"/>
    <w:rsid w:val="3FB452E6"/>
    <w:rsid w:val="3FBA6DA0"/>
    <w:rsid w:val="3FBF2369"/>
    <w:rsid w:val="3FC03C8B"/>
    <w:rsid w:val="3FC25C55"/>
    <w:rsid w:val="3FD20B2C"/>
    <w:rsid w:val="3FEB6716"/>
    <w:rsid w:val="3FF13FC9"/>
    <w:rsid w:val="3FF52C80"/>
    <w:rsid w:val="40001DFD"/>
    <w:rsid w:val="4004001B"/>
    <w:rsid w:val="400C3561"/>
    <w:rsid w:val="400D6E3A"/>
    <w:rsid w:val="402E5098"/>
    <w:rsid w:val="402E6E46"/>
    <w:rsid w:val="403A4188"/>
    <w:rsid w:val="403D352D"/>
    <w:rsid w:val="40491ED2"/>
    <w:rsid w:val="404B3E9C"/>
    <w:rsid w:val="4050500F"/>
    <w:rsid w:val="40610FCA"/>
    <w:rsid w:val="40646D0C"/>
    <w:rsid w:val="40662679"/>
    <w:rsid w:val="40692574"/>
    <w:rsid w:val="407C5E04"/>
    <w:rsid w:val="40814698"/>
    <w:rsid w:val="40890593"/>
    <w:rsid w:val="4090365D"/>
    <w:rsid w:val="409273D5"/>
    <w:rsid w:val="409C1CAB"/>
    <w:rsid w:val="409C64A6"/>
    <w:rsid w:val="409E454B"/>
    <w:rsid w:val="40A8048F"/>
    <w:rsid w:val="40A84E4B"/>
    <w:rsid w:val="40AB77D8"/>
    <w:rsid w:val="40B7508E"/>
    <w:rsid w:val="40C9061E"/>
    <w:rsid w:val="40CA3013"/>
    <w:rsid w:val="40CA5341"/>
    <w:rsid w:val="40CD2B03"/>
    <w:rsid w:val="40CF23D7"/>
    <w:rsid w:val="40D4065A"/>
    <w:rsid w:val="40D53CFA"/>
    <w:rsid w:val="40DC00B4"/>
    <w:rsid w:val="40E17CB3"/>
    <w:rsid w:val="40E65973"/>
    <w:rsid w:val="40EA76AC"/>
    <w:rsid w:val="40EC1CFC"/>
    <w:rsid w:val="40EF4827"/>
    <w:rsid w:val="40F2256A"/>
    <w:rsid w:val="40FB7670"/>
    <w:rsid w:val="41115290"/>
    <w:rsid w:val="41126768"/>
    <w:rsid w:val="41130A9C"/>
    <w:rsid w:val="4114603C"/>
    <w:rsid w:val="41195E08"/>
    <w:rsid w:val="411A102C"/>
    <w:rsid w:val="411C0A86"/>
    <w:rsid w:val="411C5418"/>
    <w:rsid w:val="41210759"/>
    <w:rsid w:val="41232723"/>
    <w:rsid w:val="41262811"/>
    <w:rsid w:val="41272213"/>
    <w:rsid w:val="412C782A"/>
    <w:rsid w:val="412D2FF7"/>
    <w:rsid w:val="41384420"/>
    <w:rsid w:val="413B5CBF"/>
    <w:rsid w:val="413E755D"/>
    <w:rsid w:val="41412BA9"/>
    <w:rsid w:val="41466412"/>
    <w:rsid w:val="41483F38"/>
    <w:rsid w:val="414A4154"/>
    <w:rsid w:val="41524DB6"/>
    <w:rsid w:val="41610E0B"/>
    <w:rsid w:val="4162324B"/>
    <w:rsid w:val="416526E4"/>
    <w:rsid w:val="41654AEA"/>
    <w:rsid w:val="4168282C"/>
    <w:rsid w:val="4172554A"/>
    <w:rsid w:val="41856F3A"/>
    <w:rsid w:val="418F7DB9"/>
    <w:rsid w:val="41965FB4"/>
    <w:rsid w:val="419F5DAB"/>
    <w:rsid w:val="41A03D74"/>
    <w:rsid w:val="41A575DC"/>
    <w:rsid w:val="41A63BF5"/>
    <w:rsid w:val="41A8482D"/>
    <w:rsid w:val="41AC0E4E"/>
    <w:rsid w:val="41B25855"/>
    <w:rsid w:val="41B53FB6"/>
    <w:rsid w:val="41B84ACA"/>
    <w:rsid w:val="41BA21D5"/>
    <w:rsid w:val="41BA3087"/>
    <w:rsid w:val="41BF0EBD"/>
    <w:rsid w:val="41C55588"/>
    <w:rsid w:val="41CE2D58"/>
    <w:rsid w:val="41D37CA5"/>
    <w:rsid w:val="41DD57A1"/>
    <w:rsid w:val="41DE601D"/>
    <w:rsid w:val="41E27AF9"/>
    <w:rsid w:val="41E40104"/>
    <w:rsid w:val="41E719A3"/>
    <w:rsid w:val="41EA4FEF"/>
    <w:rsid w:val="41ED4413"/>
    <w:rsid w:val="41F30347"/>
    <w:rsid w:val="41FB71FC"/>
    <w:rsid w:val="42044303"/>
    <w:rsid w:val="42084341"/>
    <w:rsid w:val="420C404A"/>
    <w:rsid w:val="42196180"/>
    <w:rsid w:val="421B71B7"/>
    <w:rsid w:val="421D7172"/>
    <w:rsid w:val="4226071D"/>
    <w:rsid w:val="422C5607"/>
    <w:rsid w:val="4232473D"/>
    <w:rsid w:val="423360AF"/>
    <w:rsid w:val="4241307A"/>
    <w:rsid w:val="42442951"/>
    <w:rsid w:val="42671AEE"/>
    <w:rsid w:val="42720C65"/>
    <w:rsid w:val="42772D26"/>
    <w:rsid w:val="42806B52"/>
    <w:rsid w:val="42813BA5"/>
    <w:rsid w:val="428471F1"/>
    <w:rsid w:val="42884F34"/>
    <w:rsid w:val="42892A5A"/>
    <w:rsid w:val="428C0F59"/>
    <w:rsid w:val="428E62C2"/>
    <w:rsid w:val="4290241B"/>
    <w:rsid w:val="42957651"/>
    <w:rsid w:val="429A4C67"/>
    <w:rsid w:val="42A463CD"/>
    <w:rsid w:val="42A94D50"/>
    <w:rsid w:val="42B6711C"/>
    <w:rsid w:val="42C45840"/>
    <w:rsid w:val="42C615B8"/>
    <w:rsid w:val="42C73E8C"/>
    <w:rsid w:val="42CD02DF"/>
    <w:rsid w:val="42D36BC2"/>
    <w:rsid w:val="42DD5B4F"/>
    <w:rsid w:val="42E96936"/>
    <w:rsid w:val="42F43B21"/>
    <w:rsid w:val="42F62FED"/>
    <w:rsid w:val="42FC322C"/>
    <w:rsid w:val="43030A5E"/>
    <w:rsid w:val="43056A83"/>
    <w:rsid w:val="430B346F"/>
    <w:rsid w:val="430C30C1"/>
    <w:rsid w:val="4315253F"/>
    <w:rsid w:val="43195E8D"/>
    <w:rsid w:val="431D774E"/>
    <w:rsid w:val="432602A9"/>
    <w:rsid w:val="432671A9"/>
    <w:rsid w:val="432946E3"/>
    <w:rsid w:val="432B6392"/>
    <w:rsid w:val="43346E69"/>
    <w:rsid w:val="433E1A96"/>
    <w:rsid w:val="43454BD3"/>
    <w:rsid w:val="434F5A51"/>
    <w:rsid w:val="43525542"/>
    <w:rsid w:val="43650DD1"/>
    <w:rsid w:val="43683470"/>
    <w:rsid w:val="436A63E7"/>
    <w:rsid w:val="43735A24"/>
    <w:rsid w:val="437738BD"/>
    <w:rsid w:val="438374A9"/>
    <w:rsid w:val="4393789C"/>
    <w:rsid w:val="43940904"/>
    <w:rsid w:val="439671DC"/>
    <w:rsid w:val="43A055EF"/>
    <w:rsid w:val="43B43B06"/>
    <w:rsid w:val="43B61E3D"/>
    <w:rsid w:val="43B81849"/>
    <w:rsid w:val="43C7531C"/>
    <w:rsid w:val="43CC7746"/>
    <w:rsid w:val="43CD6976"/>
    <w:rsid w:val="43D65757"/>
    <w:rsid w:val="43E72937"/>
    <w:rsid w:val="44112D07"/>
    <w:rsid w:val="441445A5"/>
    <w:rsid w:val="441647C1"/>
    <w:rsid w:val="44191BBB"/>
    <w:rsid w:val="44223166"/>
    <w:rsid w:val="442F13DF"/>
    <w:rsid w:val="44374BBA"/>
    <w:rsid w:val="443E7E1B"/>
    <w:rsid w:val="44450C02"/>
    <w:rsid w:val="444C01E3"/>
    <w:rsid w:val="444D5A2F"/>
    <w:rsid w:val="44526CBA"/>
    <w:rsid w:val="446F427D"/>
    <w:rsid w:val="44735770"/>
    <w:rsid w:val="447514E8"/>
    <w:rsid w:val="44753296"/>
    <w:rsid w:val="4479424D"/>
    <w:rsid w:val="44823C05"/>
    <w:rsid w:val="448A413C"/>
    <w:rsid w:val="44901E7E"/>
    <w:rsid w:val="449F0313"/>
    <w:rsid w:val="44A9589D"/>
    <w:rsid w:val="44AE726D"/>
    <w:rsid w:val="44B04463"/>
    <w:rsid w:val="44B244EA"/>
    <w:rsid w:val="44B64436"/>
    <w:rsid w:val="44BA15F0"/>
    <w:rsid w:val="44C064C7"/>
    <w:rsid w:val="44D04970"/>
    <w:rsid w:val="44E16B7D"/>
    <w:rsid w:val="44E440DC"/>
    <w:rsid w:val="44F07603"/>
    <w:rsid w:val="44FF7003"/>
    <w:rsid w:val="45034D45"/>
    <w:rsid w:val="450665E4"/>
    <w:rsid w:val="450F45CD"/>
    <w:rsid w:val="45121235"/>
    <w:rsid w:val="45155DE5"/>
    <w:rsid w:val="4519106A"/>
    <w:rsid w:val="45207905"/>
    <w:rsid w:val="452206BF"/>
    <w:rsid w:val="4527538D"/>
    <w:rsid w:val="452847AC"/>
    <w:rsid w:val="4529367E"/>
    <w:rsid w:val="452B6675"/>
    <w:rsid w:val="45390767"/>
    <w:rsid w:val="453A3F02"/>
    <w:rsid w:val="453C35CF"/>
    <w:rsid w:val="45402DF4"/>
    <w:rsid w:val="4541586E"/>
    <w:rsid w:val="45551FDF"/>
    <w:rsid w:val="4555221E"/>
    <w:rsid w:val="455A248C"/>
    <w:rsid w:val="4561381A"/>
    <w:rsid w:val="456D319A"/>
    <w:rsid w:val="457009C7"/>
    <w:rsid w:val="457B0B8C"/>
    <w:rsid w:val="457C5BDD"/>
    <w:rsid w:val="457E261E"/>
    <w:rsid w:val="457E42AE"/>
    <w:rsid w:val="457F1EF2"/>
    <w:rsid w:val="458E4192"/>
    <w:rsid w:val="459935B0"/>
    <w:rsid w:val="459B6D2C"/>
    <w:rsid w:val="45A22426"/>
    <w:rsid w:val="45B7168C"/>
    <w:rsid w:val="45C71BCB"/>
    <w:rsid w:val="45C81AEB"/>
    <w:rsid w:val="45CD488E"/>
    <w:rsid w:val="45D109A0"/>
    <w:rsid w:val="45D25DCF"/>
    <w:rsid w:val="45D466E2"/>
    <w:rsid w:val="45E05087"/>
    <w:rsid w:val="45E302D1"/>
    <w:rsid w:val="45E36925"/>
    <w:rsid w:val="45EA24AB"/>
    <w:rsid w:val="45F37D5A"/>
    <w:rsid w:val="45FB5A1D"/>
    <w:rsid w:val="45FE196B"/>
    <w:rsid w:val="46024FFD"/>
    <w:rsid w:val="46080139"/>
    <w:rsid w:val="460B1E86"/>
    <w:rsid w:val="461F3D68"/>
    <w:rsid w:val="462474A6"/>
    <w:rsid w:val="462976F5"/>
    <w:rsid w:val="462C207A"/>
    <w:rsid w:val="462E7BA0"/>
    <w:rsid w:val="462F1A6E"/>
    <w:rsid w:val="463351B6"/>
    <w:rsid w:val="46357180"/>
    <w:rsid w:val="463E7994"/>
    <w:rsid w:val="463F7FFF"/>
    <w:rsid w:val="464E3D9E"/>
    <w:rsid w:val="4654337F"/>
    <w:rsid w:val="465A2DAC"/>
    <w:rsid w:val="465A6BE7"/>
    <w:rsid w:val="465F583D"/>
    <w:rsid w:val="46640178"/>
    <w:rsid w:val="467252C0"/>
    <w:rsid w:val="467A3BF2"/>
    <w:rsid w:val="467F664E"/>
    <w:rsid w:val="46841EB6"/>
    <w:rsid w:val="468679DC"/>
    <w:rsid w:val="468F5299"/>
    <w:rsid w:val="4690085B"/>
    <w:rsid w:val="469F3A9A"/>
    <w:rsid w:val="46A119EC"/>
    <w:rsid w:val="46A205EB"/>
    <w:rsid w:val="46A75BA4"/>
    <w:rsid w:val="46A77C72"/>
    <w:rsid w:val="46A93A34"/>
    <w:rsid w:val="46B8390E"/>
    <w:rsid w:val="46B9431C"/>
    <w:rsid w:val="46BC33FE"/>
    <w:rsid w:val="46C2478C"/>
    <w:rsid w:val="46C95B1B"/>
    <w:rsid w:val="46CB292A"/>
    <w:rsid w:val="46D1677D"/>
    <w:rsid w:val="46DA5DF7"/>
    <w:rsid w:val="46DB6B62"/>
    <w:rsid w:val="46DD18E6"/>
    <w:rsid w:val="46DD1F26"/>
    <w:rsid w:val="46E643CF"/>
    <w:rsid w:val="46F56910"/>
    <w:rsid w:val="46F661E4"/>
    <w:rsid w:val="46FA2178"/>
    <w:rsid w:val="4703204D"/>
    <w:rsid w:val="47052572"/>
    <w:rsid w:val="47090DFB"/>
    <w:rsid w:val="47094EAE"/>
    <w:rsid w:val="470B38B4"/>
    <w:rsid w:val="47172C63"/>
    <w:rsid w:val="471A5CB5"/>
    <w:rsid w:val="47215957"/>
    <w:rsid w:val="47233EEF"/>
    <w:rsid w:val="472F6E1A"/>
    <w:rsid w:val="472F7EB9"/>
    <w:rsid w:val="473236C0"/>
    <w:rsid w:val="47347438"/>
    <w:rsid w:val="473A07C7"/>
    <w:rsid w:val="473A7489"/>
    <w:rsid w:val="475353E4"/>
    <w:rsid w:val="475C1AE7"/>
    <w:rsid w:val="475F1FDB"/>
    <w:rsid w:val="47617B01"/>
    <w:rsid w:val="47633879"/>
    <w:rsid w:val="47655843"/>
    <w:rsid w:val="47655C01"/>
    <w:rsid w:val="476A037A"/>
    <w:rsid w:val="476A47BB"/>
    <w:rsid w:val="477E4B57"/>
    <w:rsid w:val="47855EE6"/>
    <w:rsid w:val="47862125"/>
    <w:rsid w:val="47881532"/>
    <w:rsid w:val="479223B1"/>
    <w:rsid w:val="47975C19"/>
    <w:rsid w:val="47A65E5C"/>
    <w:rsid w:val="47A85730"/>
    <w:rsid w:val="47AA3CE5"/>
    <w:rsid w:val="47B16ED3"/>
    <w:rsid w:val="47C307BC"/>
    <w:rsid w:val="47CA27F0"/>
    <w:rsid w:val="47D74267"/>
    <w:rsid w:val="47F00E85"/>
    <w:rsid w:val="47F6293F"/>
    <w:rsid w:val="480078A2"/>
    <w:rsid w:val="480905B9"/>
    <w:rsid w:val="4813679C"/>
    <w:rsid w:val="48180B08"/>
    <w:rsid w:val="481C0744"/>
    <w:rsid w:val="481C7F55"/>
    <w:rsid w:val="48315726"/>
    <w:rsid w:val="48323CD9"/>
    <w:rsid w:val="484336AB"/>
    <w:rsid w:val="48455675"/>
    <w:rsid w:val="48537D92"/>
    <w:rsid w:val="485F6737"/>
    <w:rsid w:val="486C49B0"/>
    <w:rsid w:val="4871646A"/>
    <w:rsid w:val="487C748E"/>
    <w:rsid w:val="487F0B87"/>
    <w:rsid w:val="48901F28"/>
    <w:rsid w:val="489857A5"/>
    <w:rsid w:val="489A151D"/>
    <w:rsid w:val="489B7043"/>
    <w:rsid w:val="489D2DBB"/>
    <w:rsid w:val="489E012A"/>
    <w:rsid w:val="48A72BBA"/>
    <w:rsid w:val="48AE7DDD"/>
    <w:rsid w:val="48BD520B"/>
    <w:rsid w:val="48C26CC5"/>
    <w:rsid w:val="48D3302F"/>
    <w:rsid w:val="48E03739"/>
    <w:rsid w:val="48E8449A"/>
    <w:rsid w:val="48E94252"/>
    <w:rsid w:val="48EC789E"/>
    <w:rsid w:val="48F03833"/>
    <w:rsid w:val="48F24D06"/>
    <w:rsid w:val="48F30C2D"/>
    <w:rsid w:val="48F644C0"/>
    <w:rsid w:val="4902013C"/>
    <w:rsid w:val="490E5A67"/>
    <w:rsid w:val="49183A5B"/>
    <w:rsid w:val="4919662F"/>
    <w:rsid w:val="491B0C56"/>
    <w:rsid w:val="491C4628"/>
    <w:rsid w:val="491F1A22"/>
    <w:rsid w:val="492928A1"/>
    <w:rsid w:val="493E26D5"/>
    <w:rsid w:val="49446C09"/>
    <w:rsid w:val="49500A67"/>
    <w:rsid w:val="49520049"/>
    <w:rsid w:val="495711BC"/>
    <w:rsid w:val="49635DB3"/>
    <w:rsid w:val="496B6CB6"/>
    <w:rsid w:val="496F62BB"/>
    <w:rsid w:val="49706721"/>
    <w:rsid w:val="49717C45"/>
    <w:rsid w:val="49731D6E"/>
    <w:rsid w:val="49813612"/>
    <w:rsid w:val="49861AA1"/>
    <w:rsid w:val="498E4CFA"/>
    <w:rsid w:val="49942410"/>
    <w:rsid w:val="49942E21"/>
    <w:rsid w:val="49A07007"/>
    <w:rsid w:val="49A14B2D"/>
    <w:rsid w:val="49B900C8"/>
    <w:rsid w:val="49B9200C"/>
    <w:rsid w:val="49C34AA3"/>
    <w:rsid w:val="49C9728A"/>
    <w:rsid w:val="49CD2D92"/>
    <w:rsid w:val="49D2118A"/>
    <w:rsid w:val="49D62A28"/>
    <w:rsid w:val="49DB003F"/>
    <w:rsid w:val="49E305D2"/>
    <w:rsid w:val="49E669E4"/>
    <w:rsid w:val="49E73F04"/>
    <w:rsid w:val="49EA049E"/>
    <w:rsid w:val="49FA5FEB"/>
    <w:rsid w:val="4A037596"/>
    <w:rsid w:val="4A0B01F8"/>
    <w:rsid w:val="4A0C3D14"/>
    <w:rsid w:val="4A0F7CE8"/>
    <w:rsid w:val="4A1470AD"/>
    <w:rsid w:val="4A174DEF"/>
    <w:rsid w:val="4A225C6E"/>
    <w:rsid w:val="4A2C0CE9"/>
    <w:rsid w:val="4A353E64"/>
    <w:rsid w:val="4A443E36"/>
    <w:rsid w:val="4A464097"/>
    <w:rsid w:val="4A547DF1"/>
    <w:rsid w:val="4A5E2A1E"/>
    <w:rsid w:val="4A6718D3"/>
    <w:rsid w:val="4A6749EC"/>
    <w:rsid w:val="4A6D2299"/>
    <w:rsid w:val="4A6F69D9"/>
    <w:rsid w:val="4A743FEF"/>
    <w:rsid w:val="4A843DC7"/>
    <w:rsid w:val="4A8C4D44"/>
    <w:rsid w:val="4AA20B5D"/>
    <w:rsid w:val="4AB34B18"/>
    <w:rsid w:val="4AB60164"/>
    <w:rsid w:val="4AB84995"/>
    <w:rsid w:val="4ABD7744"/>
    <w:rsid w:val="4AC62A9D"/>
    <w:rsid w:val="4AD52CE0"/>
    <w:rsid w:val="4AD972CC"/>
    <w:rsid w:val="4AE178D7"/>
    <w:rsid w:val="4AE64EED"/>
    <w:rsid w:val="4AEA0BBD"/>
    <w:rsid w:val="4AF07B1A"/>
    <w:rsid w:val="4AF33166"/>
    <w:rsid w:val="4AF34F14"/>
    <w:rsid w:val="4AF40C8C"/>
    <w:rsid w:val="4AF63348"/>
    <w:rsid w:val="4AF92706"/>
    <w:rsid w:val="4AFA2747"/>
    <w:rsid w:val="4AFD3FE5"/>
    <w:rsid w:val="4B055DC5"/>
    <w:rsid w:val="4B0B57E5"/>
    <w:rsid w:val="4B0E1D4E"/>
    <w:rsid w:val="4B1650A7"/>
    <w:rsid w:val="4B187071"/>
    <w:rsid w:val="4B1F21AD"/>
    <w:rsid w:val="4B505009"/>
    <w:rsid w:val="4B576052"/>
    <w:rsid w:val="4B591900"/>
    <w:rsid w:val="4B5A0D09"/>
    <w:rsid w:val="4B5A1437"/>
    <w:rsid w:val="4B75001F"/>
    <w:rsid w:val="4B7C25BF"/>
    <w:rsid w:val="4B7F22C4"/>
    <w:rsid w:val="4B8169C4"/>
    <w:rsid w:val="4B971D44"/>
    <w:rsid w:val="4B9B20D8"/>
    <w:rsid w:val="4B9F509C"/>
    <w:rsid w:val="4BA14E61"/>
    <w:rsid w:val="4BA44460"/>
    <w:rsid w:val="4BAA0416"/>
    <w:rsid w:val="4BBD036D"/>
    <w:rsid w:val="4BBE14AE"/>
    <w:rsid w:val="4BBE2935"/>
    <w:rsid w:val="4BC67AE5"/>
    <w:rsid w:val="4BCA036B"/>
    <w:rsid w:val="4BCD7E5B"/>
    <w:rsid w:val="4BD4091B"/>
    <w:rsid w:val="4BD96800"/>
    <w:rsid w:val="4BF278C2"/>
    <w:rsid w:val="4BF3062C"/>
    <w:rsid w:val="4BF54CBC"/>
    <w:rsid w:val="4C0849EF"/>
    <w:rsid w:val="4C0B2731"/>
    <w:rsid w:val="4C0D64AA"/>
    <w:rsid w:val="4C0F6FA6"/>
    <w:rsid w:val="4C141988"/>
    <w:rsid w:val="4C194E4E"/>
    <w:rsid w:val="4C1C7091"/>
    <w:rsid w:val="4C2022C4"/>
    <w:rsid w:val="4C211F55"/>
    <w:rsid w:val="4C35155C"/>
    <w:rsid w:val="4C352DFF"/>
    <w:rsid w:val="4C3724EA"/>
    <w:rsid w:val="4C3F5999"/>
    <w:rsid w:val="4C485734"/>
    <w:rsid w:val="4C4A14AC"/>
    <w:rsid w:val="4C4D68A6"/>
    <w:rsid w:val="4C4E0677"/>
    <w:rsid w:val="4C577725"/>
    <w:rsid w:val="4C5824A2"/>
    <w:rsid w:val="4C586A2F"/>
    <w:rsid w:val="4C627712"/>
    <w:rsid w:val="4C6360CA"/>
    <w:rsid w:val="4C653E79"/>
    <w:rsid w:val="4C6C76F3"/>
    <w:rsid w:val="4C811A9D"/>
    <w:rsid w:val="4C8449BE"/>
    <w:rsid w:val="4C9646F1"/>
    <w:rsid w:val="4C9E0CAE"/>
    <w:rsid w:val="4CAA3CF8"/>
    <w:rsid w:val="4CAC181F"/>
    <w:rsid w:val="4CB23241"/>
    <w:rsid w:val="4CC27294"/>
    <w:rsid w:val="4CC71B19"/>
    <w:rsid w:val="4CD15729"/>
    <w:rsid w:val="4CD945DE"/>
    <w:rsid w:val="4CE30FB8"/>
    <w:rsid w:val="4CE511D4"/>
    <w:rsid w:val="4CE90CC5"/>
    <w:rsid w:val="4CFB6CB7"/>
    <w:rsid w:val="4D0F7CB6"/>
    <w:rsid w:val="4D113D78"/>
    <w:rsid w:val="4D137AF0"/>
    <w:rsid w:val="4D1473C4"/>
    <w:rsid w:val="4D1F6494"/>
    <w:rsid w:val="4D221AE1"/>
    <w:rsid w:val="4D333CEE"/>
    <w:rsid w:val="4D355CB8"/>
    <w:rsid w:val="4D38766A"/>
    <w:rsid w:val="4D423F31"/>
    <w:rsid w:val="4D4A301A"/>
    <w:rsid w:val="4D58641A"/>
    <w:rsid w:val="4D602609"/>
    <w:rsid w:val="4D614C0A"/>
    <w:rsid w:val="4D622825"/>
    <w:rsid w:val="4D6552A8"/>
    <w:rsid w:val="4D720CBA"/>
    <w:rsid w:val="4D736796"/>
    <w:rsid w:val="4D7367E0"/>
    <w:rsid w:val="4D79482D"/>
    <w:rsid w:val="4D7B7443"/>
    <w:rsid w:val="4D8B5BB5"/>
    <w:rsid w:val="4D8D78A2"/>
    <w:rsid w:val="4D8E5632"/>
    <w:rsid w:val="4D9017CE"/>
    <w:rsid w:val="4D90451E"/>
    <w:rsid w:val="4D922EE6"/>
    <w:rsid w:val="4D9D385D"/>
    <w:rsid w:val="4DA846DC"/>
    <w:rsid w:val="4DA86482"/>
    <w:rsid w:val="4DB766CD"/>
    <w:rsid w:val="4DBA61BD"/>
    <w:rsid w:val="4DBF1A26"/>
    <w:rsid w:val="4DC06CB7"/>
    <w:rsid w:val="4DC4703C"/>
    <w:rsid w:val="4DC62DB4"/>
    <w:rsid w:val="4DDC6134"/>
    <w:rsid w:val="4DE47E39"/>
    <w:rsid w:val="4DE836C1"/>
    <w:rsid w:val="4DF63379"/>
    <w:rsid w:val="4DF82E03"/>
    <w:rsid w:val="4DF92783"/>
    <w:rsid w:val="4DF94F37"/>
    <w:rsid w:val="4DFC67D6"/>
    <w:rsid w:val="4E035DB6"/>
    <w:rsid w:val="4E0B7EEB"/>
    <w:rsid w:val="4E121B55"/>
    <w:rsid w:val="4E1C4782"/>
    <w:rsid w:val="4E2560D6"/>
    <w:rsid w:val="4E2D698F"/>
    <w:rsid w:val="4E357AA8"/>
    <w:rsid w:val="4E4A4544"/>
    <w:rsid w:val="4E523A43"/>
    <w:rsid w:val="4E555EE6"/>
    <w:rsid w:val="4E704ACE"/>
    <w:rsid w:val="4E766DB9"/>
    <w:rsid w:val="4E7A5F69"/>
    <w:rsid w:val="4E7C16C5"/>
    <w:rsid w:val="4E7C40ED"/>
    <w:rsid w:val="4E7E368F"/>
    <w:rsid w:val="4E831407"/>
    <w:rsid w:val="4E834801"/>
    <w:rsid w:val="4E887744"/>
    <w:rsid w:val="4E8D1588"/>
    <w:rsid w:val="4E920EE8"/>
    <w:rsid w:val="4E921BF3"/>
    <w:rsid w:val="4E9B5FEF"/>
    <w:rsid w:val="4EA428A8"/>
    <w:rsid w:val="4EBB043F"/>
    <w:rsid w:val="4EBB21ED"/>
    <w:rsid w:val="4EC70B92"/>
    <w:rsid w:val="4ECB7DF8"/>
    <w:rsid w:val="4ECC264C"/>
    <w:rsid w:val="4ED4505D"/>
    <w:rsid w:val="4ED80FF1"/>
    <w:rsid w:val="4EE259CC"/>
    <w:rsid w:val="4EE65801"/>
    <w:rsid w:val="4EE96D5A"/>
    <w:rsid w:val="4EF179BD"/>
    <w:rsid w:val="4F02606E"/>
    <w:rsid w:val="4F0558DD"/>
    <w:rsid w:val="4F0F42E7"/>
    <w:rsid w:val="4F2002A2"/>
    <w:rsid w:val="4F241610"/>
    <w:rsid w:val="4F245FE4"/>
    <w:rsid w:val="4F280A41"/>
    <w:rsid w:val="4F2E6E63"/>
    <w:rsid w:val="4F3021BF"/>
    <w:rsid w:val="4F304989"/>
    <w:rsid w:val="4F3501F1"/>
    <w:rsid w:val="4F391364"/>
    <w:rsid w:val="4F3F4BCC"/>
    <w:rsid w:val="4F4C72E9"/>
    <w:rsid w:val="4F5F526E"/>
    <w:rsid w:val="4F743715"/>
    <w:rsid w:val="4F7A5C04"/>
    <w:rsid w:val="4F845943"/>
    <w:rsid w:val="4F876573"/>
    <w:rsid w:val="4F8B36DE"/>
    <w:rsid w:val="4F98252E"/>
    <w:rsid w:val="4FAD090D"/>
    <w:rsid w:val="4FAE1D52"/>
    <w:rsid w:val="4FAE6A0C"/>
    <w:rsid w:val="4FB07878"/>
    <w:rsid w:val="4FBC621D"/>
    <w:rsid w:val="4FBE01E7"/>
    <w:rsid w:val="4FF108E6"/>
    <w:rsid w:val="4FF37764"/>
    <w:rsid w:val="4FFF435B"/>
    <w:rsid w:val="50027C2E"/>
    <w:rsid w:val="50083210"/>
    <w:rsid w:val="500A342C"/>
    <w:rsid w:val="50120532"/>
    <w:rsid w:val="501A2F43"/>
    <w:rsid w:val="50212524"/>
    <w:rsid w:val="502B5EB1"/>
    <w:rsid w:val="502B6F59"/>
    <w:rsid w:val="50306EA5"/>
    <w:rsid w:val="503404A9"/>
    <w:rsid w:val="50377F99"/>
    <w:rsid w:val="50422451"/>
    <w:rsid w:val="50510426"/>
    <w:rsid w:val="50575F45"/>
    <w:rsid w:val="50593A6B"/>
    <w:rsid w:val="50610B72"/>
    <w:rsid w:val="50613C4B"/>
    <w:rsid w:val="506568B4"/>
    <w:rsid w:val="506643DA"/>
    <w:rsid w:val="50716043"/>
    <w:rsid w:val="50755420"/>
    <w:rsid w:val="507C1E50"/>
    <w:rsid w:val="5082250C"/>
    <w:rsid w:val="50822F55"/>
    <w:rsid w:val="50840A87"/>
    <w:rsid w:val="50852AB2"/>
    <w:rsid w:val="5087085D"/>
    <w:rsid w:val="509239E2"/>
    <w:rsid w:val="509448C9"/>
    <w:rsid w:val="509E5922"/>
    <w:rsid w:val="50A271E9"/>
    <w:rsid w:val="50A27281"/>
    <w:rsid w:val="50AE0A03"/>
    <w:rsid w:val="50B579CD"/>
    <w:rsid w:val="50BB4CD3"/>
    <w:rsid w:val="50BF7989"/>
    <w:rsid w:val="50C555A5"/>
    <w:rsid w:val="50CE1E2B"/>
    <w:rsid w:val="50CE26AB"/>
    <w:rsid w:val="50D95442"/>
    <w:rsid w:val="50DC2FF2"/>
    <w:rsid w:val="50DD164E"/>
    <w:rsid w:val="50E579F5"/>
    <w:rsid w:val="50EA2047"/>
    <w:rsid w:val="50F6575E"/>
    <w:rsid w:val="50F934A0"/>
    <w:rsid w:val="50FD6AED"/>
    <w:rsid w:val="51067449"/>
    <w:rsid w:val="51123C70"/>
    <w:rsid w:val="511730A2"/>
    <w:rsid w:val="511B3417"/>
    <w:rsid w:val="512B692F"/>
    <w:rsid w:val="512F1FEA"/>
    <w:rsid w:val="513403C7"/>
    <w:rsid w:val="514209A3"/>
    <w:rsid w:val="5147420C"/>
    <w:rsid w:val="514E10F6"/>
    <w:rsid w:val="51515B5F"/>
    <w:rsid w:val="515851F4"/>
    <w:rsid w:val="51606370"/>
    <w:rsid w:val="51606891"/>
    <w:rsid w:val="51637D72"/>
    <w:rsid w:val="51656440"/>
    <w:rsid w:val="516A6509"/>
    <w:rsid w:val="516A7EFA"/>
    <w:rsid w:val="516F2F3E"/>
    <w:rsid w:val="51864D34"/>
    <w:rsid w:val="518913B3"/>
    <w:rsid w:val="518C1CC1"/>
    <w:rsid w:val="51937451"/>
    <w:rsid w:val="519915B2"/>
    <w:rsid w:val="519E7FF6"/>
    <w:rsid w:val="51B04598"/>
    <w:rsid w:val="51B35060"/>
    <w:rsid w:val="51BA0478"/>
    <w:rsid w:val="51C13FBE"/>
    <w:rsid w:val="51C23D05"/>
    <w:rsid w:val="51C9159E"/>
    <w:rsid w:val="51CD2963"/>
    <w:rsid w:val="51D17210"/>
    <w:rsid w:val="51E85FCC"/>
    <w:rsid w:val="51FE0D6E"/>
    <w:rsid w:val="52036385"/>
    <w:rsid w:val="521045FE"/>
    <w:rsid w:val="521340EE"/>
    <w:rsid w:val="52157355"/>
    <w:rsid w:val="522172A1"/>
    <w:rsid w:val="52306A4E"/>
    <w:rsid w:val="523A3AEB"/>
    <w:rsid w:val="524058FE"/>
    <w:rsid w:val="52494BF9"/>
    <w:rsid w:val="52524D6B"/>
    <w:rsid w:val="525C7684"/>
    <w:rsid w:val="52632ACD"/>
    <w:rsid w:val="52644E71"/>
    <w:rsid w:val="526606C2"/>
    <w:rsid w:val="52662336"/>
    <w:rsid w:val="52666F88"/>
    <w:rsid w:val="5268443A"/>
    <w:rsid w:val="5277010C"/>
    <w:rsid w:val="527D424E"/>
    <w:rsid w:val="52880638"/>
    <w:rsid w:val="52903990"/>
    <w:rsid w:val="5290425D"/>
    <w:rsid w:val="5290573F"/>
    <w:rsid w:val="52943481"/>
    <w:rsid w:val="529A65BD"/>
    <w:rsid w:val="52A07B61"/>
    <w:rsid w:val="52A1794C"/>
    <w:rsid w:val="52A35472"/>
    <w:rsid w:val="52A839AC"/>
    <w:rsid w:val="52AD5EA9"/>
    <w:rsid w:val="52C8312A"/>
    <w:rsid w:val="52CD0741"/>
    <w:rsid w:val="52D326B6"/>
    <w:rsid w:val="52D675F5"/>
    <w:rsid w:val="52D85640"/>
    <w:rsid w:val="52E41DDB"/>
    <w:rsid w:val="52EE21C9"/>
    <w:rsid w:val="52F21F55"/>
    <w:rsid w:val="52F301D9"/>
    <w:rsid w:val="52F734F0"/>
    <w:rsid w:val="52F76611"/>
    <w:rsid w:val="52FB3500"/>
    <w:rsid w:val="52FB705C"/>
    <w:rsid w:val="52FD1026"/>
    <w:rsid w:val="53036F6B"/>
    <w:rsid w:val="53043CC0"/>
    <w:rsid w:val="53051C89"/>
    <w:rsid w:val="53100D45"/>
    <w:rsid w:val="531358A6"/>
    <w:rsid w:val="533267F6"/>
    <w:rsid w:val="53496154"/>
    <w:rsid w:val="53510DEA"/>
    <w:rsid w:val="53511EEB"/>
    <w:rsid w:val="53513120"/>
    <w:rsid w:val="53654E1D"/>
    <w:rsid w:val="53672943"/>
    <w:rsid w:val="53682217"/>
    <w:rsid w:val="5370753C"/>
    <w:rsid w:val="53715570"/>
    <w:rsid w:val="537B019D"/>
    <w:rsid w:val="5385101B"/>
    <w:rsid w:val="53872AC4"/>
    <w:rsid w:val="538979F2"/>
    <w:rsid w:val="53A05E55"/>
    <w:rsid w:val="53A44BBD"/>
    <w:rsid w:val="53A94D0A"/>
    <w:rsid w:val="53C9715A"/>
    <w:rsid w:val="53CE651E"/>
    <w:rsid w:val="53D04468"/>
    <w:rsid w:val="53D11385"/>
    <w:rsid w:val="53D967E6"/>
    <w:rsid w:val="53DF5375"/>
    <w:rsid w:val="53E50FED"/>
    <w:rsid w:val="53E93ADE"/>
    <w:rsid w:val="53EA0E7E"/>
    <w:rsid w:val="53F5051D"/>
    <w:rsid w:val="53F87A3F"/>
    <w:rsid w:val="5401574F"/>
    <w:rsid w:val="54085B89"/>
    <w:rsid w:val="540B6955"/>
    <w:rsid w:val="541303D5"/>
    <w:rsid w:val="5428175B"/>
    <w:rsid w:val="542F148E"/>
    <w:rsid w:val="54322F51"/>
    <w:rsid w:val="54493DF7"/>
    <w:rsid w:val="544D4A93"/>
    <w:rsid w:val="544F3B03"/>
    <w:rsid w:val="54521934"/>
    <w:rsid w:val="54532EC8"/>
    <w:rsid w:val="545D331A"/>
    <w:rsid w:val="54613836"/>
    <w:rsid w:val="546155E5"/>
    <w:rsid w:val="54621085"/>
    <w:rsid w:val="54667995"/>
    <w:rsid w:val="546E1AAF"/>
    <w:rsid w:val="5472491D"/>
    <w:rsid w:val="547361C6"/>
    <w:rsid w:val="547370C6"/>
    <w:rsid w:val="54931516"/>
    <w:rsid w:val="549C486F"/>
    <w:rsid w:val="54A261DA"/>
    <w:rsid w:val="54A43723"/>
    <w:rsid w:val="54A43BD1"/>
    <w:rsid w:val="54A4596D"/>
    <w:rsid w:val="54A63942"/>
    <w:rsid w:val="54A6749B"/>
    <w:rsid w:val="54AA19D8"/>
    <w:rsid w:val="54AE00FE"/>
    <w:rsid w:val="54B81851"/>
    <w:rsid w:val="54B91CBE"/>
    <w:rsid w:val="54BE0576"/>
    <w:rsid w:val="54CA0898"/>
    <w:rsid w:val="54CC2116"/>
    <w:rsid w:val="54CF5376"/>
    <w:rsid w:val="54D23DEC"/>
    <w:rsid w:val="54DE4E87"/>
    <w:rsid w:val="54DF32EC"/>
    <w:rsid w:val="54E16EAD"/>
    <w:rsid w:val="54E73790"/>
    <w:rsid w:val="54EC75A4"/>
    <w:rsid w:val="54ED0C26"/>
    <w:rsid w:val="54FF095A"/>
    <w:rsid w:val="550348EE"/>
    <w:rsid w:val="550A17D8"/>
    <w:rsid w:val="550A7A2A"/>
    <w:rsid w:val="550F7B26"/>
    <w:rsid w:val="55102B67"/>
    <w:rsid w:val="551E34D6"/>
    <w:rsid w:val="55264138"/>
    <w:rsid w:val="552A0F8B"/>
    <w:rsid w:val="552F123F"/>
    <w:rsid w:val="55342CF9"/>
    <w:rsid w:val="55456CB4"/>
    <w:rsid w:val="554819E2"/>
    <w:rsid w:val="554A082F"/>
    <w:rsid w:val="555420CC"/>
    <w:rsid w:val="55564A1D"/>
    <w:rsid w:val="55646F77"/>
    <w:rsid w:val="557023E2"/>
    <w:rsid w:val="55753A7D"/>
    <w:rsid w:val="557559DE"/>
    <w:rsid w:val="557B4484"/>
    <w:rsid w:val="557C1FAA"/>
    <w:rsid w:val="55807CEC"/>
    <w:rsid w:val="55872E29"/>
    <w:rsid w:val="558A75A1"/>
    <w:rsid w:val="55935C72"/>
    <w:rsid w:val="559D089E"/>
    <w:rsid w:val="559E516E"/>
    <w:rsid w:val="55A75279"/>
    <w:rsid w:val="55AB1819"/>
    <w:rsid w:val="55AE2AAB"/>
    <w:rsid w:val="55C546DF"/>
    <w:rsid w:val="55C836C1"/>
    <w:rsid w:val="55C93441"/>
    <w:rsid w:val="55CC1183"/>
    <w:rsid w:val="55CC41EA"/>
    <w:rsid w:val="55D1679A"/>
    <w:rsid w:val="55DA73FC"/>
    <w:rsid w:val="55DF0EB7"/>
    <w:rsid w:val="55DF2C65"/>
    <w:rsid w:val="55E13199"/>
    <w:rsid w:val="55EC35D4"/>
    <w:rsid w:val="55EF6459"/>
    <w:rsid w:val="55F444CF"/>
    <w:rsid w:val="55F52488"/>
    <w:rsid w:val="55F81F79"/>
    <w:rsid w:val="55FB7373"/>
    <w:rsid w:val="55FD758F"/>
    <w:rsid w:val="56044479"/>
    <w:rsid w:val="560B72DC"/>
    <w:rsid w:val="560E52F8"/>
    <w:rsid w:val="56107B30"/>
    <w:rsid w:val="56150435"/>
    <w:rsid w:val="561C3B8D"/>
    <w:rsid w:val="561F5757"/>
    <w:rsid w:val="5621327D"/>
    <w:rsid w:val="56222B52"/>
    <w:rsid w:val="5622341A"/>
    <w:rsid w:val="562356B7"/>
    <w:rsid w:val="562E7748"/>
    <w:rsid w:val="563D18FA"/>
    <w:rsid w:val="564C5E20"/>
    <w:rsid w:val="564D5947"/>
    <w:rsid w:val="565F7902"/>
    <w:rsid w:val="56615DA3"/>
    <w:rsid w:val="566547F9"/>
    <w:rsid w:val="56660C90"/>
    <w:rsid w:val="566B274A"/>
    <w:rsid w:val="56723AD9"/>
    <w:rsid w:val="56764A47"/>
    <w:rsid w:val="567F1287"/>
    <w:rsid w:val="568A2F88"/>
    <w:rsid w:val="568F468B"/>
    <w:rsid w:val="569951D6"/>
    <w:rsid w:val="56AA6E60"/>
    <w:rsid w:val="56B4101A"/>
    <w:rsid w:val="56C27C54"/>
    <w:rsid w:val="56D4209E"/>
    <w:rsid w:val="56D73355"/>
    <w:rsid w:val="56DC53F6"/>
    <w:rsid w:val="56E10C5F"/>
    <w:rsid w:val="56E55F8D"/>
    <w:rsid w:val="56EE27E4"/>
    <w:rsid w:val="56EF6346"/>
    <w:rsid w:val="56F24C1A"/>
    <w:rsid w:val="56F3629C"/>
    <w:rsid w:val="56F52014"/>
    <w:rsid w:val="56F54E20"/>
    <w:rsid w:val="56FA587C"/>
    <w:rsid w:val="57062473"/>
    <w:rsid w:val="57093C5B"/>
    <w:rsid w:val="570A3D11"/>
    <w:rsid w:val="5711703F"/>
    <w:rsid w:val="57155951"/>
    <w:rsid w:val="571C0BE9"/>
    <w:rsid w:val="57203535"/>
    <w:rsid w:val="57210F11"/>
    <w:rsid w:val="57250B4B"/>
    <w:rsid w:val="572C1045"/>
    <w:rsid w:val="57396137"/>
    <w:rsid w:val="574D00A2"/>
    <w:rsid w:val="57511940"/>
    <w:rsid w:val="575136EE"/>
    <w:rsid w:val="57541431"/>
    <w:rsid w:val="5757384C"/>
    <w:rsid w:val="576176AA"/>
    <w:rsid w:val="576C677A"/>
    <w:rsid w:val="57784841"/>
    <w:rsid w:val="57790E97"/>
    <w:rsid w:val="5783121E"/>
    <w:rsid w:val="578A4E52"/>
    <w:rsid w:val="57917F8F"/>
    <w:rsid w:val="57944465"/>
    <w:rsid w:val="57A50BD5"/>
    <w:rsid w:val="57A56E72"/>
    <w:rsid w:val="57A9177C"/>
    <w:rsid w:val="57B27F05"/>
    <w:rsid w:val="57B343A9"/>
    <w:rsid w:val="57B44CCE"/>
    <w:rsid w:val="57BB325E"/>
    <w:rsid w:val="57BC2B32"/>
    <w:rsid w:val="57BE601C"/>
    <w:rsid w:val="57BF2D4E"/>
    <w:rsid w:val="57C739B1"/>
    <w:rsid w:val="57CB544E"/>
    <w:rsid w:val="57D165DD"/>
    <w:rsid w:val="57D81AF0"/>
    <w:rsid w:val="57E207EA"/>
    <w:rsid w:val="57E24C8E"/>
    <w:rsid w:val="57E427B4"/>
    <w:rsid w:val="57EF66FB"/>
    <w:rsid w:val="57F14ED1"/>
    <w:rsid w:val="57F62B63"/>
    <w:rsid w:val="57F66044"/>
    <w:rsid w:val="57FA0AD9"/>
    <w:rsid w:val="580746F5"/>
    <w:rsid w:val="5809221B"/>
    <w:rsid w:val="58124A60"/>
    <w:rsid w:val="58164938"/>
    <w:rsid w:val="581A4428"/>
    <w:rsid w:val="58241620"/>
    <w:rsid w:val="582C7CB7"/>
    <w:rsid w:val="582D2AE1"/>
    <w:rsid w:val="582F759C"/>
    <w:rsid w:val="5838665C"/>
    <w:rsid w:val="583A0626"/>
    <w:rsid w:val="583A5E5A"/>
    <w:rsid w:val="583D1EC5"/>
    <w:rsid w:val="5842572D"/>
    <w:rsid w:val="5854203E"/>
    <w:rsid w:val="5856304B"/>
    <w:rsid w:val="58564D34"/>
    <w:rsid w:val="58580AAD"/>
    <w:rsid w:val="58692CBA"/>
    <w:rsid w:val="586C27AA"/>
    <w:rsid w:val="587219C5"/>
    <w:rsid w:val="58733B38"/>
    <w:rsid w:val="58737694"/>
    <w:rsid w:val="587873A1"/>
    <w:rsid w:val="58801DB1"/>
    <w:rsid w:val="58863DB9"/>
    <w:rsid w:val="588B70D4"/>
    <w:rsid w:val="589D2963"/>
    <w:rsid w:val="589F492D"/>
    <w:rsid w:val="58A43CF2"/>
    <w:rsid w:val="58B67924"/>
    <w:rsid w:val="58B8779D"/>
    <w:rsid w:val="58BC6DC1"/>
    <w:rsid w:val="58C12311"/>
    <w:rsid w:val="58C83E84"/>
    <w:rsid w:val="58D520FD"/>
    <w:rsid w:val="58D97E3F"/>
    <w:rsid w:val="58DD523A"/>
    <w:rsid w:val="58F72073"/>
    <w:rsid w:val="58FF717A"/>
    <w:rsid w:val="59034EBC"/>
    <w:rsid w:val="590649AC"/>
    <w:rsid w:val="59086014"/>
    <w:rsid w:val="590A624B"/>
    <w:rsid w:val="590B057A"/>
    <w:rsid w:val="59213EE7"/>
    <w:rsid w:val="59275C0B"/>
    <w:rsid w:val="59346C47"/>
    <w:rsid w:val="593A0862"/>
    <w:rsid w:val="5947124D"/>
    <w:rsid w:val="594E1C84"/>
    <w:rsid w:val="59505C28"/>
    <w:rsid w:val="59561490"/>
    <w:rsid w:val="59561DAB"/>
    <w:rsid w:val="59590F80"/>
    <w:rsid w:val="595C637A"/>
    <w:rsid w:val="596B6FBD"/>
    <w:rsid w:val="596C49B1"/>
    <w:rsid w:val="596D2336"/>
    <w:rsid w:val="596F4300"/>
    <w:rsid w:val="5975119D"/>
    <w:rsid w:val="59771C60"/>
    <w:rsid w:val="597A3BB3"/>
    <w:rsid w:val="597F3D8D"/>
    <w:rsid w:val="598A2DDA"/>
    <w:rsid w:val="598F04FE"/>
    <w:rsid w:val="598F49A2"/>
    <w:rsid w:val="599124C8"/>
    <w:rsid w:val="599C6D84"/>
    <w:rsid w:val="599D630C"/>
    <w:rsid w:val="599D70BF"/>
    <w:rsid w:val="599E4DB3"/>
    <w:rsid w:val="59AA3003"/>
    <w:rsid w:val="59AC729F"/>
    <w:rsid w:val="59AD4E28"/>
    <w:rsid w:val="59B34B37"/>
    <w:rsid w:val="59BD4931"/>
    <w:rsid w:val="59C503FE"/>
    <w:rsid w:val="59C7413C"/>
    <w:rsid w:val="59C86CF0"/>
    <w:rsid w:val="59D93E6F"/>
    <w:rsid w:val="59E940B2"/>
    <w:rsid w:val="59F14D15"/>
    <w:rsid w:val="59FF5F31"/>
    <w:rsid w:val="5A09562C"/>
    <w:rsid w:val="5A145ABF"/>
    <w:rsid w:val="5A167979"/>
    <w:rsid w:val="5A2F1CE1"/>
    <w:rsid w:val="5A3D0D14"/>
    <w:rsid w:val="5A4237C2"/>
    <w:rsid w:val="5A4532B2"/>
    <w:rsid w:val="5A4626DC"/>
    <w:rsid w:val="5A4E03B9"/>
    <w:rsid w:val="5A657737"/>
    <w:rsid w:val="5A700A44"/>
    <w:rsid w:val="5A7056A7"/>
    <w:rsid w:val="5A736072"/>
    <w:rsid w:val="5A7D47FA"/>
    <w:rsid w:val="5AB53F94"/>
    <w:rsid w:val="5ABA37EA"/>
    <w:rsid w:val="5ABA3CA0"/>
    <w:rsid w:val="5ABA5A4E"/>
    <w:rsid w:val="5ABD033C"/>
    <w:rsid w:val="5AC32B55"/>
    <w:rsid w:val="5AC97A40"/>
    <w:rsid w:val="5AE24524"/>
    <w:rsid w:val="5AED1980"/>
    <w:rsid w:val="5AF251E8"/>
    <w:rsid w:val="5AFA711E"/>
    <w:rsid w:val="5AFB6763"/>
    <w:rsid w:val="5AFD5152"/>
    <w:rsid w:val="5B0647F0"/>
    <w:rsid w:val="5B092532"/>
    <w:rsid w:val="5B0E18F6"/>
    <w:rsid w:val="5B0F5D9A"/>
    <w:rsid w:val="5B1038C0"/>
    <w:rsid w:val="5B10566E"/>
    <w:rsid w:val="5B172EA1"/>
    <w:rsid w:val="5B184523"/>
    <w:rsid w:val="5B1918B6"/>
    <w:rsid w:val="5B2116D9"/>
    <w:rsid w:val="5B251610"/>
    <w:rsid w:val="5B302E47"/>
    <w:rsid w:val="5B33135D"/>
    <w:rsid w:val="5B345801"/>
    <w:rsid w:val="5B353327"/>
    <w:rsid w:val="5B3C2907"/>
    <w:rsid w:val="5B6634E0"/>
    <w:rsid w:val="5B672C81"/>
    <w:rsid w:val="5B6B6D49"/>
    <w:rsid w:val="5B6D3527"/>
    <w:rsid w:val="5B7025B1"/>
    <w:rsid w:val="5B765E19"/>
    <w:rsid w:val="5B7C3A17"/>
    <w:rsid w:val="5B7C6694"/>
    <w:rsid w:val="5B807B3A"/>
    <w:rsid w:val="5B81656C"/>
    <w:rsid w:val="5B8424E6"/>
    <w:rsid w:val="5BA64288"/>
    <w:rsid w:val="5BA65FD3"/>
    <w:rsid w:val="5BA67D81"/>
    <w:rsid w:val="5BBA55DA"/>
    <w:rsid w:val="5BCD6890"/>
    <w:rsid w:val="5BCE7A03"/>
    <w:rsid w:val="5BD91F04"/>
    <w:rsid w:val="5BD94488"/>
    <w:rsid w:val="5BE2700B"/>
    <w:rsid w:val="5BE30FD5"/>
    <w:rsid w:val="5BE663CF"/>
    <w:rsid w:val="5BF5655C"/>
    <w:rsid w:val="5BF603EF"/>
    <w:rsid w:val="5BFC633D"/>
    <w:rsid w:val="5C08390C"/>
    <w:rsid w:val="5C09063A"/>
    <w:rsid w:val="5C1004D6"/>
    <w:rsid w:val="5C14118E"/>
    <w:rsid w:val="5C180C7F"/>
    <w:rsid w:val="5C1B7B96"/>
    <w:rsid w:val="5C1E200D"/>
    <w:rsid w:val="5C2C17BC"/>
    <w:rsid w:val="5C2E2250"/>
    <w:rsid w:val="5C3936CD"/>
    <w:rsid w:val="5C472EE1"/>
    <w:rsid w:val="5C49708A"/>
    <w:rsid w:val="5C643EC4"/>
    <w:rsid w:val="5C7165E1"/>
    <w:rsid w:val="5C7D4F86"/>
    <w:rsid w:val="5C81719B"/>
    <w:rsid w:val="5C910A31"/>
    <w:rsid w:val="5C9A4DFD"/>
    <w:rsid w:val="5C9E6468"/>
    <w:rsid w:val="5CA50038"/>
    <w:rsid w:val="5CA70254"/>
    <w:rsid w:val="5CB5471F"/>
    <w:rsid w:val="5CBA1D36"/>
    <w:rsid w:val="5CC46C85"/>
    <w:rsid w:val="5CC76AE3"/>
    <w:rsid w:val="5CC95CE6"/>
    <w:rsid w:val="5CD10E2D"/>
    <w:rsid w:val="5CD31049"/>
    <w:rsid w:val="5CD94447"/>
    <w:rsid w:val="5CD94E88"/>
    <w:rsid w:val="5CDF354A"/>
    <w:rsid w:val="5CE2128D"/>
    <w:rsid w:val="5CE24DE9"/>
    <w:rsid w:val="5CE40B61"/>
    <w:rsid w:val="5CE84AF5"/>
    <w:rsid w:val="5CED210B"/>
    <w:rsid w:val="5CED6D42"/>
    <w:rsid w:val="5CEE19DF"/>
    <w:rsid w:val="5CF30D95"/>
    <w:rsid w:val="5CF50FC0"/>
    <w:rsid w:val="5CF75F8E"/>
    <w:rsid w:val="5D101956"/>
    <w:rsid w:val="5D302C9F"/>
    <w:rsid w:val="5D324D98"/>
    <w:rsid w:val="5D333A77"/>
    <w:rsid w:val="5D375134"/>
    <w:rsid w:val="5D3C6BEF"/>
    <w:rsid w:val="5D3F66DF"/>
    <w:rsid w:val="5D414205"/>
    <w:rsid w:val="5D4E06D0"/>
    <w:rsid w:val="5D5061F6"/>
    <w:rsid w:val="5D517622"/>
    <w:rsid w:val="5D521F6E"/>
    <w:rsid w:val="5D5A7B88"/>
    <w:rsid w:val="5D5B2BF9"/>
    <w:rsid w:val="5D5C7A80"/>
    <w:rsid w:val="5D5E6B65"/>
    <w:rsid w:val="5D746389"/>
    <w:rsid w:val="5D786B64"/>
    <w:rsid w:val="5D8A5BAC"/>
    <w:rsid w:val="5D9562FF"/>
    <w:rsid w:val="5D972DE5"/>
    <w:rsid w:val="5DB22A0D"/>
    <w:rsid w:val="5DB669A1"/>
    <w:rsid w:val="5DBB3FB7"/>
    <w:rsid w:val="5DBE13B2"/>
    <w:rsid w:val="5DC866D4"/>
    <w:rsid w:val="5DD112F2"/>
    <w:rsid w:val="5DDC1C00"/>
    <w:rsid w:val="5DEA21A7"/>
    <w:rsid w:val="5DEC23C3"/>
    <w:rsid w:val="5DEF4700"/>
    <w:rsid w:val="5DF179D9"/>
    <w:rsid w:val="5DFD7F1A"/>
    <w:rsid w:val="5E0019CA"/>
    <w:rsid w:val="5E162F9C"/>
    <w:rsid w:val="5E1D0E51"/>
    <w:rsid w:val="5E1D1096"/>
    <w:rsid w:val="5E24290B"/>
    <w:rsid w:val="5E2573FF"/>
    <w:rsid w:val="5E26485E"/>
    <w:rsid w:val="5E391380"/>
    <w:rsid w:val="5E3C677A"/>
    <w:rsid w:val="5E4A0E97"/>
    <w:rsid w:val="5E4C4C6A"/>
    <w:rsid w:val="5E587A58"/>
    <w:rsid w:val="5E5A1314"/>
    <w:rsid w:val="5E5D4249"/>
    <w:rsid w:val="5E6872EA"/>
    <w:rsid w:val="5E68756F"/>
    <w:rsid w:val="5E693A13"/>
    <w:rsid w:val="5E6A6862"/>
    <w:rsid w:val="5E6E102A"/>
    <w:rsid w:val="5E7058AA"/>
    <w:rsid w:val="5E7471C5"/>
    <w:rsid w:val="5E7561A4"/>
    <w:rsid w:val="5E794A8A"/>
    <w:rsid w:val="5E7F77FB"/>
    <w:rsid w:val="5E8720EC"/>
    <w:rsid w:val="5E873E9A"/>
    <w:rsid w:val="5E912514"/>
    <w:rsid w:val="5E940365"/>
    <w:rsid w:val="5E9640DD"/>
    <w:rsid w:val="5E9F03F3"/>
    <w:rsid w:val="5EA031AD"/>
    <w:rsid w:val="5EA04F5B"/>
    <w:rsid w:val="5EA05BE0"/>
    <w:rsid w:val="5EA336D3"/>
    <w:rsid w:val="5EAB038E"/>
    <w:rsid w:val="5EB50A07"/>
    <w:rsid w:val="5EB56C59"/>
    <w:rsid w:val="5EB64450"/>
    <w:rsid w:val="5EBF69FB"/>
    <w:rsid w:val="5EC92704"/>
    <w:rsid w:val="5ECA7593"/>
    <w:rsid w:val="5ECC3FA2"/>
    <w:rsid w:val="5ECE3876"/>
    <w:rsid w:val="5EDA66BF"/>
    <w:rsid w:val="5EDF3CD6"/>
    <w:rsid w:val="5EE31265"/>
    <w:rsid w:val="5EEE2063"/>
    <w:rsid w:val="5EF808F3"/>
    <w:rsid w:val="5EF86DE5"/>
    <w:rsid w:val="5EFC4D2E"/>
    <w:rsid w:val="5EFD24B6"/>
    <w:rsid w:val="5F005124"/>
    <w:rsid w:val="5F010698"/>
    <w:rsid w:val="5F0674B4"/>
    <w:rsid w:val="5F074FDA"/>
    <w:rsid w:val="5F0D0843"/>
    <w:rsid w:val="5F117C07"/>
    <w:rsid w:val="5F141BBB"/>
    <w:rsid w:val="5F221EC4"/>
    <w:rsid w:val="5F2E6A0B"/>
    <w:rsid w:val="5F3758C0"/>
    <w:rsid w:val="5F3C1030"/>
    <w:rsid w:val="5F3F29C6"/>
    <w:rsid w:val="5F3F4774"/>
    <w:rsid w:val="5F4104EC"/>
    <w:rsid w:val="5F422303"/>
    <w:rsid w:val="5F531FCE"/>
    <w:rsid w:val="5F555D46"/>
    <w:rsid w:val="5F645F89"/>
    <w:rsid w:val="5F7239A5"/>
    <w:rsid w:val="5F797D0F"/>
    <w:rsid w:val="5F7A755A"/>
    <w:rsid w:val="5F812FDF"/>
    <w:rsid w:val="5F814D8D"/>
    <w:rsid w:val="5F870054"/>
    <w:rsid w:val="5F8E5468"/>
    <w:rsid w:val="5F955B47"/>
    <w:rsid w:val="5F993E84"/>
    <w:rsid w:val="5F99786C"/>
    <w:rsid w:val="5F9F5213"/>
    <w:rsid w:val="5FA04B06"/>
    <w:rsid w:val="5FA34C1A"/>
    <w:rsid w:val="5FAD5B82"/>
    <w:rsid w:val="5FB32A6C"/>
    <w:rsid w:val="5FB52C88"/>
    <w:rsid w:val="5FBB2E4B"/>
    <w:rsid w:val="5FBC1996"/>
    <w:rsid w:val="5FBF1411"/>
    <w:rsid w:val="5FC03FFD"/>
    <w:rsid w:val="5FD4310E"/>
    <w:rsid w:val="5FD650D9"/>
    <w:rsid w:val="5FDA624B"/>
    <w:rsid w:val="5FE5531C"/>
    <w:rsid w:val="5FE570CA"/>
    <w:rsid w:val="5FE62E42"/>
    <w:rsid w:val="5FF76DFD"/>
    <w:rsid w:val="6005151A"/>
    <w:rsid w:val="60065C4A"/>
    <w:rsid w:val="6008235B"/>
    <w:rsid w:val="600D4872"/>
    <w:rsid w:val="6014175D"/>
    <w:rsid w:val="60161979"/>
    <w:rsid w:val="601654D5"/>
    <w:rsid w:val="60213EDB"/>
    <w:rsid w:val="6028345A"/>
    <w:rsid w:val="603358AD"/>
    <w:rsid w:val="603A3F6B"/>
    <w:rsid w:val="603B318E"/>
    <w:rsid w:val="603D5158"/>
    <w:rsid w:val="60402552"/>
    <w:rsid w:val="604A1623"/>
    <w:rsid w:val="604F0FB5"/>
    <w:rsid w:val="60597AB8"/>
    <w:rsid w:val="60642AE1"/>
    <w:rsid w:val="606D5311"/>
    <w:rsid w:val="60702996"/>
    <w:rsid w:val="607B5C80"/>
    <w:rsid w:val="608A7C71"/>
    <w:rsid w:val="60911000"/>
    <w:rsid w:val="60917251"/>
    <w:rsid w:val="609603C4"/>
    <w:rsid w:val="609B00D0"/>
    <w:rsid w:val="609B5E15"/>
    <w:rsid w:val="60A74B9C"/>
    <w:rsid w:val="60AD1391"/>
    <w:rsid w:val="60AD570E"/>
    <w:rsid w:val="60C16F3B"/>
    <w:rsid w:val="60CA4511"/>
    <w:rsid w:val="60D62EB6"/>
    <w:rsid w:val="60EF46F9"/>
    <w:rsid w:val="60F577E0"/>
    <w:rsid w:val="60F63558"/>
    <w:rsid w:val="6102706E"/>
    <w:rsid w:val="61045C75"/>
    <w:rsid w:val="610F0176"/>
    <w:rsid w:val="61156DDE"/>
    <w:rsid w:val="6118702B"/>
    <w:rsid w:val="611B354A"/>
    <w:rsid w:val="611D0AE5"/>
    <w:rsid w:val="612956DC"/>
    <w:rsid w:val="61353AE8"/>
    <w:rsid w:val="61377DF9"/>
    <w:rsid w:val="6138591F"/>
    <w:rsid w:val="614147D4"/>
    <w:rsid w:val="6146003C"/>
    <w:rsid w:val="61483864"/>
    <w:rsid w:val="614A7D00"/>
    <w:rsid w:val="614B7827"/>
    <w:rsid w:val="614C62F6"/>
    <w:rsid w:val="6151253D"/>
    <w:rsid w:val="61532ACB"/>
    <w:rsid w:val="61547150"/>
    <w:rsid w:val="615701AA"/>
    <w:rsid w:val="615F3AC8"/>
    <w:rsid w:val="616B7AA3"/>
    <w:rsid w:val="61785D1C"/>
    <w:rsid w:val="617E77D6"/>
    <w:rsid w:val="6186668A"/>
    <w:rsid w:val="618C17C7"/>
    <w:rsid w:val="619F14FA"/>
    <w:rsid w:val="61A13A37"/>
    <w:rsid w:val="61A62889"/>
    <w:rsid w:val="61AB4343"/>
    <w:rsid w:val="61B44942"/>
    <w:rsid w:val="61B50D1E"/>
    <w:rsid w:val="61C420EE"/>
    <w:rsid w:val="61C75E9E"/>
    <w:rsid w:val="61D2000C"/>
    <w:rsid w:val="61D27B22"/>
    <w:rsid w:val="61D75138"/>
    <w:rsid w:val="61DC06BF"/>
    <w:rsid w:val="61E17D65"/>
    <w:rsid w:val="61EC33A0"/>
    <w:rsid w:val="61EC662C"/>
    <w:rsid w:val="61F950AE"/>
    <w:rsid w:val="61F96E5C"/>
    <w:rsid w:val="61FB44C5"/>
    <w:rsid w:val="61FB61B5"/>
    <w:rsid w:val="62025CAE"/>
    <w:rsid w:val="62061571"/>
    <w:rsid w:val="62061A73"/>
    <w:rsid w:val="62092E18"/>
    <w:rsid w:val="620B4DE2"/>
    <w:rsid w:val="620C7101"/>
    <w:rsid w:val="62195750"/>
    <w:rsid w:val="62262418"/>
    <w:rsid w:val="6236151B"/>
    <w:rsid w:val="6242383F"/>
    <w:rsid w:val="624452BB"/>
    <w:rsid w:val="62465E1A"/>
    <w:rsid w:val="62481B92"/>
    <w:rsid w:val="624D3A32"/>
    <w:rsid w:val="62514EEA"/>
    <w:rsid w:val="62516C98"/>
    <w:rsid w:val="625978FB"/>
    <w:rsid w:val="625B48DB"/>
    <w:rsid w:val="62620EA5"/>
    <w:rsid w:val="6268653A"/>
    <w:rsid w:val="626A5FAC"/>
    <w:rsid w:val="626E1ED0"/>
    <w:rsid w:val="62783535"/>
    <w:rsid w:val="627B1F67"/>
    <w:rsid w:val="629D604F"/>
    <w:rsid w:val="62A50D92"/>
    <w:rsid w:val="62A72C9B"/>
    <w:rsid w:val="62B24883"/>
    <w:rsid w:val="62B45479"/>
    <w:rsid w:val="62B72874"/>
    <w:rsid w:val="62BB2364"/>
    <w:rsid w:val="62BE1E54"/>
    <w:rsid w:val="62C27B96"/>
    <w:rsid w:val="62CA6A4B"/>
    <w:rsid w:val="62CF134B"/>
    <w:rsid w:val="62D015FB"/>
    <w:rsid w:val="62D24644"/>
    <w:rsid w:val="62E460E0"/>
    <w:rsid w:val="62EA49F7"/>
    <w:rsid w:val="62F13FD7"/>
    <w:rsid w:val="62F37D50"/>
    <w:rsid w:val="62FB7EEB"/>
    <w:rsid w:val="63035AB9"/>
    <w:rsid w:val="630B23E8"/>
    <w:rsid w:val="631101D6"/>
    <w:rsid w:val="631B72A6"/>
    <w:rsid w:val="631C0382"/>
    <w:rsid w:val="632B0EA7"/>
    <w:rsid w:val="632E481A"/>
    <w:rsid w:val="632F3097"/>
    <w:rsid w:val="632F662F"/>
    <w:rsid w:val="632F68AE"/>
    <w:rsid w:val="63332842"/>
    <w:rsid w:val="634560D1"/>
    <w:rsid w:val="63493E13"/>
    <w:rsid w:val="6353259C"/>
    <w:rsid w:val="635A392B"/>
    <w:rsid w:val="636010D6"/>
    <w:rsid w:val="63604026"/>
    <w:rsid w:val="63696D46"/>
    <w:rsid w:val="636C18B0"/>
    <w:rsid w:val="636F3027"/>
    <w:rsid w:val="637110A4"/>
    <w:rsid w:val="63730E90"/>
    <w:rsid w:val="63735DDF"/>
    <w:rsid w:val="63740850"/>
    <w:rsid w:val="639332E1"/>
    <w:rsid w:val="63964127"/>
    <w:rsid w:val="63977EC7"/>
    <w:rsid w:val="639B133B"/>
    <w:rsid w:val="639C2195"/>
    <w:rsid w:val="639D5F0D"/>
    <w:rsid w:val="63A517B7"/>
    <w:rsid w:val="63A92582"/>
    <w:rsid w:val="63AD43A2"/>
    <w:rsid w:val="63B05C41"/>
    <w:rsid w:val="63BA261B"/>
    <w:rsid w:val="63C2603B"/>
    <w:rsid w:val="63C804BF"/>
    <w:rsid w:val="63DD630A"/>
    <w:rsid w:val="63DF02D4"/>
    <w:rsid w:val="63E37DC4"/>
    <w:rsid w:val="63E43B3C"/>
    <w:rsid w:val="63E64ADD"/>
    <w:rsid w:val="63EB3254"/>
    <w:rsid w:val="63F172BF"/>
    <w:rsid w:val="63F773CC"/>
    <w:rsid w:val="63F91937"/>
    <w:rsid w:val="63FE4BFE"/>
    <w:rsid w:val="64016C68"/>
    <w:rsid w:val="64066828"/>
    <w:rsid w:val="64076CA8"/>
    <w:rsid w:val="6408782B"/>
    <w:rsid w:val="640E2791"/>
    <w:rsid w:val="640F4A11"/>
    <w:rsid w:val="64134E81"/>
    <w:rsid w:val="64182246"/>
    <w:rsid w:val="642363FE"/>
    <w:rsid w:val="643171E6"/>
    <w:rsid w:val="643712E7"/>
    <w:rsid w:val="643C5726"/>
    <w:rsid w:val="64485E79"/>
    <w:rsid w:val="644F0FB6"/>
    <w:rsid w:val="64625F79"/>
    <w:rsid w:val="64634A61"/>
    <w:rsid w:val="64636AF7"/>
    <w:rsid w:val="6467228E"/>
    <w:rsid w:val="646802C9"/>
    <w:rsid w:val="64713CA6"/>
    <w:rsid w:val="64754794"/>
    <w:rsid w:val="647924D6"/>
    <w:rsid w:val="647D4F34"/>
    <w:rsid w:val="648275DD"/>
    <w:rsid w:val="6488096B"/>
    <w:rsid w:val="64923598"/>
    <w:rsid w:val="64B41760"/>
    <w:rsid w:val="64B61035"/>
    <w:rsid w:val="64C32903"/>
    <w:rsid w:val="64C64FF0"/>
    <w:rsid w:val="64CA4AE0"/>
    <w:rsid w:val="64CC2606"/>
    <w:rsid w:val="64DB76E4"/>
    <w:rsid w:val="64E311F5"/>
    <w:rsid w:val="64E974D0"/>
    <w:rsid w:val="64EA21FA"/>
    <w:rsid w:val="64EA6F30"/>
    <w:rsid w:val="64F11259"/>
    <w:rsid w:val="64F34037"/>
    <w:rsid w:val="64F373A8"/>
    <w:rsid w:val="64F72019"/>
    <w:rsid w:val="64FF7D8F"/>
    <w:rsid w:val="65035273"/>
    <w:rsid w:val="650D7770"/>
    <w:rsid w:val="651B533C"/>
    <w:rsid w:val="65273F73"/>
    <w:rsid w:val="65286D31"/>
    <w:rsid w:val="652C5771"/>
    <w:rsid w:val="653B0591"/>
    <w:rsid w:val="653B778C"/>
    <w:rsid w:val="65423E64"/>
    <w:rsid w:val="65476131"/>
    <w:rsid w:val="654E5BAE"/>
    <w:rsid w:val="65525365"/>
    <w:rsid w:val="65566374"/>
    <w:rsid w:val="65586D77"/>
    <w:rsid w:val="655C6080"/>
    <w:rsid w:val="6566711C"/>
    <w:rsid w:val="657038D9"/>
    <w:rsid w:val="65791901"/>
    <w:rsid w:val="657A70A6"/>
    <w:rsid w:val="658A7B74"/>
    <w:rsid w:val="659E16D7"/>
    <w:rsid w:val="65A21AAF"/>
    <w:rsid w:val="65A96DEB"/>
    <w:rsid w:val="65AB66C0"/>
    <w:rsid w:val="65B73BD0"/>
    <w:rsid w:val="65B85280"/>
    <w:rsid w:val="65BC778B"/>
    <w:rsid w:val="65BF660F"/>
    <w:rsid w:val="65C15EE3"/>
    <w:rsid w:val="65C94D98"/>
    <w:rsid w:val="65CB4FB4"/>
    <w:rsid w:val="65D06126"/>
    <w:rsid w:val="65D379C4"/>
    <w:rsid w:val="65D72505"/>
    <w:rsid w:val="65DC04C1"/>
    <w:rsid w:val="65DD5530"/>
    <w:rsid w:val="65E47E23"/>
    <w:rsid w:val="65E63B9C"/>
    <w:rsid w:val="660121C9"/>
    <w:rsid w:val="66044022"/>
    <w:rsid w:val="66045B9D"/>
    <w:rsid w:val="660476D0"/>
    <w:rsid w:val="66090355"/>
    <w:rsid w:val="6609788A"/>
    <w:rsid w:val="660D2ED6"/>
    <w:rsid w:val="660F6AEA"/>
    <w:rsid w:val="661A3845"/>
    <w:rsid w:val="661E1587"/>
    <w:rsid w:val="6626043C"/>
    <w:rsid w:val="662B18B7"/>
    <w:rsid w:val="662E109F"/>
    <w:rsid w:val="66304E17"/>
    <w:rsid w:val="66324286"/>
    <w:rsid w:val="66325F49"/>
    <w:rsid w:val="663F14FE"/>
    <w:rsid w:val="66417024"/>
    <w:rsid w:val="664F7993"/>
    <w:rsid w:val="66541127"/>
    <w:rsid w:val="66560D21"/>
    <w:rsid w:val="665925BF"/>
    <w:rsid w:val="66707909"/>
    <w:rsid w:val="667264C2"/>
    <w:rsid w:val="66730E34"/>
    <w:rsid w:val="667473F9"/>
    <w:rsid w:val="667E2026"/>
    <w:rsid w:val="66835B5C"/>
    <w:rsid w:val="6686576C"/>
    <w:rsid w:val="66884952"/>
    <w:rsid w:val="66925AD1"/>
    <w:rsid w:val="669A1776"/>
    <w:rsid w:val="66A3383B"/>
    <w:rsid w:val="66AA6825"/>
    <w:rsid w:val="66BB5028"/>
    <w:rsid w:val="66CA63D4"/>
    <w:rsid w:val="66D165FA"/>
    <w:rsid w:val="66D95632"/>
    <w:rsid w:val="66DB1226"/>
    <w:rsid w:val="66E16111"/>
    <w:rsid w:val="66E75E1D"/>
    <w:rsid w:val="66EB6142"/>
    <w:rsid w:val="66ED4AB6"/>
    <w:rsid w:val="66FB27EC"/>
    <w:rsid w:val="67094BF8"/>
    <w:rsid w:val="670D36B6"/>
    <w:rsid w:val="67136123"/>
    <w:rsid w:val="67182C8E"/>
    <w:rsid w:val="6723497B"/>
    <w:rsid w:val="67303B1F"/>
    <w:rsid w:val="673730BD"/>
    <w:rsid w:val="67515045"/>
    <w:rsid w:val="675F16E0"/>
    <w:rsid w:val="6760797E"/>
    <w:rsid w:val="676514A7"/>
    <w:rsid w:val="67735BB2"/>
    <w:rsid w:val="677F15BD"/>
    <w:rsid w:val="67802F82"/>
    <w:rsid w:val="67902011"/>
    <w:rsid w:val="67A27F96"/>
    <w:rsid w:val="67A96C2F"/>
    <w:rsid w:val="67B0620F"/>
    <w:rsid w:val="67C13389"/>
    <w:rsid w:val="67CA42A6"/>
    <w:rsid w:val="67CD5013"/>
    <w:rsid w:val="67F55E5A"/>
    <w:rsid w:val="67FF2CF3"/>
    <w:rsid w:val="68051129"/>
    <w:rsid w:val="68096BFE"/>
    <w:rsid w:val="680E632C"/>
    <w:rsid w:val="681A5D7E"/>
    <w:rsid w:val="681C1AF7"/>
    <w:rsid w:val="68244BA4"/>
    <w:rsid w:val="68264053"/>
    <w:rsid w:val="682C6DD7"/>
    <w:rsid w:val="68343C8D"/>
    <w:rsid w:val="68440417"/>
    <w:rsid w:val="68456A72"/>
    <w:rsid w:val="686252AC"/>
    <w:rsid w:val="68625A96"/>
    <w:rsid w:val="68637725"/>
    <w:rsid w:val="6864315F"/>
    <w:rsid w:val="68674192"/>
    <w:rsid w:val="686D4100"/>
    <w:rsid w:val="6881195A"/>
    <w:rsid w:val="68866B0F"/>
    <w:rsid w:val="688F22C8"/>
    <w:rsid w:val="689063CF"/>
    <w:rsid w:val="68955405"/>
    <w:rsid w:val="68970BB0"/>
    <w:rsid w:val="68987509"/>
    <w:rsid w:val="68AD6BB7"/>
    <w:rsid w:val="68B7181F"/>
    <w:rsid w:val="68C06926"/>
    <w:rsid w:val="68C26AD0"/>
    <w:rsid w:val="68C61FCD"/>
    <w:rsid w:val="68D128E1"/>
    <w:rsid w:val="68D57EE2"/>
    <w:rsid w:val="68DD74D8"/>
    <w:rsid w:val="68DE74FF"/>
    <w:rsid w:val="68E65C61"/>
    <w:rsid w:val="68EC14C9"/>
    <w:rsid w:val="68EF2D67"/>
    <w:rsid w:val="68EF42C4"/>
    <w:rsid w:val="68F14D31"/>
    <w:rsid w:val="68F4269F"/>
    <w:rsid w:val="68FC5484"/>
    <w:rsid w:val="6905258B"/>
    <w:rsid w:val="69074555"/>
    <w:rsid w:val="690911E8"/>
    <w:rsid w:val="6911150F"/>
    <w:rsid w:val="69117181"/>
    <w:rsid w:val="691C6B7F"/>
    <w:rsid w:val="6922138F"/>
    <w:rsid w:val="692549DB"/>
    <w:rsid w:val="69265383"/>
    <w:rsid w:val="694C45C6"/>
    <w:rsid w:val="694D0401"/>
    <w:rsid w:val="694E2184"/>
    <w:rsid w:val="695A0B28"/>
    <w:rsid w:val="6967101A"/>
    <w:rsid w:val="696E0130"/>
    <w:rsid w:val="697414BE"/>
    <w:rsid w:val="697A084E"/>
    <w:rsid w:val="697B45FB"/>
    <w:rsid w:val="6985167E"/>
    <w:rsid w:val="698B03ED"/>
    <w:rsid w:val="69937B96"/>
    <w:rsid w:val="69951B60"/>
    <w:rsid w:val="69953C45"/>
    <w:rsid w:val="699D6C67"/>
    <w:rsid w:val="699E491E"/>
    <w:rsid w:val="69A47FF6"/>
    <w:rsid w:val="69B45116"/>
    <w:rsid w:val="69C02956"/>
    <w:rsid w:val="69C24590"/>
    <w:rsid w:val="69C51D1A"/>
    <w:rsid w:val="69C629D5"/>
    <w:rsid w:val="69C67F6C"/>
    <w:rsid w:val="69CA2603"/>
    <w:rsid w:val="69D23F5B"/>
    <w:rsid w:val="69DA7573"/>
    <w:rsid w:val="69DC778F"/>
    <w:rsid w:val="69EC0232"/>
    <w:rsid w:val="69F37B9A"/>
    <w:rsid w:val="6A034EDE"/>
    <w:rsid w:val="6A040A94"/>
    <w:rsid w:val="6A0445F0"/>
    <w:rsid w:val="6A0D5B9B"/>
    <w:rsid w:val="6A1A2066"/>
    <w:rsid w:val="6A1C1987"/>
    <w:rsid w:val="6A22716C"/>
    <w:rsid w:val="6A266C5C"/>
    <w:rsid w:val="6A292C42"/>
    <w:rsid w:val="6A366774"/>
    <w:rsid w:val="6A372963"/>
    <w:rsid w:val="6A372C18"/>
    <w:rsid w:val="6A3B3D8A"/>
    <w:rsid w:val="6A3C0659"/>
    <w:rsid w:val="6A3F7D1E"/>
    <w:rsid w:val="6A4315BC"/>
    <w:rsid w:val="6A445335"/>
    <w:rsid w:val="6A4C4708"/>
    <w:rsid w:val="6A4C4DC7"/>
    <w:rsid w:val="6A506251"/>
    <w:rsid w:val="6A554E4C"/>
    <w:rsid w:val="6A58657C"/>
    <w:rsid w:val="6A587C04"/>
    <w:rsid w:val="6A587E3E"/>
    <w:rsid w:val="6A606F6B"/>
    <w:rsid w:val="6A621028"/>
    <w:rsid w:val="6A705A35"/>
    <w:rsid w:val="6A745C1A"/>
    <w:rsid w:val="6A771266"/>
    <w:rsid w:val="6A807E2F"/>
    <w:rsid w:val="6A8219B9"/>
    <w:rsid w:val="6A856939"/>
    <w:rsid w:val="6A8A71EB"/>
    <w:rsid w:val="6A9745A7"/>
    <w:rsid w:val="6A987763"/>
    <w:rsid w:val="6AA10091"/>
    <w:rsid w:val="6AA14535"/>
    <w:rsid w:val="6AA61B4B"/>
    <w:rsid w:val="6AA85E77"/>
    <w:rsid w:val="6AAD6A36"/>
    <w:rsid w:val="6AAD72A3"/>
    <w:rsid w:val="6AB62F7E"/>
    <w:rsid w:val="6AB853DB"/>
    <w:rsid w:val="6ABB7544"/>
    <w:rsid w:val="6AC81AC2"/>
    <w:rsid w:val="6ACA3A8C"/>
    <w:rsid w:val="6ACC0D58"/>
    <w:rsid w:val="6ADA35A3"/>
    <w:rsid w:val="6ADE3093"/>
    <w:rsid w:val="6AEA7C8A"/>
    <w:rsid w:val="6AF0374A"/>
    <w:rsid w:val="6AF73B75"/>
    <w:rsid w:val="6AF93C50"/>
    <w:rsid w:val="6AF9611F"/>
    <w:rsid w:val="6B0105FD"/>
    <w:rsid w:val="6B032AFA"/>
    <w:rsid w:val="6B06776E"/>
    <w:rsid w:val="6B0679A9"/>
    <w:rsid w:val="6B0A032C"/>
    <w:rsid w:val="6B0D3978"/>
    <w:rsid w:val="6B2A197B"/>
    <w:rsid w:val="6B2C02A3"/>
    <w:rsid w:val="6B3523D7"/>
    <w:rsid w:val="6B3E3B32"/>
    <w:rsid w:val="6B4355EC"/>
    <w:rsid w:val="6B511AB7"/>
    <w:rsid w:val="6B542FF1"/>
    <w:rsid w:val="6B5B4530"/>
    <w:rsid w:val="6B5E41D4"/>
    <w:rsid w:val="6B6317EA"/>
    <w:rsid w:val="6B6B4517"/>
    <w:rsid w:val="6B6C3D03"/>
    <w:rsid w:val="6B6E08BB"/>
    <w:rsid w:val="6B6F018F"/>
    <w:rsid w:val="6B721A2E"/>
    <w:rsid w:val="6B7B7D93"/>
    <w:rsid w:val="6B8005EE"/>
    <w:rsid w:val="6B842A13"/>
    <w:rsid w:val="6B8749C0"/>
    <w:rsid w:val="6B930322"/>
    <w:rsid w:val="6B9320D0"/>
    <w:rsid w:val="6B9D4658"/>
    <w:rsid w:val="6BA97496"/>
    <w:rsid w:val="6BAD3293"/>
    <w:rsid w:val="6BAF586D"/>
    <w:rsid w:val="6BB562F5"/>
    <w:rsid w:val="6BBB33D4"/>
    <w:rsid w:val="6BC404DB"/>
    <w:rsid w:val="6BC524A5"/>
    <w:rsid w:val="6BC95AF1"/>
    <w:rsid w:val="6BCF626D"/>
    <w:rsid w:val="6BD53978"/>
    <w:rsid w:val="6BD61FBC"/>
    <w:rsid w:val="6BDA5F51"/>
    <w:rsid w:val="6BE24E05"/>
    <w:rsid w:val="6BE94C15"/>
    <w:rsid w:val="6BF209B1"/>
    <w:rsid w:val="6BFC717A"/>
    <w:rsid w:val="6BFF7765"/>
    <w:rsid w:val="6C0476E0"/>
    <w:rsid w:val="6C054650"/>
    <w:rsid w:val="6C057A8B"/>
    <w:rsid w:val="6C060AF4"/>
    <w:rsid w:val="6C101972"/>
    <w:rsid w:val="6C150D37"/>
    <w:rsid w:val="6C20659F"/>
    <w:rsid w:val="6C2155B7"/>
    <w:rsid w:val="6C2A102F"/>
    <w:rsid w:val="6C3311BD"/>
    <w:rsid w:val="6C3379D8"/>
    <w:rsid w:val="6C3B064C"/>
    <w:rsid w:val="6C423AF6"/>
    <w:rsid w:val="6C515AE7"/>
    <w:rsid w:val="6C537AB1"/>
    <w:rsid w:val="6C5807B4"/>
    <w:rsid w:val="6C6245EB"/>
    <w:rsid w:val="6C6B6BA9"/>
    <w:rsid w:val="6C8E1AED"/>
    <w:rsid w:val="6C9D6EE8"/>
    <w:rsid w:val="6C9E0E60"/>
    <w:rsid w:val="6CAE4CE7"/>
    <w:rsid w:val="6CAF118B"/>
    <w:rsid w:val="6CB3461B"/>
    <w:rsid w:val="6CBA6439"/>
    <w:rsid w:val="6CC12C6C"/>
    <w:rsid w:val="6CC24944"/>
    <w:rsid w:val="6CD06643"/>
    <w:rsid w:val="6CD12F2D"/>
    <w:rsid w:val="6CD25B27"/>
    <w:rsid w:val="6CD55863"/>
    <w:rsid w:val="6CE80B2B"/>
    <w:rsid w:val="6CED1CB3"/>
    <w:rsid w:val="6CFA617E"/>
    <w:rsid w:val="6CFC1EF7"/>
    <w:rsid w:val="6D0540F4"/>
    <w:rsid w:val="6D0D5EB2"/>
    <w:rsid w:val="6D147240"/>
    <w:rsid w:val="6D176247"/>
    <w:rsid w:val="6D21195D"/>
    <w:rsid w:val="6D233ED5"/>
    <w:rsid w:val="6D28415B"/>
    <w:rsid w:val="6D317DF2"/>
    <w:rsid w:val="6D337046"/>
    <w:rsid w:val="6D34343E"/>
    <w:rsid w:val="6D3F3B91"/>
    <w:rsid w:val="6D400035"/>
    <w:rsid w:val="6D4E3707"/>
    <w:rsid w:val="6D513BF7"/>
    <w:rsid w:val="6D5175C4"/>
    <w:rsid w:val="6D5261F9"/>
    <w:rsid w:val="6D592EA5"/>
    <w:rsid w:val="6D5D0BE7"/>
    <w:rsid w:val="6D5F53AB"/>
    <w:rsid w:val="6D612633"/>
    <w:rsid w:val="6D633D24"/>
    <w:rsid w:val="6D673814"/>
    <w:rsid w:val="6D6B0BCD"/>
    <w:rsid w:val="6D785A21"/>
    <w:rsid w:val="6D7D2E13"/>
    <w:rsid w:val="6D7E0B5E"/>
    <w:rsid w:val="6D7E46BA"/>
    <w:rsid w:val="6D855A48"/>
    <w:rsid w:val="6D860DA6"/>
    <w:rsid w:val="6D9D025D"/>
    <w:rsid w:val="6DA02882"/>
    <w:rsid w:val="6DA96A24"/>
    <w:rsid w:val="6DAE185B"/>
    <w:rsid w:val="6DB15620"/>
    <w:rsid w:val="6DB31435"/>
    <w:rsid w:val="6DB35745"/>
    <w:rsid w:val="6DB52CC0"/>
    <w:rsid w:val="6DB97DE8"/>
    <w:rsid w:val="6DBA72FD"/>
    <w:rsid w:val="6DBF3BEE"/>
    <w:rsid w:val="6DC20A4A"/>
    <w:rsid w:val="6DC8529E"/>
    <w:rsid w:val="6DD31530"/>
    <w:rsid w:val="6DE213D7"/>
    <w:rsid w:val="6DE44E65"/>
    <w:rsid w:val="6DF20188"/>
    <w:rsid w:val="6DFA6436"/>
    <w:rsid w:val="6E030AA0"/>
    <w:rsid w:val="6E054DDB"/>
    <w:rsid w:val="6E105C5A"/>
    <w:rsid w:val="6E176C9D"/>
    <w:rsid w:val="6E21464D"/>
    <w:rsid w:val="6E251A6C"/>
    <w:rsid w:val="6E267CFF"/>
    <w:rsid w:val="6E274D51"/>
    <w:rsid w:val="6E276AFF"/>
    <w:rsid w:val="6E2D05A3"/>
    <w:rsid w:val="6E2F3C06"/>
    <w:rsid w:val="6E413192"/>
    <w:rsid w:val="6E4B4EE4"/>
    <w:rsid w:val="6E5758AC"/>
    <w:rsid w:val="6E5A0C83"/>
    <w:rsid w:val="6E5D131B"/>
    <w:rsid w:val="6E69108E"/>
    <w:rsid w:val="6E753D0F"/>
    <w:rsid w:val="6E7E6865"/>
    <w:rsid w:val="6E7F06E9"/>
    <w:rsid w:val="6E8E3022"/>
    <w:rsid w:val="6E902A69"/>
    <w:rsid w:val="6E9543B1"/>
    <w:rsid w:val="6E9C573F"/>
    <w:rsid w:val="6EB85889"/>
    <w:rsid w:val="6EC151A6"/>
    <w:rsid w:val="6ED547AD"/>
    <w:rsid w:val="6EE175F6"/>
    <w:rsid w:val="6EE82732"/>
    <w:rsid w:val="6EFA4214"/>
    <w:rsid w:val="6F0A08FB"/>
    <w:rsid w:val="6F0A16F0"/>
    <w:rsid w:val="6F0D03EB"/>
    <w:rsid w:val="6F135451"/>
    <w:rsid w:val="6F145BFE"/>
    <w:rsid w:val="6F1E7F02"/>
    <w:rsid w:val="6F2D7488"/>
    <w:rsid w:val="6F307C36"/>
    <w:rsid w:val="6F313990"/>
    <w:rsid w:val="6F375468"/>
    <w:rsid w:val="6F411E43"/>
    <w:rsid w:val="6F490CF7"/>
    <w:rsid w:val="6F4D07E7"/>
    <w:rsid w:val="6F503A38"/>
    <w:rsid w:val="6F51390C"/>
    <w:rsid w:val="6F593630"/>
    <w:rsid w:val="6F5F4C16"/>
    <w:rsid w:val="6F7246F2"/>
    <w:rsid w:val="6F753DF9"/>
    <w:rsid w:val="6F7E6BF3"/>
    <w:rsid w:val="6F871F4B"/>
    <w:rsid w:val="6F9058B1"/>
    <w:rsid w:val="6F912DCA"/>
    <w:rsid w:val="6F9252D4"/>
    <w:rsid w:val="6F944668"/>
    <w:rsid w:val="6FA30F27"/>
    <w:rsid w:val="6FA348AB"/>
    <w:rsid w:val="6FA523D2"/>
    <w:rsid w:val="6FA7439C"/>
    <w:rsid w:val="6FB47AC6"/>
    <w:rsid w:val="6FBB1BF5"/>
    <w:rsid w:val="6FBD3BBF"/>
    <w:rsid w:val="6FBE3493"/>
    <w:rsid w:val="6FC07A2A"/>
    <w:rsid w:val="6FC50CC6"/>
    <w:rsid w:val="6FCD1928"/>
    <w:rsid w:val="6FD57849"/>
    <w:rsid w:val="6FDE58E3"/>
    <w:rsid w:val="6FF46EB5"/>
    <w:rsid w:val="6FF653BE"/>
    <w:rsid w:val="6FF944CB"/>
    <w:rsid w:val="6FFD57F4"/>
    <w:rsid w:val="70061ECF"/>
    <w:rsid w:val="7009337E"/>
    <w:rsid w:val="700A37AF"/>
    <w:rsid w:val="70116AA1"/>
    <w:rsid w:val="70147557"/>
    <w:rsid w:val="701E0952"/>
    <w:rsid w:val="7020414E"/>
    <w:rsid w:val="70207CAA"/>
    <w:rsid w:val="70233369"/>
    <w:rsid w:val="70423A6F"/>
    <w:rsid w:val="704A4D27"/>
    <w:rsid w:val="70545BA6"/>
    <w:rsid w:val="70585696"/>
    <w:rsid w:val="70726596"/>
    <w:rsid w:val="70757FF6"/>
    <w:rsid w:val="707B1384"/>
    <w:rsid w:val="708D3919"/>
    <w:rsid w:val="709D343C"/>
    <w:rsid w:val="70A1703D"/>
    <w:rsid w:val="70A22DB5"/>
    <w:rsid w:val="70A24B63"/>
    <w:rsid w:val="70B41A29"/>
    <w:rsid w:val="70CC0E40"/>
    <w:rsid w:val="70DA124F"/>
    <w:rsid w:val="70E150EF"/>
    <w:rsid w:val="70E231B1"/>
    <w:rsid w:val="70E61887"/>
    <w:rsid w:val="70EB475C"/>
    <w:rsid w:val="70FA499F"/>
    <w:rsid w:val="710475CC"/>
    <w:rsid w:val="710870BC"/>
    <w:rsid w:val="710D46D2"/>
    <w:rsid w:val="711E461E"/>
    <w:rsid w:val="7127461C"/>
    <w:rsid w:val="712970EF"/>
    <w:rsid w:val="712B6906"/>
    <w:rsid w:val="713003C1"/>
    <w:rsid w:val="71324139"/>
    <w:rsid w:val="713C0B14"/>
    <w:rsid w:val="714E48D5"/>
    <w:rsid w:val="7157594D"/>
    <w:rsid w:val="715C2272"/>
    <w:rsid w:val="717958C4"/>
    <w:rsid w:val="71892278"/>
    <w:rsid w:val="71950224"/>
    <w:rsid w:val="719E0D18"/>
    <w:rsid w:val="719F4B9D"/>
    <w:rsid w:val="71A36DE5"/>
    <w:rsid w:val="71B0505E"/>
    <w:rsid w:val="71B5794A"/>
    <w:rsid w:val="71B72890"/>
    <w:rsid w:val="71B96608"/>
    <w:rsid w:val="71C347A8"/>
    <w:rsid w:val="71CC1CC1"/>
    <w:rsid w:val="71D31F2D"/>
    <w:rsid w:val="71E03B95"/>
    <w:rsid w:val="71F118FE"/>
    <w:rsid w:val="71FE0110"/>
    <w:rsid w:val="72001440"/>
    <w:rsid w:val="7202642B"/>
    <w:rsid w:val="720F466F"/>
    <w:rsid w:val="721149AE"/>
    <w:rsid w:val="72132AD0"/>
    <w:rsid w:val="72141A90"/>
    <w:rsid w:val="7218332F"/>
    <w:rsid w:val="722A77C6"/>
    <w:rsid w:val="722C0B88"/>
    <w:rsid w:val="72330169"/>
    <w:rsid w:val="7238577F"/>
    <w:rsid w:val="72444124"/>
    <w:rsid w:val="724C2FD8"/>
    <w:rsid w:val="725325F1"/>
    <w:rsid w:val="72572EF3"/>
    <w:rsid w:val="725733E1"/>
    <w:rsid w:val="7258372B"/>
    <w:rsid w:val="72591D82"/>
    <w:rsid w:val="725A18EE"/>
    <w:rsid w:val="725B321B"/>
    <w:rsid w:val="725D3437"/>
    <w:rsid w:val="725F0F5E"/>
    <w:rsid w:val="726579DE"/>
    <w:rsid w:val="726C1F6C"/>
    <w:rsid w:val="72730565"/>
    <w:rsid w:val="727A0418"/>
    <w:rsid w:val="72822411"/>
    <w:rsid w:val="72833893"/>
    <w:rsid w:val="728946EE"/>
    <w:rsid w:val="728C1627"/>
    <w:rsid w:val="729624A5"/>
    <w:rsid w:val="72A05985"/>
    <w:rsid w:val="72A44A13"/>
    <w:rsid w:val="72A72905"/>
    <w:rsid w:val="72A9667D"/>
    <w:rsid w:val="72AB72EF"/>
    <w:rsid w:val="72C2773E"/>
    <w:rsid w:val="72C3770A"/>
    <w:rsid w:val="72CB65F3"/>
    <w:rsid w:val="72D85769"/>
    <w:rsid w:val="72DB435C"/>
    <w:rsid w:val="72E2393D"/>
    <w:rsid w:val="72E41463"/>
    <w:rsid w:val="72EB7597"/>
    <w:rsid w:val="72F21CF2"/>
    <w:rsid w:val="72F773E8"/>
    <w:rsid w:val="72FA2A34"/>
    <w:rsid w:val="730808E1"/>
    <w:rsid w:val="73093F00"/>
    <w:rsid w:val="730B1A4A"/>
    <w:rsid w:val="731A3684"/>
    <w:rsid w:val="731E2BC7"/>
    <w:rsid w:val="731F2D71"/>
    <w:rsid w:val="732849D1"/>
    <w:rsid w:val="732D4BB8"/>
    <w:rsid w:val="73331EF0"/>
    <w:rsid w:val="733817AF"/>
    <w:rsid w:val="73395784"/>
    <w:rsid w:val="73412FE1"/>
    <w:rsid w:val="73432C6F"/>
    <w:rsid w:val="734755E7"/>
    <w:rsid w:val="734C681C"/>
    <w:rsid w:val="73552361"/>
    <w:rsid w:val="73626E28"/>
    <w:rsid w:val="736345DF"/>
    <w:rsid w:val="736864C6"/>
    <w:rsid w:val="736D76AA"/>
    <w:rsid w:val="73770529"/>
    <w:rsid w:val="737722D7"/>
    <w:rsid w:val="737F2F3A"/>
    <w:rsid w:val="7386251A"/>
    <w:rsid w:val="738B271B"/>
    <w:rsid w:val="739015EB"/>
    <w:rsid w:val="739E5AB6"/>
    <w:rsid w:val="73BF77DA"/>
    <w:rsid w:val="73C31078"/>
    <w:rsid w:val="73CC2623"/>
    <w:rsid w:val="73CD5A24"/>
    <w:rsid w:val="73D634A1"/>
    <w:rsid w:val="73DE2356"/>
    <w:rsid w:val="73F25E01"/>
    <w:rsid w:val="73F97190"/>
    <w:rsid w:val="73FC0A2E"/>
    <w:rsid w:val="73FC5756"/>
    <w:rsid w:val="7404594B"/>
    <w:rsid w:val="740836D9"/>
    <w:rsid w:val="740A314B"/>
    <w:rsid w:val="740D2C3B"/>
    <w:rsid w:val="740D6797"/>
    <w:rsid w:val="74147B26"/>
    <w:rsid w:val="74281823"/>
    <w:rsid w:val="742B005B"/>
    <w:rsid w:val="742D211D"/>
    <w:rsid w:val="74310511"/>
    <w:rsid w:val="74381A66"/>
    <w:rsid w:val="74387CB8"/>
    <w:rsid w:val="743B50B2"/>
    <w:rsid w:val="74463A57"/>
    <w:rsid w:val="744B12BF"/>
    <w:rsid w:val="744E6CF7"/>
    <w:rsid w:val="745F3497"/>
    <w:rsid w:val="745F5A78"/>
    <w:rsid w:val="74620ED1"/>
    <w:rsid w:val="74626AE3"/>
    <w:rsid w:val="746464FE"/>
    <w:rsid w:val="746C5843"/>
    <w:rsid w:val="74792026"/>
    <w:rsid w:val="7480340D"/>
    <w:rsid w:val="74820F33"/>
    <w:rsid w:val="748D1686"/>
    <w:rsid w:val="748F1CC1"/>
    <w:rsid w:val="74A013B9"/>
    <w:rsid w:val="74A82061"/>
    <w:rsid w:val="74B133C4"/>
    <w:rsid w:val="74B4160A"/>
    <w:rsid w:val="74B86703"/>
    <w:rsid w:val="74B94A52"/>
    <w:rsid w:val="74BF5CE3"/>
    <w:rsid w:val="74C652C4"/>
    <w:rsid w:val="74C657CA"/>
    <w:rsid w:val="74C90910"/>
    <w:rsid w:val="74CC0400"/>
    <w:rsid w:val="74CE5F27"/>
    <w:rsid w:val="74D15A17"/>
    <w:rsid w:val="74DD260E"/>
    <w:rsid w:val="74EB001F"/>
    <w:rsid w:val="74F811F5"/>
    <w:rsid w:val="74FA6D1C"/>
    <w:rsid w:val="75071439"/>
    <w:rsid w:val="750765A4"/>
    <w:rsid w:val="75091655"/>
    <w:rsid w:val="750C1C7B"/>
    <w:rsid w:val="750D1BC6"/>
    <w:rsid w:val="75104791"/>
    <w:rsid w:val="75226272"/>
    <w:rsid w:val="75297601"/>
    <w:rsid w:val="752B15CB"/>
    <w:rsid w:val="752B3182"/>
    <w:rsid w:val="754056A9"/>
    <w:rsid w:val="75416A4B"/>
    <w:rsid w:val="754844DF"/>
    <w:rsid w:val="75524DAA"/>
    <w:rsid w:val="755C79D6"/>
    <w:rsid w:val="755F3023"/>
    <w:rsid w:val="75671ED7"/>
    <w:rsid w:val="75691A63"/>
    <w:rsid w:val="756B19C7"/>
    <w:rsid w:val="75722DB1"/>
    <w:rsid w:val="757373DA"/>
    <w:rsid w:val="757C14D3"/>
    <w:rsid w:val="757D53C0"/>
    <w:rsid w:val="758B02BC"/>
    <w:rsid w:val="758D193E"/>
    <w:rsid w:val="758D5997"/>
    <w:rsid w:val="759F2386"/>
    <w:rsid w:val="75A31161"/>
    <w:rsid w:val="75AB2CA2"/>
    <w:rsid w:val="75C37A55"/>
    <w:rsid w:val="75C56449"/>
    <w:rsid w:val="75DC35CB"/>
    <w:rsid w:val="75E678DE"/>
    <w:rsid w:val="75E83CBD"/>
    <w:rsid w:val="75F93E43"/>
    <w:rsid w:val="760342F6"/>
    <w:rsid w:val="76120323"/>
    <w:rsid w:val="761402B1"/>
    <w:rsid w:val="761C2B23"/>
    <w:rsid w:val="76261B9F"/>
    <w:rsid w:val="7629612A"/>
    <w:rsid w:val="762A7AD4"/>
    <w:rsid w:val="76387B89"/>
    <w:rsid w:val="763C3364"/>
    <w:rsid w:val="763D726C"/>
    <w:rsid w:val="764346F2"/>
    <w:rsid w:val="76472434"/>
    <w:rsid w:val="76487159"/>
    <w:rsid w:val="766A1CAC"/>
    <w:rsid w:val="766F30AC"/>
    <w:rsid w:val="767311D1"/>
    <w:rsid w:val="76733229"/>
    <w:rsid w:val="7680477F"/>
    <w:rsid w:val="768076F4"/>
    <w:rsid w:val="76810643"/>
    <w:rsid w:val="768C6099"/>
    <w:rsid w:val="768E0CE6"/>
    <w:rsid w:val="768E1E11"/>
    <w:rsid w:val="769316CD"/>
    <w:rsid w:val="769510D8"/>
    <w:rsid w:val="769732C7"/>
    <w:rsid w:val="769B452E"/>
    <w:rsid w:val="769D3E02"/>
    <w:rsid w:val="76A72938"/>
    <w:rsid w:val="76B25348"/>
    <w:rsid w:val="76B86E8E"/>
    <w:rsid w:val="76BD3DFD"/>
    <w:rsid w:val="76D01F34"/>
    <w:rsid w:val="76D439B2"/>
    <w:rsid w:val="76D54AAF"/>
    <w:rsid w:val="76D637B8"/>
    <w:rsid w:val="76E77774"/>
    <w:rsid w:val="76E934EC"/>
    <w:rsid w:val="76F81981"/>
    <w:rsid w:val="77025E86"/>
    <w:rsid w:val="77057BFA"/>
    <w:rsid w:val="77065E4C"/>
    <w:rsid w:val="77086B3A"/>
    <w:rsid w:val="77117455"/>
    <w:rsid w:val="77130569"/>
    <w:rsid w:val="771421D2"/>
    <w:rsid w:val="771D13E7"/>
    <w:rsid w:val="771F6500"/>
    <w:rsid w:val="77250C14"/>
    <w:rsid w:val="77274014"/>
    <w:rsid w:val="77286A7D"/>
    <w:rsid w:val="773329B9"/>
    <w:rsid w:val="773F4EBA"/>
    <w:rsid w:val="77400FC3"/>
    <w:rsid w:val="774337FA"/>
    <w:rsid w:val="774A14FD"/>
    <w:rsid w:val="774B5B25"/>
    <w:rsid w:val="775748F9"/>
    <w:rsid w:val="77585F7B"/>
    <w:rsid w:val="77660698"/>
    <w:rsid w:val="776807C5"/>
    <w:rsid w:val="7772528F"/>
    <w:rsid w:val="7777589C"/>
    <w:rsid w:val="777803CC"/>
    <w:rsid w:val="77822FF8"/>
    <w:rsid w:val="778925D9"/>
    <w:rsid w:val="778B6034"/>
    <w:rsid w:val="778C10EB"/>
    <w:rsid w:val="778D7592"/>
    <w:rsid w:val="778E7BEF"/>
    <w:rsid w:val="77925212"/>
    <w:rsid w:val="779B28B6"/>
    <w:rsid w:val="779D4364"/>
    <w:rsid w:val="77A85155"/>
    <w:rsid w:val="77AB4B5D"/>
    <w:rsid w:val="77B032DA"/>
    <w:rsid w:val="77B262E8"/>
    <w:rsid w:val="77BD56FB"/>
    <w:rsid w:val="77C11D73"/>
    <w:rsid w:val="77C4430A"/>
    <w:rsid w:val="77CE4490"/>
    <w:rsid w:val="77D732BF"/>
    <w:rsid w:val="77DE46D3"/>
    <w:rsid w:val="77E865B8"/>
    <w:rsid w:val="77EC701D"/>
    <w:rsid w:val="77EF1307"/>
    <w:rsid w:val="77F35CA4"/>
    <w:rsid w:val="77F4039A"/>
    <w:rsid w:val="77F9150C"/>
    <w:rsid w:val="77FA0FC3"/>
    <w:rsid w:val="77FC0FFD"/>
    <w:rsid w:val="7803238B"/>
    <w:rsid w:val="780B119C"/>
    <w:rsid w:val="7831514A"/>
    <w:rsid w:val="783562BD"/>
    <w:rsid w:val="78370287"/>
    <w:rsid w:val="78454752"/>
    <w:rsid w:val="784D7AAA"/>
    <w:rsid w:val="784F737E"/>
    <w:rsid w:val="78544995"/>
    <w:rsid w:val="78575973"/>
    <w:rsid w:val="78656BA2"/>
    <w:rsid w:val="786A55C5"/>
    <w:rsid w:val="7876736B"/>
    <w:rsid w:val="787B7A0C"/>
    <w:rsid w:val="78886D34"/>
    <w:rsid w:val="78941235"/>
    <w:rsid w:val="789418E6"/>
    <w:rsid w:val="78961451"/>
    <w:rsid w:val="789A67D5"/>
    <w:rsid w:val="789D4706"/>
    <w:rsid w:val="78AA6DDB"/>
    <w:rsid w:val="78AC657F"/>
    <w:rsid w:val="78AF2513"/>
    <w:rsid w:val="78C55892"/>
    <w:rsid w:val="78C733B9"/>
    <w:rsid w:val="78C740DC"/>
    <w:rsid w:val="78C80EDF"/>
    <w:rsid w:val="78C95383"/>
    <w:rsid w:val="78CB49C5"/>
    <w:rsid w:val="78CB5F1D"/>
    <w:rsid w:val="78D41F79"/>
    <w:rsid w:val="78D67AA0"/>
    <w:rsid w:val="78D91CF6"/>
    <w:rsid w:val="78E75491"/>
    <w:rsid w:val="78E81581"/>
    <w:rsid w:val="78EA528F"/>
    <w:rsid w:val="78EF6552"/>
    <w:rsid w:val="78F202E4"/>
    <w:rsid w:val="78F543CA"/>
    <w:rsid w:val="78F9553C"/>
    <w:rsid w:val="78FE3674"/>
    <w:rsid w:val="790E0FE8"/>
    <w:rsid w:val="79135C5D"/>
    <w:rsid w:val="791E4907"/>
    <w:rsid w:val="79273E57"/>
    <w:rsid w:val="7928508B"/>
    <w:rsid w:val="793D18CD"/>
    <w:rsid w:val="79420C91"/>
    <w:rsid w:val="79420D32"/>
    <w:rsid w:val="79450781"/>
    <w:rsid w:val="794A735E"/>
    <w:rsid w:val="794B65DE"/>
    <w:rsid w:val="795110D7"/>
    <w:rsid w:val="79523064"/>
    <w:rsid w:val="79674B48"/>
    <w:rsid w:val="796E37A3"/>
    <w:rsid w:val="79797DE9"/>
    <w:rsid w:val="797D43BF"/>
    <w:rsid w:val="7980722C"/>
    <w:rsid w:val="79892D64"/>
    <w:rsid w:val="798B6ADC"/>
    <w:rsid w:val="799A0ACD"/>
    <w:rsid w:val="79A951B4"/>
    <w:rsid w:val="79BD2A0E"/>
    <w:rsid w:val="79BD47BC"/>
    <w:rsid w:val="79C6222F"/>
    <w:rsid w:val="79C62695"/>
    <w:rsid w:val="79D044EF"/>
    <w:rsid w:val="79D51E21"/>
    <w:rsid w:val="79DC7338"/>
    <w:rsid w:val="79E05138"/>
    <w:rsid w:val="79E104AA"/>
    <w:rsid w:val="79E20205"/>
    <w:rsid w:val="79E36B40"/>
    <w:rsid w:val="79E61F64"/>
    <w:rsid w:val="79EA1A55"/>
    <w:rsid w:val="7A052DF2"/>
    <w:rsid w:val="7A117820"/>
    <w:rsid w:val="7A195E96"/>
    <w:rsid w:val="7A1C7FC7"/>
    <w:rsid w:val="7A1F0FD2"/>
    <w:rsid w:val="7A28257D"/>
    <w:rsid w:val="7A293BFF"/>
    <w:rsid w:val="7A2D1106"/>
    <w:rsid w:val="7A37631C"/>
    <w:rsid w:val="7A434CC1"/>
    <w:rsid w:val="7A460C55"/>
    <w:rsid w:val="7A4A24F3"/>
    <w:rsid w:val="7A5213A8"/>
    <w:rsid w:val="7A560FD9"/>
    <w:rsid w:val="7A57192B"/>
    <w:rsid w:val="7A5E256D"/>
    <w:rsid w:val="7A6D7F90"/>
    <w:rsid w:val="7A731AD0"/>
    <w:rsid w:val="7A7A1FB0"/>
    <w:rsid w:val="7A810926"/>
    <w:rsid w:val="7A8552D9"/>
    <w:rsid w:val="7A88301C"/>
    <w:rsid w:val="7A8C2B0C"/>
    <w:rsid w:val="7AA240DD"/>
    <w:rsid w:val="7AAB0BFF"/>
    <w:rsid w:val="7AAD2A82"/>
    <w:rsid w:val="7AAF7B1C"/>
    <w:rsid w:val="7AB076DD"/>
    <w:rsid w:val="7ACE4ED2"/>
    <w:rsid w:val="7AE91FA6"/>
    <w:rsid w:val="7AEE64B9"/>
    <w:rsid w:val="7AF91AC4"/>
    <w:rsid w:val="7B06668B"/>
    <w:rsid w:val="7B087CB8"/>
    <w:rsid w:val="7B0A3F6E"/>
    <w:rsid w:val="7B18661C"/>
    <w:rsid w:val="7B2745E3"/>
    <w:rsid w:val="7B290AC1"/>
    <w:rsid w:val="7B2967E0"/>
    <w:rsid w:val="7B315461"/>
    <w:rsid w:val="7B3B2067"/>
    <w:rsid w:val="7B4707E1"/>
    <w:rsid w:val="7B49125B"/>
    <w:rsid w:val="7B4A02D1"/>
    <w:rsid w:val="7B4C72AD"/>
    <w:rsid w:val="7B564EC8"/>
    <w:rsid w:val="7B565D97"/>
    <w:rsid w:val="7B566B8D"/>
    <w:rsid w:val="7B57638E"/>
    <w:rsid w:val="7B58479C"/>
    <w:rsid w:val="7B5A4576"/>
    <w:rsid w:val="7B6273C9"/>
    <w:rsid w:val="7B6475E5"/>
    <w:rsid w:val="7B692361"/>
    <w:rsid w:val="7B6A2721"/>
    <w:rsid w:val="7B6A44CF"/>
    <w:rsid w:val="7B6B0973"/>
    <w:rsid w:val="7B82099B"/>
    <w:rsid w:val="7B872A40"/>
    <w:rsid w:val="7B8C6B3B"/>
    <w:rsid w:val="7B9003DA"/>
    <w:rsid w:val="7B93399C"/>
    <w:rsid w:val="7B963F4F"/>
    <w:rsid w:val="7B98728E"/>
    <w:rsid w:val="7BA7127F"/>
    <w:rsid w:val="7BA94FF8"/>
    <w:rsid w:val="7BAB1713"/>
    <w:rsid w:val="7BB04C77"/>
    <w:rsid w:val="7BB10350"/>
    <w:rsid w:val="7BB67714"/>
    <w:rsid w:val="7BB95BEF"/>
    <w:rsid w:val="7BC61E73"/>
    <w:rsid w:val="7BCB7664"/>
    <w:rsid w:val="7BD217F3"/>
    <w:rsid w:val="7BE52E7C"/>
    <w:rsid w:val="7BE6624C"/>
    <w:rsid w:val="7BE75B20"/>
    <w:rsid w:val="7BE854F3"/>
    <w:rsid w:val="7BEC1388"/>
    <w:rsid w:val="7BEC33F4"/>
    <w:rsid w:val="7BEE5100"/>
    <w:rsid w:val="7BF02C26"/>
    <w:rsid w:val="7BF22E42"/>
    <w:rsid w:val="7BFA5BE3"/>
    <w:rsid w:val="7C036339"/>
    <w:rsid w:val="7C0424AA"/>
    <w:rsid w:val="7C042B76"/>
    <w:rsid w:val="7C0716C2"/>
    <w:rsid w:val="7C077F70"/>
    <w:rsid w:val="7C090879"/>
    <w:rsid w:val="7C0E596F"/>
    <w:rsid w:val="7C1903CF"/>
    <w:rsid w:val="7C1C5D6E"/>
    <w:rsid w:val="7C2032FD"/>
    <w:rsid w:val="7C305719"/>
    <w:rsid w:val="7C3639F5"/>
    <w:rsid w:val="7C38637B"/>
    <w:rsid w:val="7C3945CD"/>
    <w:rsid w:val="7C52568F"/>
    <w:rsid w:val="7C562787"/>
    <w:rsid w:val="7C5E4034"/>
    <w:rsid w:val="7C5F7DAC"/>
    <w:rsid w:val="7C63002F"/>
    <w:rsid w:val="7C662EE9"/>
    <w:rsid w:val="7C684EB3"/>
    <w:rsid w:val="7C6B6751"/>
    <w:rsid w:val="7C7623EB"/>
    <w:rsid w:val="7C7C270C"/>
    <w:rsid w:val="7C845DC5"/>
    <w:rsid w:val="7C846B5A"/>
    <w:rsid w:val="7C8A6FC5"/>
    <w:rsid w:val="7C940642"/>
    <w:rsid w:val="7C9A320C"/>
    <w:rsid w:val="7CA103C5"/>
    <w:rsid w:val="7CA12173"/>
    <w:rsid w:val="7CA25901"/>
    <w:rsid w:val="7CB47DAA"/>
    <w:rsid w:val="7CB73928"/>
    <w:rsid w:val="7CB77BE8"/>
    <w:rsid w:val="7CBB1486"/>
    <w:rsid w:val="7CC12815"/>
    <w:rsid w:val="7CC15A28"/>
    <w:rsid w:val="7CC266CD"/>
    <w:rsid w:val="7CC52305"/>
    <w:rsid w:val="7CCD4D16"/>
    <w:rsid w:val="7CD347C3"/>
    <w:rsid w:val="7CEC50AB"/>
    <w:rsid w:val="7CEC7892"/>
    <w:rsid w:val="7D0B72D7"/>
    <w:rsid w:val="7D1110A6"/>
    <w:rsid w:val="7D2D1C58"/>
    <w:rsid w:val="7D39684F"/>
    <w:rsid w:val="7D3E5C13"/>
    <w:rsid w:val="7D4274B2"/>
    <w:rsid w:val="7D472D1A"/>
    <w:rsid w:val="7D493910"/>
    <w:rsid w:val="7D4D5E56"/>
    <w:rsid w:val="7D513B99"/>
    <w:rsid w:val="7D5645DA"/>
    <w:rsid w:val="7D67156F"/>
    <w:rsid w:val="7D673F4F"/>
    <w:rsid w:val="7D8164CE"/>
    <w:rsid w:val="7D8172FD"/>
    <w:rsid w:val="7D821035"/>
    <w:rsid w:val="7D8271B7"/>
    <w:rsid w:val="7D8950E1"/>
    <w:rsid w:val="7D8A1D4A"/>
    <w:rsid w:val="7D951CD7"/>
    <w:rsid w:val="7D985324"/>
    <w:rsid w:val="7D9F66B2"/>
    <w:rsid w:val="7DA02D57"/>
    <w:rsid w:val="7DA57A41"/>
    <w:rsid w:val="7DAE0FEB"/>
    <w:rsid w:val="7DB55ED6"/>
    <w:rsid w:val="7DB75EC4"/>
    <w:rsid w:val="7DBA7990"/>
    <w:rsid w:val="7DC12ACC"/>
    <w:rsid w:val="7DC66335"/>
    <w:rsid w:val="7DC720AD"/>
    <w:rsid w:val="7DD547CA"/>
    <w:rsid w:val="7DDA1DE0"/>
    <w:rsid w:val="7DDB16B4"/>
    <w:rsid w:val="7DDD542C"/>
    <w:rsid w:val="7DE06CCB"/>
    <w:rsid w:val="7DE1316F"/>
    <w:rsid w:val="7DEE13E8"/>
    <w:rsid w:val="7DF2500D"/>
    <w:rsid w:val="7DF764EE"/>
    <w:rsid w:val="7DFA7D8C"/>
    <w:rsid w:val="7E00216C"/>
    <w:rsid w:val="7E0806FB"/>
    <w:rsid w:val="7E1370A0"/>
    <w:rsid w:val="7E1A45D6"/>
    <w:rsid w:val="7E1F3C97"/>
    <w:rsid w:val="7E254463"/>
    <w:rsid w:val="7E292420"/>
    <w:rsid w:val="7E2E35BA"/>
    <w:rsid w:val="7E2E5C88"/>
    <w:rsid w:val="7E3C03A5"/>
    <w:rsid w:val="7E4030DF"/>
    <w:rsid w:val="7E437638"/>
    <w:rsid w:val="7E437985"/>
    <w:rsid w:val="7E491FC4"/>
    <w:rsid w:val="7E5576B9"/>
    <w:rsid w:val="7E5C27F5"/>
    <w:rsid w:val="7E5C727A"/>
    <w:rsid w:val="7E5F0FCE"/>
    <w:rsid w:val="7E5F4093"/>
    <w:rsid w:val="7E6112F1"/>
    <w:rsid w:val="7E61605D"/>
    <w:rsid w:val="7E663674"/>
    <w:rsid w:val="7E6B34F5"/>
    <w:rsid w:val="7E6B6EDC"/>
    <w:rsid w:val="7E6D67B0"/>
    <w:rsid w:val="7E6E560C"/>
    <w:rsid w:val="7E7222F3"/>
    <w:rsid w:val="7E7933A7"/>
    <w:rsid w:val="7E795346"/>
    <w:rsid w:val="7E7F0292"/>
    <w:rsid w:val="7E865AC4"/>
    <w:rsid w:val="7E8B4DC2"/>
    <w:rsid w:val="7E9110F4"/>
    <w:rsid w:val="7E9173A9"/>
    <w:rsid w:val="7E953F59"/>
    <w:rsid w:val="7E971A7F"/>
    <w:rsid w:val="7E9E06DE"/>
    <w:rsid w:val="7EAD12A3"/>
    <w:rsid w:val="7EB22415"/>
    <w:rsid w:val="7EB73ECF"/>
    <w:rsid w:val="7EBD585D"/>
    <w:rsid w:val="7EC16AFC"/>
    <w:rsid w:val="7EC550D4"/>
    <w:rsid w:val="7ECF576C"/>
    <w:rsid w:val="7ED4682F"/>
    <w:rsid w:val="7ED94718"/>
    <w:rsid w:val="7EDB1438"/>
    <w:rsid w:val="7EDC3936"/>
    <w:rsid w:val="7EEF5417"/>
    <w:rsid w:val="7EF7251E"/>
    <w:rsid w:val="7EFB3979"/>
    <w:rsid w:val="7EFE1AFE"/>
    <w:rsid w:val="7F08472B"/>
    <w:rsid w:val="7F0A2DB1"/>
    <w:rsid w:val="7F0B1630"/>
    <w:rsid w:val="7F1255AA"/>
    <w:rsid w:val="7F21759B"/>
    <w:rsid w:val="7F233313"/>
    <w:rsid w:val="7F30298A"/>
    <w:rsid w:val="7F34107C"/>
    <w:rsid w:val="7F3904CF"/>
    <w:rsid w:val="7F4339B5"/>
    <w:rsid w:val="7F437511"/>
    <w:rsid w:val="7F460553"/>
    <w:rsid w:val="7F477001"/>
    <w:rsid w:val="7F4E0C96"/>
    <w:rsid w:val="7F5159FC"/>
    <w:rsid w:val="7F651B7D"/>
    <w:rsid w:val="7F6A59CC"/>
    <w:rsid w:val="7F710522"/>
    <w:rsid w:val="7F78540D"/>
    <w:rsid w:val="7F81467D"/>
    <w:rsid w:val="7F8A2342"/>
    <w:rsid w:val="7F8A61C0"/>
    <w:rsid w:val="7F8F09A8"/>
    <w:rsid w:val="7F961D37"/>
    <w:rsid w:val="7F967CCE"/>
    <w:rsid w:val="7F9B734D"/>
    <w:rsid w:val="7F9E2999"/>
    <w:rsid w:val="7F9F59CD"/>
    <w:rsid w:val="7FA501CC"/>
    <w:rsid w:val="7FA94BD7"/>
    <w:rsid w:val="7FAD1376"/>
    <w:rsid w:val="7FBB79EF"/>
    <w:rsid w:val="7FC450B0"/>
    <w:rsid w:val="7FCA378E"/>
    <w:rsid w:val="7FD60385"/>
    <w:rsid w:val="7FDB5498"/>
    <w:rsid w:val="7FE0216A"/>
    <w:rsid w:val="7FE65E0B"/>
    <w:rsid w:val="7FED297F"/>
    <w:rsid w:val="7FEE17F6"/>
    <w:rsid w:val="7FF058EB"/>
    <w:rsid w:val="7FF416B5"/>
    <w:rsid w:val="7FF451B4"/>
    <w:rsid w:val="7FF5277A"/>
    <w:rsid w:val="7FFA22C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nhideWhenUsed="0" w:uiPriority="1"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1"/>
    <w:pPr>
      <w:spacing w:before="43"/>
      <w:ind w:left="295" w:right="536"/>
      <w:jc w:val="center"/>
      <w:outlineLvl w:val="0"/>
    </w:pPr>
    <w:rPr>
      <w:rFonts w:ascii="宋体" w:hAnsi="宋体" w:eastAsia="宋体" w:cs="宋体"/>
      <w:b/>
      <w:bCs/>
      <w:sz w:val="30"/>
      <w:szCs w:val="30"/>
      <w:lang w:val="zh-CN" w:eastAsia="zh-CN" w:bidi="zh-CN"/>
    </w:rPr>
  </w:style>
  <w:style w:type="paragraph" w:styleId="5">
    <w:name w:val="heading 3"/>
    <w:basedOn w:val="1"/>
    <w:next w:val="1"/>
    <w:qFormat/>
    <w:uiPriority w:val="1"/>
    <w:pPr>
      <w:ind w:left="1662"/>
      <w:outlineLvl w:val="2"/>
    </w:pPr>
    <w:rPr>
      <w:rFonts w:ascii="宋体" w:hAnsi="宋体" w:eastAsia="宋体" w:cs="宋体"/>
      <w:b/>
      <w:bCs/>
      <w:sz w:val="24"/>
      <w:szCs w:val="24"/>
      <w:lang w:val="zh-CN" w:eastAsia="zh-CN" w:bidi="zh-CN"/>
    </w:rPr>
  </w:style>
  <w:style w:type="paragraph" w:styleId="6">
    <w:name w:val="heading 4"/>
    <w:basedOn w:val="1"/>
    <w:next w:val="1"/>
    <w:qFormat/>
    <w:uiPriority w:val="0"/>
    <w:pPr>
      <w:keepNext/>
      <w:keepLines/>
      <w:spacing w:line="500" w:lineRule="exact"/>
      <w:ind w:firstLine="560"/>
      <w:outlineLvl w:val="3"/>
    </w:pPr>
    <w:rPr>
      <w:rFonts w:ascii="楷体_GB2312" w:eastAsia="楷体_GB2312"/>
    </w:rPr>
  </w:style>
  <w:style w:type="character" w:default="1" w:styleId="21">
    <w:name w:val="Default Paragraph Font"/>
    <w:link w:val="22"/>
    <w:qFormat/>
    <w:uiPriority w:val="0"/>
    <w:rPr>
      <w:rFonts w:ascii="宋体" w:hAnsi="宋体" w:cs="宋体"/>
      <w:sz w:val="24"/>
      <w:szCs w:val="26"/>
    </w:rPr>
  </w:style>
  <w:style w:type="table" w:default="1" w:styleId="19">
    <w:name w:val="Normal Tabl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customStyle="1" w:styleId="2">
    <w:name w:val="正文首行缩进 2 Char Char"/>
    <w:basedOn w:val="3"/>
    <w:qFormat/>
    <w:uiPriority w:val="99"/>
    <w:pPr>
      <w:ind w:firstLine="420"/>
    </w:pPr>
  </w:style>
  <w:style w:type="paragraph" w:customStyle="1" w:styleId="3">
    <w:name w:val="正文文本缩进 Char Char"/>
    <w:basedOn w:val="1"/>
    <w:qFormat/>
    <w:uiPriority w:val="99"/>
    <w:pPr>
      <w:spacing w:after="120"/>
      <w:ind w:left="420" w:leftChars="200"/>
    </w:pPr>
  </w:style>
  <w:style w:type="paragraph" w:styleId="7">
    <w:name w:val="Normal Indent"/>
    <w:basedOn w:val="1"/>
    <w:qFormat/>
    <w:uiPriority w:val="0"/>
    <w:pPr>
      <w:ind w:firstLine="420" w:firstLineChars="200"/>
    </w:pPr>
  </w:style>
  <w:style w:type="paragraph" w:styleId="8">
    <w:name w:val="annotation text"/>
    <w:basedOn w:val="1"/>
    <w:qFormat/>
    <w:uiPriority w:val="0"/>
    <w:pPr>
      <w:jc w:val="left"/>
    </w:pPr>
  </w:style>
  <w:style w:type="paragraph" w:styleId="9">
    <w:name w:val="Body Text"/>
    <w:basedOn w:val="1"/>
    <w:qFormat/>
    <w:uiPriority w:val="1"/>
    <w:rPr>
      <w:rFonts w:ascii="宋体" w:hAnsi="宋体" w:eastAsia="宋体" w:cs="宋体"/>
      <w:sz w:val="24"/>
      <w:szCs w:val="24"/>
      <w:lang w:val="zh-CN" w:eastAsia="zh-CN" w:bidi="zh-CN"/>
    </w:rPr>
  </w:style>
  <w:style w:type="paragraph" w:styleId="10">
    <w:name w:val="toc 3"/>
    <w:basedOn w:val="1"/>
    <w:next w:val="1"/>
    <w:qFormat/>
    <w:uiPriority w:val="0"/>
    <w:pPr>
      <w:ind w:left="420"/>
      <w:jc w:val="left"/>
    </w:pPr>
    <w:rPr>
      <w:rFonts w:ascii="Calibri" w:hAnsi="Calibri"/>
      <w:i/>
      <w:iCs/>
      <w:sz w:val="20"/>
      <w:szCs w:val="20"/>
    </w:rPr>
  </w:style>
  <w:style w:type="paragraph" w:styleId="11">
    <w:name w:val="Plain Text"/>
    <w:basedOn w:val="1"/>
    <w:next w:val="12"/>
    <w:qFormat/>
    <w:uiPriority w:val="0"/>
    <w:pPr>
      <w:adjustRightInd w:val="0"/>
      <w:spacing w:line="460" w:lineRule="exact"/>
    </w:pPr>
    <w:rPr>
      <w:rFonts w:ascii="宋体" w:hAnsi="宋体"/>
      <w:kern w:val="0"/>
      <w:sz w:val="24"/>
      <w:szCs w:val="21"/>
    </w:rPr>
  </w:style>
  <w:style w:type="paragraph" w:styleId="12">
    <w:name w:val="List Number 5"/>
    <w:basedOn w:val="1"/>
    <w:qFormat/>
    <w:uiPriority w:val="0"/>
    <w:pPr>
      <w:numPr>
        <w:ilvl w:val="0"/>
        <w:numId w:val="1"/>
      </w:numPr>
    </w:pPr>
  </w:style>
  <w:style w:type="paragraph" w:styleId="13">
    <w:name w:val="Body Text Indent 2"/>
    <w:basedOn w:val="1"/>
    <w:qFormat/>
    <w:uiPriority w:val="0"/>
    <w:pPr>
      <w:spacing w:after="120" w:line="480" w:lineRule="auto"/>
      <w:ind w:left="420" w:leftChars="200"/>
    </w:pPr>
    <w:rPr>
      <w:rFonts w:ascii="Calibri" w:hAnsi="Calibri" w:cs="Times New Roman"/>
    </w:rPr>
  </w:style>
  <w:style w:type="paragraph" w:styleId="14">
    <w:name w:val="footer"/>
    <w:basedOn w:val="1"/>
    <w:link w:val="41"/>
    <w:qFormat/>
    <w:uiPriority w:val="0"/>
    <w:pPr>
      <w:tabs>
        <w:tab w:val="center" w:pos="4153"/>
        <w:tab w:val="right" w:pos="8306"/>
      </w:tabs>
      <w:snapToGrid w:val="0"/>
      <w:jc w:val="left"/>
    </w:pPr>
    <w:rPr>
      <w:kern w:val="2"/>
      <w:sz w:val="18"/>
      <w:szCs w:val="18"/>
    </w:rPr>
  </w:style>
  <w:style w:type="paragraph" w:styleId="15">
    <w:name w:val="header"/>
    <w:basedOn w:val="1"/>
    <w:link w:val="42"/>
    <w:qFormat/>
    <w:uiPriority w:val="0"/>
    <w:pPr>
      <w:pBdr>
        <w:bottom w:val="single" w:color="auto" w:sz="6" w:space="1"/>
      </w:pBdr>
      <w:tabs>
        <w:tab w:val="center" w:pos="4153"/>
        <w:tab w:val="right" w:pos="8306"/>
      </w:tabs>
      <w:snapToGrid w:val="0"/>
      <w:jc w:val="center"/>
    </w:pPr>
    <w:rPr>
      <w:kern w:val="2"/>
      <w:sz w:val="18"/>
      <w:szCs w:val="18"/>
    </w:rPr>
  </w:style>
  <w:style w:type="paragraph" w:styleId="16">
    <w:name w:val="List Continue 4"/>
    <w:basedOn w:val="1"/>
    <w:next w:val="1"/>
    <w:qFormat/>
    <w:uiPriority w:val="0"/>
    <w:pPr>
      <w:widowControl w:val="0"/>
      <w:autoSpaceDE/>
      <w:autoSpaceDN/>
      <w:spacing w:before="0" w:after="120" w:line="360" w:lineRule="auto"/>
      <w:ind w:left="0" w:firstLine="480"/>
      <w:jc w:val="center"/>
    </w:pPr>
    <w:rPr>
      <w:rFonts w:ascii="宋体" w:hAnsi="宋体" w:eastAsia="宋体"/>
    </w:rPr>
  </w:style>
  <w:style w:type="paragraph" w:styleId="17">
    <w:name w:val="Normal (Web)"/>
    <w:basedOn w:val="1"/>
    <w:unhideWhenUsed/>
    <w:qFormat/>
    <w:uiPriority w:val="99"/>
    <w:pPr>
      <w:widowControl/>
      <w:spacing w:before="100" w:beforeLines="0" w:beforeAutospacing="1" w:after="100" w:afterLines="0" w:afterAutospacing="1" w:line="240" w:lineRule="auto"/>
      <w:jc w:val="left"/>
    </w:pPr>
    <w:rPr>
      <w:rFonts w:ascii="宋体" w:hAnsi="宋体" w:cs="宋体"/>
      <w:color w:val="000000"/>
      <w:kern w:val="0"/>
      <w:sz w:val="24"/>
    </w:rPr>
  </w:style>
  <w:style w:type="paragraph" w:styleId="18">
    <w:name w:val="Body Text First Indent 2"/>
    <w:basedOn w:val="1"/>
    <w:next w:val="11"/>
    <w:qFormat/>
    <w:uiPriority w:val="0"/>
    <w:pPr>
      <w:widowControl/>
      <w:adjustRightInd w:val="0"/>
      <w:snapToGrid w:val="0"/>
      <w:spacing w:after="0" w:line="300" w:lineRule="auto"/>
      <w:ind w:left="0" w:leftChars="0" w:firstLine="420" w:firstLineChars="200"/>
      <w:jc w:val="left"/>
    </w:pPr>
    <w:rPr>
      <w:sz w:val="28"/>
    </w:rPr>
  </w:style>
  <w:style w:type="table" w:styleId="20">
    <w:name w:val="Table Grid"/>
    <w:basedOn w:val="1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 Char Char Char Char Char2 Char"/>
    <w:basedOn w:val="1"/>
    <w:link w:val="21"/>
    <w:semiHidden/>
    <w:qFormat/>
    <w:uiPriority w:val="0"/>
    <w:pPr>
      <w:adjustRightInd w:val="0"/>
      <w:snapToGrid w:val="0"/>
      <w:spacing w:line="360" w:lineRule="auto"/>
      <w:ind w:firstLine="200" w:firstLineChars="200"/>
    </w:pPr>
    <w:rPr>
      <w:rFonts w:ascii="宋体" w:hAnsi="宋体" w:cs="宋体"/>
      <w:sz w:val="24"/>
      <w:szCs w:val="26"/>
    </w:rPr>
  </w:style>
  <w:style w:type="character" w:styleId="23">
    <w:name w:val="page number"/>
    <w:qFormat/>
    <w:uiPriority w:val="0"/>
  </w:style>
  <w:style w:type="paragraph" w:customStyle="1" w:styleId="24">
    <w:name w:val="新地勘正文 Char Char"/>
    <w:qFormat/>
    <w:uiPriority w:val="0"/>
    <w:pPr>
      <w:snapToGrid w:val="0"/>
      <w:spacing w:line="480" w:lineRule="atLeast"/>
      <w:ind w:firstLine="480" w:firstLineChars="200"/>
    </w:pPr>
    <w:rPr>
      <w:rFonts w:ascii="Times New Roman" w:hAnsi="Times New Roman" w:eastAsia="宋体" w:cs="Times New Roman"/>
      <w:sz w:val="24"/>
      <w:szCs w:val="22"/>
      <w:lang w:val="en-US" w:eastAsia="zh-CN" w:bidi="ar-SA"/>
    </w:rPr>
  </w:style>
  <w:style w:type="paragraph" w:customStyle="1" w:styleId="25">
    <w:name w:val="报告正文"/>
    <w:basedOn w:val="1"/>
    <w:link w:val="50"/>
    <w:qFormat/>
    <w:uiPriority w:val="0"/>
    <w:pPr>
      <w:adjustRightInd w:val="0"/>
      <w:snapToGrid w:val="0"/>
      <w:spacing w:line="300" w:lineRule="auto"/>
    </w:pPr>
    <w:rPr>
      <w:rFonts w:ascii="宋体"/>
      <w:sz w:val="28"/>
      <w:szCs w:val="20"/>
    </w:rPr>
  </w:style>
  <w:style w:type="paragraph" w:customStyle="1" w:styleId="26">
    <w:name w:val="别动"/>
    <w:basedOn w:val="27"/>
    <w:qFormat/>
    <w:uiPriority w:val="0"/>
    <w:pPr>
      <w:spacing w:line="340" w:lineRule="exact"/>
    </w:pPr>
    <w:rPr>
      <w:rFonts w:ascii="Times New Roman" w:hAnsi="Times New Roman" w:eastAsia="宋体"/>
      <w:b w:val="0"/>
      <w:sz w:val="21"/>
    </w:rPr>
  </w:style>
  <w:style w:type="paragraph" w:customStyle="1" w:styleId="27">
    <w:name w:val="表头"/>
    <w:basedOn w:val="1"/>
    <w:next w:val="26"/>
    <w:qFormat/>
    <w:uiPriority w:val="0"/>
    <w:pPr>
      <w:spacing w:line="240" w:lineRule="auto"/>
      <w:ind w:firstLine="0" w:firstLineChars="0"/>
      <w:jc w:val="center"/>
    </w:pPr>
    <w:rPr>
      <w:rFonts w:hint="eastAsia" w:cs="Times New Roman"/>
      <w:b/>
      <w:szCs w:val="20"/>
    </w:rPr>
  </w:style>
  <w:style w:type="paragraph" w:customStyle="1" w:styleId="28">
    <w:name w:val="Table Text"/>
    <w:basedOn w:val="1"/>
    <w:semiHidden/>
    <w:qFormat/>
    <w:uiPriority w:val="0"/>
    <w:rPr>
      <w:rFonts w:ascii="宋体" w:hAnsi="宋体" w:eastAsia="宋体" w:cs="宋体"/>
      <w:sz w:val="21"/>
      <w:szCs w:val="21"/>
      <w:lang w:val="en-US" w:eastAsia="en-US" w:bidi="ar-SA"/>
    </w:rPr>
  </w:style>
  <w:style w:type="paragraph" w:customStyle="1" w:styleId="29">
    <w:name w:val="二级标题 Char Char Char"/>
    <w:basedOn w:val="1"/>
    <w:next w:val="1"/>
    <w:qFormat/>
    <w:uiPriority w:val="0"/>
    <w:pPr>
      <w:spacing w:line="529" w:lineRule="exact"/>
      <w:ind w:firstLine="200" w:firstLineChars="200"/>
    </w:pPr>
    <w:rPr>
      <w:rFonts w:ascii="宋体" w:hAnsi="宋体" w:cs="宋体"/>
      <w:sz w:val="24"/>
    </w:rPr>
  </w:style>
  <w:style w:type="paragraph" w:customStyle="1" w:styleId="30">
    <w:name w:val="表格"/>
    <w:basedOn w:val="1"/>
    <w:qFormat/>
    <w:uiPriority w:val="0"/>
    <w:pPr>
      <w:adjustRightInd w:val="0"/>
      <w:jc w:val="left"/>
      <w:textAlignment w:val="baseline"/>
    </w:pPr>
    <w:rPr>
      <w:rFonts w:ascii="Times New Roman" w:hAnsi="Times New Roman"/>
      <w:kern w:val="0"/>
      <w:szCs w:val="20"/>
    </w:rPr>
  </w:style>
  <w:style w:type="paragraph" w:customStyle="1" w:styleId="31">
    <w:name w:val=" Char1"/>
    <w:basedOn w:val="1"/>
    <w:qFormat/>
    <w:uiPriority w:val="0"/>
    <w:rPr>
      <w:rFonts w:ascii="仿宋_GB2312" w:eastAsia="仿宋_GB2312"/>
      <w:b/>
      <w:sz w:val="32"/>
      <w:szCs w:val="32"/>
    </w:rPr>
  </w:style>
  <w:style w:type="paragraph" w:customStyle="1" w:styleId="32">
    <w:name w:val="_Style 10"/>
    <w:basedOn w:val="1"/>
    <w:next w:val="1"/>
    <w:qFormat/>
    <w:uiPriority w:val="0"/>
    <w:pPr>
      <w:spacing w:line="529" w:lineRule="exact"/>
      <w:ind w:firstLine="200" w:firstLineChars="200"/>
    </w:pPr>
    <w:rPr>
      <w:szCs w:val="20"/>
    </w:rPr>
  </w:style>
  <w:style w:type="paragraph" w:customStyle="1" w:styleId="33">
    <w:name w:val="xx正文"/>
    <w:basedOn w:val="1"/>
    <w:qFormat/>
    <w:uiPriority w:val="0"/>
    <w:pPr>
      <w:spacing w:line="360" w:lineRule="auto"/>
    </w:pPr>
    <w:rPr>
      <w:sz w:val="24"/>
      <w:szCs w:val="28"/>
    </w:rPr>
  </w:style>
  <w:style w:type="paragraph" w:customStyle="1" w:styleId="34">
    <w:name w:val="样式 无间隔表内文字 + 首行缩进:  0.99 厘米"/>
    <w:basedOn w:val="1"/>
    <w:qFormat/>
    <w:uiPriority w:val="0"/>
    <w:pPr>
      <w:adjustRightInd w:val="0"/>
      <w:snapToGrid w:val="0"/>
      <w:spacing w:line="360" w:lineRule="auto"/>
      <w:ind w:firstLine="200" w:firstLineChars="200"/>
      <w:jc w:val="center"/>
    </w:pPr>
    <w:rPr>
      <w:rFonts w:eastAsia="Times New Roman"/>
      <w:sz w:val="28"/>
      <w:szCs w:val="28"/>
      <w:lang w:bidi="en-US"/>
    </w:rPr>
  </w:style>
  <w:style w:type="paragraph" w:customStyle="1" w:styleId="35">
    <w:name w:val=" Char"/>
    <w:basedOn w:val="1"/>
    <w:next w:val="1"/>
    <w:qFormat/>
    <w:uiPriority w:val="0"/>
    <w:pPr>
      <w:spacing w:line="360" w:lineRule="auto"/>
      <w:ind w:firstLine="200" w:firstLineChars="200"/>
    </w:pPr>
    <w:rPr>
      <w:rFonts w:ascii="宋体" w:hAnsi="宋体" w:cs="宋体"/>
      <w:sz w:val="24"/>
    </w:rPr>
  </w:style>
  <w:style w:type="paragraph" w:customStyle="1" w:styleId="36">
    <w:name w:val="Default"/>
    <w:qFormat/>
    <w:uiPriority w:val="0"/>
    <w:pPr>
      <w:widowControl w:val="0"/>
      <w:autoSpaceDE w:val="0"/>
      <w:autoSpaceDN w:val="0"/>
      <w:adjustRightInd w:val="0"/>
    </w:pPr>
    <w:rPr>
      <w:rFonts w:ascii="宋体" w:hAnsi="宋体" w:eastAsia="宋体" w:cs="Times New Roman"/>
      <w:color w:val="000000"/>
      <w:sz w:val="24"/>
      <w:lang w:val="en-US" w:eastAsia="zh-CN" w:bidi="ar-SA"/>
    </w:rPr>
  </w:style>
  <w:style w:type="paragraph" w:styleId="37">
    <w:name w:val="List Paragraph"/>
    <w:basedOn w:val="1"/>
    <w:qFormat/>
    <w:uiPriority w:val="1"/>
    <w:pPr>
      <w:spacing w:before="2"/>
      <w:ind w:left="2261" w:hanging="602"/>
    </w:pPr>
    <w:rPr>
      <w:rFonts w:ascii="宋体" w:hAnsi="宋体" w:eastAsia="宋体" w:cs="宋体"/>
      <w:lang w:val="zh-CN" w:eastAsia="zh-CN" w:bidi="zh-CN"/>
    </w:rPr>
  </w:style>
  <w:style w:type="paragraph" w:customStyle="1" w:styleId="38">
    <w:name w:val="Table Paragraph"/>
    <w:basedOn w:val="1"/>
    <w:qFormat/>
    <w:uiPriority w:val="1"/>
    <w:rPr>
      <w:rFonts w:ascii="宋体" w:hAnsi="宋体" w:eastAsia="宋体" w:cs="宋体"/>
      <w:lang w:val="zh-CN" w:eastAsia="zh-CN" w:bidi="zh-CN"/>
    </w:rPr>
  </w:style>
  <w:style w:type="paragraph" w:customStyle="1" w:styleId="39">
    <w:name w:val="Char1"/>
    <w:basedOn w:val="1"/>
    <w:qFormat/>
    <w:uiPriority w:val="0"/>
  </w:style>
  <w:style w:type="paragraph" w:customStyle="1" w:styleId="40">
    <w:name w:val="p0"/>
    <w:basedOn w:val="1"/>
    <w:qFormat/>
    <w:uiPriority w:val="0"/>
    <w:pPr>
      <w:spacing w:line="365" w:lineRule="atLeast"/>
      <w:ind w:left="1"/>
      <w:jc w:val="both"/>
      <w:textAlignment w:val="bottom"/>
    </w:pPr>
    <w:rPr>
      <w:rFonts w:ascii="Times New Roman" w:hAnsi="Times New Roman" w:cs="Times New Roman"/>
      <w:szCs w:val="21"/>
    </w:rPr>
  </w:style>
  <w:style w:type="character" w:customStyle="1" w:styleId="41">
    <w:name w:val="页脚 Char"/>
    <w:link w:val="14"/>
    <w:qFormat/>
    <w:uiPriority w:val="0"/>
    <w:rPr>
      <w:kern w:val="2"/>
      <w:sz w:val="18"/>
      <w:szCs w:val="18"/>
    </w:rPr>
  </w:style>
  <w:style w:type="character" w:customStyle="1" w:styleId="42">
    <w:name w:val="页眉 Char"/>
    <w:link w:val="15"/>
    <w:qFormat/>
    <w:uiPriority w:val="0"/>
    <w:rPr>
      <w:kern w:val="2"/>
      <w:sz w:val="18"/>
      <w:szCs w:val="18"/>
    </w:rPr>
  </w:style>
  <w:style w:type="character" w:customStyle="1" w:styleId="43">
    <w:name w:val="font101"/>
    <w:qFormat/>
    <w:uiPriority w:val="0"/>
    <w:rPr>
      <w:rFonts w:hint="eastAsia" w:ascii="宋体" w:hAnsi="宋体" w:eastAsia="宋体" w:cs="宋体"/>
      <w:color w:val="000000"/>
      <w:sz w:val="21"/>
      <w:szCs w:val="21"/>
      <w:u w:val="none"/>
      <w:vertAlign w:val="superscript"/>
    </w:rPr>
  </w:style>
  <w:style w:type="character" w:customStyle="1" w:styleId="44">
    <w:name w:val="font61"/>
    <w:basedOn w:val="21"/>
    <w:qFormat/>
    <w:uiPriority w:val="0"/>
    <w:rPr>
      <w:rFonts w:hint="eastAsia" w:ascii="宋体" w:hAnsi="宋体" w:eastAsia="宋体" w:cs="宋体"/>
      <w:color w:val="000000"/>
      <w:sz w:val="21"/>
      <w:szCs w:val="21"/>
      <w:u w:val="none"/>
    </w:rPr>
  </w:style>
  <w:style w:type="character" w:customStyle="1" w:styleId="45">
    <w:name w:val="font112"/>
    <w:qFormat/>
    <w:uiPriority w:val="0"/>
    <w:rPr>
      <w:rFonts w:hint="eastAsia" w:ascii="宋体" w:hAnsi="宋体" w:eastAsia="宋体" w:cs="宋体"/>
      <w:color w:val="0066CC"/>
      <w:sz w:val="21"/>
      <w:szCs w:val="21"/>
      <w:u w:val="none"/>
      <w:vertAlign w:val="superscript"/>
    </w:rPr>
  </w:style>
  <w:style w:type="character" w:customStyle="1" w:styleId="46">
    <w:name w:val="font122"/>
    <w:qFormat/>
    <w:uiPriority w:val="0"/>
    <w:rPr>
      <w:rFonts w:hint="eastAsia" w:ascii="宋体" w:hAnsi="宋体" w:eastAsia="宋体" w:cs="宋体"/>
      <w:color w:val="0066CC"/>
      <w:sz w:val="21"/>
      <w:szCs w:val="21"/>
      <w:u w:val="none"/>
      <w:vertAlign w:val="superscript"/>
    </w:rPr>
  </w:style>
  <w:style w:type="character" w:customStyle="1" w:styleId="47">
    <w:name w:val="font01"/>
    <w:qFormat/>
    <w:uiPriority w:val="0"/>
    <w:rPr>
      <w:rFonts w:hint="eastAsia" w:ascii="宋体" w:hAnsi="宋体" w:eastAsia="宋体" w:cs="宋体"/>
      <w:color w:val="000000"/>
      <w:sz w:val="22"/>
      <w:szCs w:val="22"/>
      <w:u w:val="none"/>
      <w:vertAlign w:val="superscript"/>
    </w:rPr>
  </w:style>
  <w:style w:type="character" w:customStyle="1" w:styleId="48">
    <w:name w:val="font171"/>
    <w:basedOn w:val="21"/>
    <w:qFormat/>
    <w:uiPriority w:val="0"/>
    <w:rPr>
      <w:rFonts w:hint="eastAsia" w:ascii="宋体" w:hAnsi="宋体" w:eastAsia="宋体" w:cs="宋体"/>
      <w:color w:val="000000"/>
      <w:sz w:val="21"/>
      <w:szCs w:val="21"/>
      <w:u w:val="none"/>
      <w:vertAlign w:val="superscript"/>
    </w:rPr>
  </w:style>
  <w:style w:type="character" w:customStyle="1" w:styleId="49">
    <w:name w:val="font71"/>
    <w:basedOn w:val="21"/>
    <w:qFormat/>
    <w:uiPriority w:val="0"/>
    <w:rPr>
      <w:rFonts w:hint="eastAsia" w:ascii="宋体" w:hAnsi="宋体" w:eastAsia="宋体" w:cs="宋体"/>
      <w:color w:val="000000"/>
      <w:sz w:val="18"/>
      <w:szCs w:val="18"/>
      <w:u w:val="none"/>
      <w:vertAlign w:val="superscript"/>
    </w:rPr>
  </w:style>
  <w:style w:type="character" w:customStyle="1" w:styleId="50">
    <w:name w:val="报告正文 Char"/>
    <w:link w:val="25"/>
    <w:qFormat/>
    <w:uiPriority w:val="0"/>
    <w:rPr>
      <w:rFonts w:ascii="宋体"/>
      <w:sz w:val="28"/>
      <w:szCs w:val="20"/>
    </w:rPr>
  </w:style>
  <w:style w:type="character" w:customStyle="1" w:styleId="51">
    <w:name w:val="font191"/>
    <w:basedOn w:val="21"/>
    <w:qFormat/>
    <w:uiPriority w:val="0"/>
    <w:rPr>
      <w:rFonts w:hint="eastAsia" w:ascii="宋体" w:hAnsi="宋体" w:eastAsia="宋体" w:cs="宋体"/>
      <w:color w:val="000000"/>
      <w:sz w:val="21"/>
      <w:szCs w:val="21"/>
      <w:u w:val="none"/>
      <w:vertAlign w:val="superscript"/>
    </w:rPr>
  </w:style>
  <w:style w:type="character" w:customStyle="1" w:styleId="52">
    <w:name w:val="font31"/>
    <w:basedOn w:val="21"/>
    <w:qFormat/>
    <w:uiPriority w:val="0"/>
    <w:rPr>
      <w:rFonts w:hint="eastAsia" w:ascii="宋体" w:hAnsi="宋体" w:eastAsia="宋体" w:cs="宋体"/>
      <w:color w:val="000000"/>
      <w:sz w:val="22"/>
      <w:szCs w:val="22"/>
      <w:u w:val="none"/>
      <w:vertAlign w:val="superscript"/>
    </w:rPr>
  </w:style>
  <w:style w:type="character" w:customStyle="1" w:styleId="53">
    <w:name w:val="font4"/>
    <w:qFormat/>
    <w:uiPriority w:val="0"/>
  </w:style>
  <w:style w:type="character" w:customStyle="1" w:styleId="54">
    <w:name w:val="font12"/>
    <w:qFormat/>
    <w:uiPriority w:val="0"/>
    <w:rPr>
      <w:rFonts w:hint="eastAsia" w:ascii="宋体" w:hAnsi="宋体" w:eastAsia="宋体" w:cs="宋体"/>
      <w:color w:val="000000"/>
      <w:sz w:val="21"/>
      <w:szCs w:val="21"/>
      <w:u w:val="none"/>
    </w:rPr>
  </w:style>
  <w:style w:type="character" w:customStyle="1" w:styleId="55">
    <w:name w:val="font81"/>
    <w:qFormat/>
    <w:uiPriority w:val="0"/>
    <w:rPr>
      <w:rFonts w:hint="default" w:ascii="Times New Roman" w:hAnsi="Times New Roman" w:cs="Times New Roman"/>
      <w:color w:val="000000"/>
      <w:sz w:val="21"/>
      <w:szCs w:val="21"/>
      <w:u w:val="none"/>
      <w:vertAlign w:val="superscript"/>
    </w:rPr>
  </w:style>
  <w:style w:type="character" w:customStyle="1" w:styleId="56">
    <w:name w:val="font131"/>
    <w:qFormat/>
    <w:uiPriority w:val="0"/>
    <w:rPr>
      <w:rFonts w:hint="default" w:ascii="Times New Roman" w:hAnsi="Times New Roman" w:cs="Times New Roman"/>
      <w:color w:val="000000"/>
      <w:sz w:val="21"/>
      <w:szCs w:val="21"/>
      <w:u w:val="none"/>
      <w:vertAlign w:val="superscript"/>
    </w:rPr>
  </w:style>
  <w:style w:type="character" w:customStyle="1" w:styleId="57">
    <w:name w:val="font91"/>
    <w:qFormat/>
    <w:uiPriority w:val="0"/>
    <w:rPr>
      <w:rFonts w:hint="default" w:ascii="Times New Roman" w:hAnsi="Times New Roman" w:cs="Times New Roman"/>
      <w:color w:val="000000"/>
      <w:sz w:val="21"/>
      <w:szCs w:val="21"/>
      <w:u w:val="none"/>
    </w:rPr>
  </w:style>
  <w:style w:type="character" w:customStyle="1" w:styleId="58">
    <w:name w:val="font51"/>
    <w:basedOn w:val="21"/>
    <w:qFormat/>
    <w:uiPriority w:val="0"/>
    <w:rPr>
      <w:rFonts w:hint="eastAsia" w:ascii="宋体" w:hAnsi="宋体" w:eastAsia="宋体" w:cs="宋体"/>
      <w:color w:val="000000"/>
      <w:sz w:val="22"/>
      <w:szCs w:val="22"/>
      <w:u w:val="none"/>
      <w:vertAlign w:val="superscript"/>
    </w:rPr>
  </w:style>
  <w:style w:type="character" w:customStyle="1" w:styleId="59">
    <w:name w:val="font41"/>
    <w:basedOn w:val="21"/>
    <w:qFormat/>
    <w:uiPriority w:val="0"/>
    <w:rPr>
      <w:rFonts w:hint="eastAsia" w:ascii="宋体" w:hAnsi="宋体" w:eastAsia="宋体" w:cs="宋体"/>
      <w:color w:val="000000"/>
      <w:sz w:val="22"/>
      <w:szCs w:val="22"/>
      <w:u w:val="none"/>
      <w:vertAlign w:val="superscript"/>
    </w:rPr>
  </w:style>
  <w:style w:type="character" w:customStyle="1" w:styleId="60">
    <w:name w:val="font151"/>
    <w:basedOn w:val="21"/>
    <w:qFormat/>
    <w:uiPriority w:val="0"/>
    <w:rPr>
      <w:rFonts w:hint="default" w:ascii="Times New Roman" w:hAnsi="Times New Roman" w:cs="Times New Roman"/>
      <w:color w:val="000000"/>
      <w:sz w:val="21"/>
      <w:szCs w:val="21"/>
      <w:u w:val="none"/>
      <w:vertAlign w:val="superscript"/>
    </w:rPr>
  </w:style>
  <w:style w:type="character" w:customStyle="1" w:styleId="61">
    <w:name w:val="font121"/>
    <w:basedOn w:val="21"/>
    <w:qFormat/>
    <w:uiPriority w:val="0"/>
    <w:rPr>
      <w:rFonts w:hint="eastAsia" w:ascii="宋体" w:hAnsi="宋体" w:eastAsia="宋体" w:cs="宋体"/>
      <w:color w:val="0066CC"/>
      <w:sz w:val="21"/>
      <w:szCs w:val="21"/>
      <w:u w:val="none"/>
      <w:vertAlign w:val="superscript"/>
    </w:rPr>
  </w:style>
  <w:style w:type="character" w:customStyle="1" w:styleId="62">
    <w:name w:val="font211"/>
    <w:basedOn w:val="21"/>
    <w:qFormat/>
    <w:uiPriority w:val="0"/>
    <w:rPr>
      <w:rFonts w:hint="eastAsia" w:ascii="宋体" w:hAnsi="宋体" w:eastAsia="宋体" w:cs="宋体"/>
      <w:color w:val="666699"/>
      <w:sz w:val="21"/>
      <w:szCs w:val="21"/>
      <w:u w:val="none"/>
      <w:vertAlign w:val="superscript"/>
    </w:rPr>
  </w:style>
  <w:style w:type="character" w:customStyle="1" w:styleId="63">
    <w:name w:val="font201"/>
    <w:basedOn w:val="21"/>
    <w:qFormat/>
    <w:uiPriority w:val="0"/>
    <w:rPr>
      <w:rFonts w:hint="eastAsia" w:ascii="宋体" w:hAnsi="宋体" w:eastAsia="宋体" w:cs="宋体"/>
      <w:color w:val="000000"/>
      <w:sz w:val="21"/>
      <w:szCs w:val="21"/>
      <w:u w:val="none"/>
      <w:vertAlign w:val="superscript"/>
    </w:rPr>
  </w:style>
  <w:style w:type="character" w:customStyle="1" w:styleId="64">
    <w:name w:val="font141"/>
    <w:basedOn w:val="21"/>
    <w:qFormat/>
    <w:uiPriority w:val="0"/>
    <w:rPr>
      <w:rFonts w:hint="eastAsia" w:ascii="宋体" w:hAnsi="宋体" w:eastAsia="宋体" w:cs="宋体"/>
      <w:color w:val="000000"/>
      <w:sz w:val="21"/>
      <w:szCs w:val="21"/>
      <w:u w:val="none"/>
      <w:vertAlign w:val="superscript"/>
    </w:rPr>
  </w:style>
  <w:style w:type="character" w:customStyle="1" w:styleId="65">
    <w:name w:val="font11"/>
    <w:basedOn w:val="21"/>
    <w:qFormat/>
    <w:uiPriority w:val="0"/>
    <w:rPr>
      <w:rFonts w:hint="eastAsia" w:ascii="宋体" w:hAnsi="宋体" w:eastAsia="宋体" w:cs="宋体"/>
      <w:color w:val="000000"/>
      <w:sz w:val="11"/>
      <w:szCs w:val="11"/>
      <w:u w:val="none"/>
    </w:rPr>
  </w:style>
  <w:style w:type="character" w:customStyle="1" w:styleId="66">
    <w:name w:val="font161"/>
    <w:basedOn w:val="21"/>
    <w:qFormat/>
    <w:uiPriority w:val="0"/>
    <w:rPr>
      <w:rFonts w:hint="eastAsia" w:ascii="宋体" w:hAnsi="宋体" w:eastAsia="宋体" w:cs="宋体"/>
      <w:color w:val="000000"/>
      <w:sz w:val="21"/>
      <w:szCs w:val="21"/>
      <w:u w:val="none"/>
      <w:vertAlign w:val="superscript"/>
    </w:rPr>
  </w:style>
  <w:style w:type="character" w:customStyle="1" w:styleId="67">
    <w:name w:val="font21"/>
    <w:basedOn w:val="21"/>
    <w:qFormat/>
    <w:uiPriority w:val="0"/>
    <w:rPr>
      <w:rFonts w:hint="eastAsia" w:ascii="宋体" w:hAnsi="宋体" w:eastAsia="宋体" w:cs="宋体"/>
      <w:color w:val="000000"/>
      <w:sz w:val="22"/>
      <w:szCs w:val="22"/>
      <w:u w:val="none"/>
      <w:vertAlign w:val="superscript"/>
    </w:rPr>
  </w:style>
  <w:style w:type="character" w:customStyle="1" w:styleId="68">
    <w:name w:val="font181"/>
    <w:basedOn w:val="21"/>
    <w:qFormat/>
    <w:uiPriority w:val="0"/>
    <w:rPr>
      <w:rFonts w:hint="eastAsia" w:ascii="宋体" w:hAnsi="宋体" w:eastAsia="宋体" w:cs="宋体"/>
      <w:color w:val="0066CC"/>
      <w:sz w:val="21"/>
      <w:szCs w:val="21"/>
      <w:u w:val="none"/>
      <w:vertAlign w:val="superscript"/>
    </w:rPr>
  </w:style>
  <w:style w:type="table" w:customStyle="1" w:styleId="69">
    <w:name w:val="网格型1"/>
    <w:qFormat/>
    <w:uiPriority w:val="39"/>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
    <w:name w:val="Table Normal"/>
    <w:unhideWhenUsed/>
    <w:qFormat/>
    <w:uiPriority w:val="0"/>
    <w:rPr>
      <w:lang w:val="en-US" w:eastAsia="zh-CN"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微软系统</Company>
  <Pages>35</Pages>
  <Words>578</Words>
  <Characters>645</Characters>
  <Lines>228</Lines>
  <Paragraphs>64</Paragraphs>
  <TotalTime>54</TotalTime>
  <ScaleCrop>false</ScaleCrop>
  <LinksUpToDate>false</LinksUpToDate>
  <CharactersWithSpaces>645</CharactersWithSpaces>
  <Application>WPS Office_12.8.2.18913_F1E327BC-269C-435d-A152-05C5408002CA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2012-11-18T03:08:00Z</dcterms:created>
  <dc:creator>微软用户</dc:creator>
  <cp:lastModifiedBy>Z</cp:lastModifiedBy>
  <cp:lastPrinted>2024-03-05T07:37:00Z</cp:lastPrinted>
  <dcterms:modified xsi:type="dcterms:W3CDTF">2025-02-10T04:06:18Z</dcterms:modified>
  <dc:title>土地复垦方案报告表</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7E533FE043FC4BBB9701F21736B573FC</vt:lpwstr>
  </property>
  <property fmtid="{D5CDD505-2E9C-101B-9397-08002B2CF9AE}" pid="4" name="KSOTemplateDocerSaveRecord">
    <vt:lpwstr>eyJoZGlkIjoiOTZhNTE0MWQ5YzRiZjY0ZTY0ZGRmNzQwOGI5NTZkZjEiLCJ1c2VySWQiOiI1MzA2NTM4OTQifQ==</vt:lpwstr>
  </property>
</Properties>
</file>