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FD603">
      <w:pPr>
        <w:tabs>
          <w:tab w:val="right" w:leader="dot" w:pos="9060"/>
        </w:tabs>
        <w:spacing w:before="120" w:after="120" w:line="360" w:lineRule="auto"/>
        <w:ind w:firstLine="480" w:firstLineChars="200"/>
        <w:jc w:val="left"/>
        <w:rPr>
          <w:rFonts w:ascii="Times New Roman" w:hAnsi="Times New Roman" w:eastAsia="黑体" w:cs="Times New Roman"/>
          <w:bCs/>
          <w:caps/>
          <w:color w:val="000000"/>
          <w:sz w:val="24"/>
          <w:szCs w:val="20"/>
        </w:rPr>
      </w:pPr>
    </w:p>
    <w:p w14:paraId="3B3D7F49">
      <w:pPr>
        <w:spacing w:line="360" w:lineRule="auto"/>
        <w:ind w:firstLine="1044" w:firstLineChars="200"/>
        <w:rPr>
          <w:rFonts w:ascii="Times New Roman" w:hAnsi="Times New Roman" w:eastAsia="黑体" w:cs="Times New Roman"/>
          <w:b/>
          <w:color w:val="000000"/>
          <w:sz w:val="52"/>
          <w:szCs w:val="52"/>
        </w:rPr>
      </w:pPr>
    </w:p>
    <w:p w14:paraId="79534579">
      <w:pPr>
        <w:spacing w:line="360" w:lineRule="auto"/>
        <w:ind w:left="0" w:leftChars="0" w:firstLine="0" w:firstLineChars="0"/>
        <w:jc w:val="center"/>
        <w:rPr>
          <w:rFonts w:hint="eastAsia" w:eastAsia="黑体" w:cs="Times New Roman"/>
          <w:color w:val="000000"/>
          <w:spacing w:val="-10"/>
          <w:sz w:val="44"/>
          <w:szCs w:val="44"/>
          <w:lang w:eastAsia="zh-CN"/>
        </w:rPr>
      </w:pPr>
      <w:r>
        <w:rPr>
          <w:rFonts w:hint="eastAsia" w:eastAsia="黑体" w:cs="Times New Roman"/>
          <w:color w:val="000000"/>
          <w:spacing w:val="-10"/>
          <w:sz w:val="44"/>
          <w:szCs w:val="44"/>
          <w:lang w:eastAsia="zh-CN"/>
        </w:rPr>
        <w:t>中国石油吐哈油田三塘湖采油管理区马T101H</w:t>
      </w:r>
    </w:p>
    <w:p w14:paraId="66CA3B2E">
      <w:pPr>
        <w:spacing w:line="360" w:lineRule="auto"/>
        <w:ind w:left="0" w:leftChars="0" w:firstLine="0" w:firstLineChars="0"/>
        <w:jc w:val="center"/>
        <w:rPr>
          <w:rFonts w:hint="eastAsia" w:eastAsia="黑体" w:cs="Times New Roman"/>
          <w:color w:val="000000"/>
          <w:spacing w:val="-10"/>
          <w:sz w:val="44"/>
          <w:szCs w:val="44"/>
          <w:lang w:eastAsia="zh-CN"/>
        </w:rPr>
      </w:pPr>
      <w:r>
        <w:rPr>
          <w:rFonts w:hint="eastAsia" w:eastAsia="黑体" w:cs="Times New Roman"/>
          <w:color w:val="000000"/>
          <w:spacing w:val="-10"/>
          <w:sz w:val="44"/>
          <w:szCs w:val="44"/>
          <w:lang w:eastAsia="zh-CN"/>
        </w:rPr>
        <w:t>井场等两口井压裂施工项目临时用地</w:t>
      </w:r>
    </w:p>
    <w:p w14:paraId="2296135C">
      <w:pPr>
        <w:spacing w:line="360" w:lineRule="auto"/>
        <w:ind w:left="0" w:leftChars="0" w:firstLine="0" w:firstLineChars="0"/>
        <w:jc w:val="center"/>
        <w:rPr>
          <w:rFonts w:ascii="Times New Roman" w:hAnsi="Times New Roman" w:eastAsia="黑体" w:cs="Times New Roman"/>
          <w:color w:val="000000"/>
          <w:spacing w:val="-10"/>
          <w:sz w:val="44"/>
          <w:szCs w:val="44"/>
        </w:rPr>
      </w:pPr>
      <w:r>
        <w:rPr>
          <w:rFonts w:hint="eastAsia" w:ascii="Times New Roman" w:hAnsi="Times New Roman" w:eastAsia="黑体" w:cs="Times New Roman"/>
          <w:color w:val="000000"/>
          <w:spacing w:val="-10"/>
          <w:sz w:val="44"/>
          <w:szCs w:val="44"/>
        </w:rPr>
        <w:t>土地复垦方案报告书</w:t>
      </w:r>
    </w:p>
    <w:p w14:paraId="1B749AA4">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rPr>
      </w:pPr>
    </w:p>
    <w:p w14:paraId="6981DDC1">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rPr>
      </w:pPr>
    </w:p>
    <w:p w14:paraId="27011FE8">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36AB970B">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3479025C">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6083082E">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227DF069">
      <w:pPr>
        <w:pStyle w:val="34"/>
        <w:rPr>
          <w:lang w:val="zh-CN"/>
        </w:rPr>
      </w:pPr>
    </w:p>
    <w:p w14:paraId="3520FA56">
      <w:pPr>
        <w:pStyle w:val="34"/>
        <w:rPr>
          <w:lang w:val="zh-CN"/>
        </w:rPr>
      </w:pPr>
    </w:p>
    <w:p w14:paraId="71117EAB">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5729DB0D">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66C2ACB9">
      <w:pPr>
        <w:autoSpaceDE w:val="0"/>
        <w:autoSpaceDN w:val="0"/>
        <w:adjustRightInd w:val="0"/>
        <w:spacing w:line="360" w:lineRule="auto"/>
        <w:ind w:left="1440" w:leftChars="600" w:firstLine="569" w:firstLineChars="189"/>
        <w:rPr>
          <w:rFonts w:ascii="Times New Roman" w:hAnsi="Times New Roman" w:eastAsia="黑体" w:cs="Times New Roman"/>
          <w:b/>
          <w:color w:val="000000"/>
          <w:sz w:val="30"/>
          <w:szCs w:val="30"/>
          <w:lang w:val="zh-CN"/>
        </w:rPr>
      </w:pPr>
    </w:p>
    <w:p w14:paraId="62B38EDD">
      <w:pPr>
        <w:spacing w:line="360" w:lineRule="auto"/>
        <w:ind w:left="142" w:leftChars="59" w:firstLine="450" w:firstLineChars="150"/>
        <w:jc w:val="left"/>
        <w:rPr>
          <w:rFonts w:hint="eastAsia" w:ascii="Times New Roman" w:hAnsi="Times New Roman" w:eastAsia="黑体" w:cs="Times New Roman"/>
          <w:color w:val="000000"/>
          <w:sz w:val="30"/>
          <w:szCs w:val="30"/>
          <w:lang w:eastAsia="zh-CN"/>
        </w:rPr>
      </w:pPr>
      <w:r>
        <w:rPr>
          <w:rFonts w:hint="eastAsia" w:ascii="Times New Roman" w:hAnsi="Times New Roman" w:eastAsia="黑体" w:cs="Times New Roman"/>
          <w:color w:val="000000"/>
          <w:sz w:val="30"/>
          <w:szCs w:val="30"/>
          <w:lang w:eastAsia="zh-CN"/>
        </w:rPr>
        <w:drawing>
          <wp:anchor distT="0" distB="0" distL="114300" distR="114300" simplePos="0" relativeHeight="251659264" behindDoc="1" locked="0" layoutInCell="1" allowOverlap="1">
            <wp:simplePos x="0" y="0"/>
            <wp:positionH relativeFrom="column">
              <wp:posOffset>2360930</wp:posOffset>
            </wp:positionH>
            <wp:positionV relativeFrom="paragraph">
              <wp:posOffset>2540</wp:posOffset>
            </wp:positionV>
            <wp:extent cx="1929130" cy="1649730"/>
            <wp:effectExtent l="0" t="0" r="0" b="6985"/>
            <wp:wrapNone/>
            <wp:docPr id="7" name="图片 7" descr="优普科技电子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优普科技电子章"/>
                    <pic:cNvPicPr>
                      <a:picLocks noChangeAspect="1"/>
                    </pic:cNvPicPr>
                  </pic:nvPicPr>
                  <pic:blipFill>
                    <a:blip r:embed="rId23"/>
                    <a:stretch>
                      <a:fillRect/>
                    </a:stretch>
                  </pic:blipFill>
                  <pic:spPr>
                    <a:xfrm>
                      <a:off x="0" y="0"/>
                      <a:ext cx="1929130" cy="1649730"/>
                    </a:xfrm>
                    <a:prstGeom prst="rect">
                      <a:avLst/>
                    </a:prstGeom>
                  </pic:spPr>
                </pic:pic>
              </a:graphicData>
            </a:graphic>
          </wp:anchor>
        </w:drawing>
      </w:r>
      <w:r>
        <w:rPr>
          <w:rFonts w:ascii="Times New Roman" w:hAnsi="Times New Roman" w:eastAsia="黑体" w:cs="Times New Roman"/>
          <w:color w:val="000000"/>
          <w:sz w:val="30"/>
          <w:szCs w:val="30"/>
        </w:rPr>
        <w:t>项目单位：</w:t>
      </w:r>
      <w:r>
        <w:rPr>
          <w:rFonts w:hint="eastAsia" w:eastAsia="黑体" w:cs="Times New Roman"/>
          <w:color w:val="000000"/>
          <w:sz w:val="30"/>
          <w:szCs w:val="30"/>
          <w:lang w:eastAsia="zh-CN"/>
        </w:rPr>
        <w:t>中石油吐哈油田分公司三塘湖采油管理区</w:t>
      </w:r>
    </w:p>
    <w:p w14:paraId="3DD1811F">
      <w:pPr>
        <w:spacing w:line="360" w:lineRule="auto"/>
        <w:ind w:left="142" w:leftChars="59" w:firstLine="450" w:firstLineChars="150"/>
        <w:jc w:val="left"/>
        <w:rPr>
          <w:rFonts w:hint="eastAsia" w:ascii="Times New Roman" w:hAnsi="Times New Roman" w:eastAsia="黑体" w:cs="Times New Roman"/>
          <w:color w:val="000000"/>
          <w:sz w:val="30"/>
          <w:szCs w:val="30"/>
          <w:lang w:eastAsia="zh-CN"/>
        </w:rPr>
      </w:pPr>
      <w:r>
        <w:rPr>
          <w:rFonts w:ascii="Times New Roman" w:hAnsi="Times New Roman" w:eastAsia="黑体" w:cs="Times New Roman"/>
          <w:color w:val="000000"/>
          <w:sz w:val="30"/>
          <w:szCs w:val="30"/>
        </w:rPr>
        <w:t>编制单位：</w:t>
      </w:r>
      <w:r>
        <w:rPr>
          <w:rFonts w:hint="eastAsia" w:ascii="Times New Roman" w:hAnsi="Times New Roman" w:eastAsia="黑体" w:cs="Times New Roman"/>
          <w:color w:val="000000"/>
          <w:sz w:val="30"/>
          <w:szCs w:val="30"/>
          <w:lang w:eastAsia="zh-CN"/>
        </w:rPr>
        <w:t>优普科技集团有限公司新疆分公司</w:t>
      </w:r>
    </w:p>
    <w:p w14:paraId="1B4D2942">
      <w:pPr>
        <w:spacing w:line="360" w:lineRule="auto"/>
        <w:ind w:left="142" w:leftChars="59" w:firstLine="450" w:firstLineChars="150"/>
        <w:jc w:val="left"/>
        <w:rPr>
          <w:rFonts w:hint="eastAsia" w:ascii="Times New Roman" w:hAnsi="Times New Roman" w:eastAsia="黑体" w:cs="Times New Roman"/>
          <w:color w:val="000000"/>
          <w:spacing w:val="40"/>
          <w:sz w:val="30"/>
          <w:szCs w:val="30"/>
          <w:lang w:eastAsia="zh-CN"/>
        </w:rPr>
      </w:pPr>
      <w:r>
        <w:rPr>
          <w:rFonts w:ascii="Times New Roman" w:hAnsi="Times New Roman" w:eastAsia="黑体" w:cs="Times New Roman"/>
          <w:color w:val="000000"/>
          <w:sz w:val="30"/>
          <w:szCs w:val="30"/>
        </w:rPr>
        <w:t>编制日期：</w:t>
      </w:r>
      <w:r>
        <w:rPr>
          <w:rFonts w:hint="eastAsia" w:ascii="Times New Roman" w:hAnsi="Times New Roman" w:eastAsia="黑体" w:cs="Times New Roman"/>
          <w:color w:val="000000"/>
          <w:sz w:val="30"/>
          <w:szCs w:val="30"/>
          <w:lang w:eastAsia="zh-CN"/>
        </w:rPr>
        <w:t>202</w:t>
      </w:r>
      <w:r>
        <w:rPr>
          <w:rFonts w:hint="eastAsia" w:eastAsia="黑体" w:cs="Times New Roman"/>
          <w:color w:val="000000"/>
          <w:sz w:val="30"/>
          <w:szCs w:val="30"/>
          <w:lang w:val="en-US" w:eastAsia="zh-CN"/>
        </w:rPr>
        <w:t>5</w:t>
      </w:r>
      <w:r>
        <w:rPr>
          <w:rFonts w:hint="eastAsia" w:ascii="Times New Roman" w:hAnsi="Times New Roman" w:eastAsia="黑体" w:cs="Times New Roman"/>
          <w:color w:val="000000"/>
          <w:sz w:val="30"/>
          <w:szCs w:val="30"/>
          <w:lang w:eastAsia="zh-CN"/>
        </w:rPr>
        <w:t>年</w:t>
      </w:r>
      <w:r>
        <w:rPr>
          <w:rFonts w:hint="eastAsia" w:eastAsia="黑体" w:cs="Times New Roman"/>
          <w:color w:val="000000"/>
          <w:sz w:val="30"/>
          <w:szCs w:val="30"/>
          <w:lang w:val="en-US" w:eastAsia="zh-CN"/>
        </w:rPr>
        <w:t>1</w:t>
      </w:r>
      <w:r>
        <w:rPr>
          <w:rFonts w:hint="eastAsia" w:ascii="Times New Roman" w:hAnsi="Times New Roman" w:eastAsia="黑体" w:cs="Times New Roman"/>
          <w:color w:val="000000"/>
          <w:sz w:val="30"/>
          <w:szCs w:val="30"/>
          <w:lang w:eastAsia="zh-CN"/>
        </w:rPr>
        <w:t>月</w:t>
      </w:r>
    </w:p>
    <w:p w14:paraId="09FC94EE">
      <w:pPr>
        <w:spacing w:line="360" w:lineRule="auto"/>
        <w:ind w:firstLine="760" w:firstLineChars="200"/>
        <w:jc w:val="left"/>
        <w:rPr>
          <w:rFonts w:ascii="Times New Roman" w:hAnsi="Times New Roman" w:eastAsia="黑体" w:cs="Times New Roman"/>
          <w:color w:val="000000"/>
          <w:spacing w:val="40"/>
          <w:sz w:val="30"/>
          <w:szCs w:val="30"/>
        </w:rPr>
      </w:pPr>
    </w:p>
    <w:p w14:paraId="23AA5CA7">
      <w:pPr>
        <w:spacing w:line="360" w:lineRule="auto"/>
        <w:ind w:firstLine="760" w:firstLineChars="200"/>
        <w:jc w:val="left"/>
        <w:rPr>
          <w:rFonts w:ascii="Times New Roman" w:hAnsi="Times New Roman" w:eastAsia="黑体" w:cs="Times New Roman"/>
          <w:color w:val="000000"/>
          <w:spacing w:val="40"/>
          <w:sz w:val="30"/>
          <w:szCs w:val="30"/>
        </w:rPr>
      </w:pPr>
    </w:p>
    <w:p w14:paraId="11BF7020">
      <w:pPr>
        <w:spacing w:before="120" w:beforeLines="50" w:after="120" w:afterLines="50" w:line="360" w:lineRule="auto"/>
        <w:ind w:firstLine="560" w:firstLineChars="200"/>
        <w:rPr>
          <w:rFonts w:ascii="Times New Roman" w:hAnsi="Times New Roman" w:eastAsia="仿宋_GB2312" w:cs="Times New Roman"/>
          <w:color w:val="000000"/>
          <w:sz w:val="28"/>
          <w:szCs w:val="28"/>
        </w:rPr>
      </w:pPr>
    </w:p>
    <w:p w14:paraId="123CCF30">
      <w:pPr>
        <w:pStyle w:val="34"/>
      </w:pPr>
    </w:p>
    <w:p w14:paraId="0F0AC11E">
      <w:pPr>
        <w:spacing w:line="360" w:lineRule="auto"/>
        <w:jc w:val="center"/>
        <w:rPr>
          <w:rFonts w:ascii="Times New Roman" w:hAnsi="Times New Roman" w:eastAsia="仿宋_GB2312" w:cs="Times New Roman"/>
          <w:b/>
          <w:bCs/>
          <w:color w:val="000000"/>
          <w:spacing w:val="-20"/>
          <w:kern w:val="52"/>
          <w:sz w:val="44"/>
          <w:szCs w:val="44"/>
        </w:rPr>
      </w:pPr>
    </w:p>
    <w:p w14:paraId="0E44F38B">
      <w:pPr>
        <w:spacing w:line="360" w:lineRule="auto"/>
        <w:jc w:val="center"/>
        <w:rPr>
          <w:rFonts w:ascii="Times New Roman" w:hAnsi="Times New Roman" w:eastAsia="仿宋_GB2312" w:cs="Times New Roman"/>
          <w:b/>
          <w:bCs/>
          <w:color w:val="000000"/>
          <w:spacing w:val="-20"/>
          <w:kern w:val="52"/>
          <w:sz w:val="44"/>
          <w:szCs w:val="44"/>
        </w:rPr>
      </w:pPr>
    </w:p>
    <w:p w14:paraId="565F8A0E">
      <w:pPr>
        <w:spacing w:line="360" w:lineRule="auto"/>
        <w:ind w:left="0" w:leftChars="0" w:firstLine="0" w:firstLineChars="0"/>
        <w:jc w:val="center"/>
        <w:rPr>
          <w:rFonts w:hint="eastAsia" w:cs="Times New Roman"/>
          <w:b/>
          <w:bCs/>
          <w:color w:val="000000"/>
          <w:spacing w:val="-20"/>
          <w:kern w:val="52"/>
          <w:sz w:val="44"/>
          <w:szCs w:val="44"/>
          <w:lang w:eastAsia="zh-CN"/>
        </w:rPr>
      </w:pPr>
      <w:r>
        <w:rPr>
          <w:rFonts w:hint="eastAsia" w:cs="Times New Roman"/>
          <w:b/>
          <w:bCs/>
          <w:color w:val="000000"/>
          <w:spacing w:val="-20"/>
          <w:kern w:val="52"/>
          <w:sz w:val="44"/>
          <w:szCs w:val="44"/>
          <w:lang w:eastAsia="zh-CN"/>
        </w:rPr>
        <w:t>中国石油吐哈油田三塘湖采油管理区马T101H</w:t>
      </w:r>
    </w:p>
    <w:p w14:paraId="1476F447">
      <w:pPr>
        <w:spacing w:line="360" w:lineRule="auto"/>
        <w:ind w:left="0" w:leftChars="0" w:firstLine="0" w:firstLineChars="0"/>
        <w:jc w:val="center"/>
        <w:rPr>
          <w:rFonts w:hint="eastAsia" w:cs="Times New Roman"/>
          <w:b/>
          <w:bCs/>
          <w:color w:val="000000"/>
          <w:spacing w:val="-20"/>
          <w:kern w:val="52"/>
          <w:sz w:val="44"/>
          <w:szCs w:val="44"/>
          <w:lang w:eastAsia="zh-CN"/>
        </w:rPr>
      </w:pPr>
      <w:r>
        <w:rPr>
          <w:rFonts w:hint="eastAsia" w:cs="Times New Roman"/>
          <w:b/>
          <w:bCs/>
          <w:color w:val="000000"/>
          <w:spacing w:val="-20"/>
          <w:kern w:val="52"/>
          <w:sz w:val="44"/>
          <w:szCs w:val="44"/>
          <w:lang w:eastAsia="zh-CN"/>
        </w:rPr>
        <w:t>井场等两口井压裂施工项目临时用地</w:t>
      </w:r>
    </w:p>
    <w:p w14:paraId="26844767">
      <w:pPr>
        <w:spacing w:line="360" w:lineRule="auto"/>
        <w:ind w:left="0" w:leftChars="0" w:firstLine="0" w:firstLineChars="0"/>
        <w:jc w:val="center"/>
        <w:rPr>
          <w:rFonts w:ascii="Times New Roman" w:hAnsi="Times New Roman" w:eastAsia="仿宋_GB2312" w:cs="Times New Roman"/>
          <w:b/>
          <w:bCs/>
          <w:color w:val="000000"/>
          <w:spacing w:val="-20"/>
          <w:kern w:val="52"/>
          <w:sz w:val="44"/>
          <w:szCs w:val="44"/>
        </w:rPr>
      </w:pPr>
      <w:r>
        <w:rPr>
          <w:rFonts w:hint="eastAsia" w:ascii="Times New Roman" w:hAnsi="Times New Roman" w:eastAsia="仿宋_GB2312" w:cs="Times New Roman"/>
          <w:b/>
          <w:bCs/>
          <w:color w:val="000000"/>
          <w:spacing w:val="-20"/>
          <w:kern w:val="52"/>
          <w:sz w:val="44"/>
          <w:szCs w:val="44"/>
          <w:lang w:eastAsia="zh-CN"/>
        </w:rPr>
        <w:t>土地复垦方案报告书</w:t>
      </w:r>
    </w:p>
    <w:p w14:paraId="1665FD7B">
      <w:pPr>
        <w:autoSpaceDE w:val="0"/>
        <w:autoSpaceDN w:val="0"/>
        <w:adjustRightInd w:val="0"/>
        <w:ind w:left="-1416" w:leftChars="-590"/>
        <w:jc w:val="center"/>
        <w:rPr>
          <w:rFonts w:ascii="Times New Roman" w:hAnsi="Times New Roman" w:eastAsia="仿宋_GB2312" w:cs="Times New Roman"/>
          <w:b/>
          <w:bCs/>
          <w:color w:val="000000"/>
          <w:sz w:val="52"/>
          <w:szCs w:val="52"/>
        </w:rPr>
      </w:pPr>
    </w:p>
    <w:p w14:paraId="2685A932">
      <w:pPr>
        <w:autoSpaceDE w:val="0"/>
        <w:autoSpaceDN w:val="0"/>
        <w:adjustRightInd w:val="0"/>
        <w:spacing w:line="600" w:lineRule="auto"/>
        <w:ind w:left="1880" w:leftChars="200" w:hanging="1400" w:hangingChars="500"/>
        <w:rPr>
          <w:rFonts w:hint="default" w:cs="Times New Roman"/>
          <w:bCs/>
          <w:color w:val="000000"/>
          <w:sz w:val="28"/>
          <w:szCs w:val="28"/>
          <w:u w:val="single"/>
          <w:lang w:val="en-US" w:eastAsia="zh-CN"/>
        </w:rPr>
      </w:pPr>
      <w:r>
        <w:rPr>
          <w:rFonts w:hint="eastAsia" w:ascii="Times New Roman" w:hAnsi="Times New Roman" w:eastAsia="仿宋_GB2312" w:cs="Times New Roman"/>
          <w:bCs/>
          <w:color w:val="000000"/>
          <w:sz w:val="28"/>
          <w:szCs w:val="28"/>
        </w:rPr>
        <w:t>项目名称：</w:t>
      </w:r>
      <w:r>
        <w:rPr>
          <w:rFonts w:hint="eastAsia" w:cs="Times New Roman"/>
          <w:bCs/>
          <w:color w:val="000000"/>
          <w:sz w:val="28"/>
          <w:szCs w:val="28"/>
          <w:u w:val="single"/>
          <w:lang w:eastAsia="zh-CN"/>
        </w:rPr>
        <w:t>中国石油吐哈油田三塘湖采油管理区马T101H井场</w:t>
      </w:r>
      <w:r>
        <w:rPr>
          <w:rFonts w:hint="eastAsia" w:cs="Times New Roman"/>
          <w:bCs/>
          <w:color w:val="000000"/>
          <w:sz w:val="28"/>
          <w:szCs w:val="28"/>
          <w:u w:val="single"/>
          <w:lang w:val="en-US" w:eastAsia="zh-CN"/>
        </w:rPr>
        <w:t xml:space="preserve">         </w:t>
      </w:r>
    </w:p>
    <w:p w14:paraId="5CF77DE5">
      <w:pPr>
        <w:autoSpaceDE w:val="0"/>
        <w:autoSpaceDN w:val="0"/>
        <w:adjustRightInd w:val="0"/>
        <w:spacing w:line="600" w:lineRule="auto"/>
        <w:ind w:left="1872" w:leftChars="780" w:firstLine="0" w:firstLineChars="0"/>
        <w:rPr>
          <w:rFonts w:hint="default" w:ascii="Times New Roman" w:hAnsi="Times New Roman" w:eastAsia="仿宋_GB2312" w:cs="Times New Roman"/>
          <w:bCs/>
          <w:color w:val="000000"/>
          <w:sz w:val="28"/>
          <w:szCs w:val="28"/>
          <w:u w:val="single"/>
          <w:lang w:val="en-US" w:eastAsia="zh-CN"/>
        </w:rPr>
      </w:pPr>
      <w:r>
        <w:rPr>
          <w:rFonts w:hint="eastAsia" w:cs="Times New Roman"/>
          <w:bCs/>
          <w:color w:val="000000"/>
          <w:sz w:val="28"/>
          <w:szCs w:val="28"/>
          <w:u w:val="single"/>
          <w:lang w:eastAsia="zh-CN"/>
        </w:rPr>
        <w:t>等两口井压裂施工项目</w:t>
      </w:r>
      <w:r>
        <w:rPr>
          <w:rFonts w:hint="eastAsia" w:ascii="Times New Roman" w:hAnsi="Times New Roman" w:eastAsia="仿宋_GB2312" w:cs="Times New Roman"/>
          <w:bCs/>
          <w:color w:val="000000"/>
          <w:sz w:val="28"/>
          <w:szCs w:val="28"/>
          <w:u w:val="single"/>
        </w:rPr>
        <w:t xml:space="preserve"> </w:t>
      </w:r>
      <w:r>
        <w:rPr>
          <w:rFonts w:hint="eastAsia" w:cs="Times New Roman"/>
          <w:bCs/>
          <w:color w:val="000000"/>
          <w:sz w:val="28"/>
          <w:szCs w:val="28"/>
          <w:u w:val="single"/>
          <w:lang w:val="en-US" w:eastAsia="zh-CN"/>
        </w:rPr>
        <w:t xml:space="preserve">                                 </w:t>
      </w:r>
    </w:p>
    <w:p w14:paraId="7BDFB09C">
      <w:pPr>
        <w:autoSpaceDE w:val="0"/>
        <w:autoSpaceDN w:val="0"/>
        <w:adjustRightInd w:val="0"/>
        <w:spacing w:line="600" w:lineRule="auto"/>
        <w:ind w:firstLine="560" w:firstLineChars="200"/>
        <w:rPr>
          <w:rFonts w:ascii="Times New Roman" w:hAnsi="Times New Roman" w:eastAsia="仿宋_GB2312" w:cs="Times New Roman"/>
          <w:bCs/>
          <w:color w:val="000000"/>
          <w:sz w:val="28"/>
          <w:szCs w:val="28"/>
          <w:u w:val="single"/>
        </w:rPr>
      </w:pPr>
      <w:r>
        <w:rPr>
          <w:rFonts w:hint="eastAsia" w:ascii="Times New Roman" w:hAnsi="Times New Roman" w:eastAsia="仿宋_GB2312" w:cs="Times New Roman"/>
          <w:bCs/>
          <w:color w:val="000000"/>
          <w:sz w:val="28"/>
          <w:szCs w:val="28"/>
        </w:rPr>
        <w:t>项目单位：</w:t>
      </w:r>
      <w:r>
        <w:rPr>
          <w:rFonts w:hint="eastAsia" w:cs="Times New Roman"/>
          <w:bCs/>
          <w:color w:val="000000"/>
          <w:sz w:val="28"/>
          <w:szCs w:val="28"/>
          <w:u w:val="single"/>
          <w:lang w:eastAsia="zh-CN"/>
        </w:rPr>
        <w:t>中石油吐哈油田分公司三塘湖采油管理区</w:t>
      </w:r>
      <w:r>
        <w:rPr>
          <w:rFonts w:hint="eastAsia" w:ascii="Times New Roman" w:hAnsi="Times New Roman" w:eastAsia="仿宋_GB2312" w:cs="Times New Roman"/>
          <w:bCs/>
          <w:color w:val="000000"/>
          <w:sz w:val="28"/>
          <w:szCs w:val="28"/>
          <w:u w:val="single"/>
        </w:rPr>
        <w:t xml:space="preserve">        </w:t>
      </w:r>
      <w:r>
        <w:rPr>
          <w:rFonts w:hint="eastAsia" w:cs="Times New Roman"/>
          <w:bCs/>
          <w:color w:val="000000"/>
          <w:sz w:val="28"/>
          <w:szCs w:val="28"/>
          <w:u w:val="single"/>
          <w:lang w:val="en-US" w:eastAsia="zh-CN"/>
        </w:rPr>
        <w:t xml:space="preserve">       </w:t>
      </w:r>
      <w:r>
        <w:rPr>
          <w:rFonts w:hint="eastAsia" w:ascii="Times New Roman" w:hAnsi="Times New Roman" w:eastAsia="仿宋_GB2312" w:cs="Times New Roman"/>
          <w:bCs/>
          <w:color w:val="000000"/>
          <w:sz w:val="28"/>
          <w:szCs w:val="28"/>
          <w:u w:val="single"/>
        </w:rPr>
        <w:t xml:space="preserve">   </w:t>
      </w:r>
    </w:p>
    <w:p w14:paraId="61859D21">
      <w:pPr>
        <w:autoSpaceDE w:val="0"/>
        <w:autoSpaceDN w:val="0"/>
        <w:adjustRightInd w:val="0"/>
        <w:spacing w:line="600" w:lineRule="auto"/>
        <w:ind w:firstLine="560" w:firstLineChars="200"/>
        <w:rPr>
          <w:rFonts w:ascii="Times New Roman" w:hAnsi="Times New Roman" w:eastAsia="仿宋_GB2312" w:cs="Times New Roman"/>
          <w:bCs/>
          <w:color w:val="000000"/>
          <w:sz w:val="28"/>
          <w:szCs w:val="28"/>
          <w:u w:val="single"/>
        </w:rPr>
      </w:pPr>
      <w:r>
        <w:rPr>
          <w:rFonts w:hint="eastAsia" w:ascii="Times New Roman" w:hAnsi="Times New Roman" w:eastAsia="仿宋_GB2312" w:cs="Times New Roman"/>
          <w:bCs/>
          <w:color w:val="000000"/>
          <w:sz w:val="28"/>
          <w:szCs w:val="28"/>
        </w:rPr>
        <w:t>单位地址：</w:t>
      </w:r>
      <w:r>
        <w:rPr>
          <w:rFonts w:hint="eastAsia" w:ascii="Times New Roman" w:hAnsi="Times New Roman" w:eastAsia="仿宋_GB2312" w:cs="Times New Roman"/>
          <w:bCs/>
          <w:color w:val="000000"/>
          <w:sz w:val="28"/>
          <w:szCs w:val="28"/>
          <w:u w:val="single"/>
        </w:rPr>
        <w:t xml:space="preserve">新疆鄯善县火车站吐哈油田分公司                     </w:t>
      </w:r>
    </w:p>
    <w:p w14:paraId="08F8834C">
      <w:pPr>
        <w:autoSpaceDE w:val="0"/>
        <w:autoSpaceDN w:val="0"/>
        <w:adjustRightInd w:val="0"/>
        <w:spacing w:line="600" w:lineRule="auto"/>
        <w:ind w:firstLine="560" w:firstLineChars="200"/>
        <w:rPr>
          <w:rFonts w:ascii="Times New Roman" w:hAnsi="Times New Roman" w:eastAsia="仿宋_GB2312" w:cs="Times New Roman"/>
          <w:bCs/>
          <w:color w:val="000000"/>
          <w:sz w:val="28"/>
          <w:szCs w:val="28"/>
          <w:u w:val="single"/>
        </w:rPr>
      </w:pPr>
      <w:r>
        <w:rPr>
          <w:rFonts w:hint="eastAsia" w:ascii="Times New Roman" w:hAnsi="Times New Roman" w:eastAsia="仿宋_GB2312" w:cs="Times New Roman"/>
          <w:bCs/>
          <w:color w:val="000000"/>
          <w:sz w:val="28"/>
          <w:szCs w:val="28"/>
        </w:rPr>
        <w:t>联 系 人：</w:t>
      </w:r>
      <w:r>
        <w:rPr>
          <w:rFonts w:hint="eastAsia" w:ascii="Times New Roman" w:hAnsi="Times New Roman" w:eastAsia="仿宋_GB2312" w:cs="Times New Roman"/>
          <w:bCs/>
          <w:color w:val="000000"/>
          <w:sz w:val="28"/>
          <w:szCs w:val="28"/>
          <w:u w:val="single"/>
          <w:lang w:eastAsia="zh-CN"/>
        </w:rPr>
        <w:t>李垚伟</w:t>
      </w:r>
      <w:r>
        <w:rPr>
          <w:rFonts w:hint="eastAsia" w:ascii="Times New Roman" w:hAnsi="Times New Roman" w:eastAsia="仿宋_GB2312" w:cs="Times New Roman"/>
          <w:bCs/>
          <w:color w:val="000000"/>
          <w:sz w:val="28"/>
          <w:szCs w:val="28"/>
          <w:u w:val="single"/>
        </w:rPr>
        <w:t xml:space="preserve">                                      </w:t>
      </w:r>
      <w:r>
        <w:rPr>
          <w:rFonts w:hint="eastAsia" w:cs="Times New Roman"/>
          <w:bCs/>
          <w:color w:val="000000"/>
          <w:sz w:val="28"/>
          <w:szCs w:val="28"/>
          <w:u w:val="single"/>
          <w:lang w:val="en-US" w:eastAsia="zh-CN"/>
        </w:rPr>
        <w:t xml:space="preserve">  </w:t>
      </w:r>
      <w:r>
        <w:rPr>
          <w:rFonts w:hint="eastAsia" w:ascii="Times New Roman" w:hAnsi="Times New Roman" w:eastAsia="仿宋_GB2312" w:cs="Times New Roman"/>
          <w:bCs/>
          <w:color w:val="000000"/>
          <w:sz w:val="28"/>
          <w:szCs w:val="28"/>
          <w:u w:val="single"/>
        </w:rPr>
        <w:t xml:space="preserve">       </w:t>
      </w:r>
    </w:p>
    <w:p w14:paraId="7A1D6918">
      <w:pPr>
        <w:autoSpaceDE w:val="0"/>
        <w:autoSpaceDN w:val="0"/>
        <w:adjustRightInd w:val="0"/>
        <w:spacing w:line="600" w:lineRule="auto"/>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联系电话：</w:t>
      </w:r>
      <w:r>
        <w:rPr>
          <w:rFonts w:hint="eastAsia" w:ascii="Times New Roman" w:hAnsi="Times New Roman" w:eastAsia="仿宋_GB2312" w:cs="Times New Roman"/>
          <w:bCs/>
          <w:color w:val="000000"/>
          <w:sz w:val="28"/>
          <w:szCs w:val="28"/>
          <w:u w:val="single"/>
          <w:lang w:eastAsia="zh-CN"/>
        </w:rPr>
        <w:t xml:space="preserve">18160392818    </w:t>
      </w:r>
      <w:r>
        <w:rPr>
          <w:rFonts w:hint="eastAsia" w:ascii="Times New Roman" w:hAnsi="Times New Roman" w:eastAsia="仿宋_GB2312" w:cs="Times New Roman"/>
          <w:bCs/>
          <w:color w:val="000000"/>
          <w:sz w:val="28"/>
          <w:szCs w:val="28"/>
          <w:u w:val="single"/>
        </w:rPr>
        <w:t xml:space="preserve">                             </w:t>
      </w:r>
      <w:r>
        <w:rPr>
          <w:rFonts w:hint="eastAsia" w:cs="Times New Roman"/>
          <w:bCs/>
          <w:color w:val="000000"/>
          <w:sz w:val="28"/>
          <w:szCs w:val="28"/>
          <w:u w:val="single"/>
          <w:lang w:val="en-US" w:eastAsia="zh-CN"/>
        </w:rPr>
        <w:t xml:space="preserve">  </w:t>
      </w:r>
      <w:r>
        <w:rPr>
          <w:rFonts w:hint="eastAsia" w:ascii="Times New Roman" w:hAnsi="Times New Roman" w:eastAsia="仿宋_GB2312" w:cs="Times New Roman"/>
          <w:bCs/>
          <w:color w:val="000000"/>
          <w:sz w:val="28"/>
          <w:szCs w:val="28"/>
          <w:u w:val="single"/>
        </w:rPr>
        <w:t xml:space="preserve">       </w:t>
      </w:r>
    </w:p>
    <w:p w14:paraId="3D6F8650">
      <w:pPr>
        <w:autoSpaceDE w:val="0"/>
        <w:autoSpaceDN w:val="0"/>
        <w:adjustRightInd w:val="0"/>
        <w:spacing w:line="600" w:lineRule="auto"/>
        <w:ind w:firstLine="560" w:firstLineChars="200"/>
        <w:rPr>
          <w:rFonts w:hint="eastAsia" w:ascii="Times New Roman" w:hAnsi="Times New Roman" w:eastAsia="仿宋_GB2312" w:cs="Times New Roman"/>
          <w:bCs/>
          <w:color w:val="000000"/>
          <w:sz w:val="28"/>
          <w:szCs w:val="28"/>
          <w:lang w:eastAsia="zh-CN"/>
        </w:rPr>
      </w:pPr>
      <w:r>
        <w:rPr>
          <w:rFonts w:ascii="Times New Roman" w:hAnsi="Times New Roman" w:eastAsia="仿宋_GB2312" w:cs="Times New Roman"/>
          <w:bCs/>
          <w:color w:val="000000"/>
          <w:sz w:val="28"/>
          <w:szCs w:val="28"/>
        </w:rPr>
        <w:t>送审时间：</w:t>
      </w:r>
      <w:r>
        <w:rPr>
          <w:rFonts w:hint="eastAsia" w:cs="Times New Roman"/>
          <w:bCs/>
          <w:color w:val="000000"/>
          <w:sz w:val="28"/>
          <w:szCs w:val="28"/>
          <w:lang w:eastAsia="zh-CN"/>
        </w:rPr>
        <w:t>202</w:t>
      </w:r>
      <w:r>
        <w:rPr>
          <w:rFonts w:hint="eastAsia" w:cs="Times New Roman"/>
          <w:bCs/>
          <w:color w:val="000000"/>
          <w:sz w:val="28"/>
          <w:szCs w:val="28"/>
          <w:lang w:val="en-US" w:eastAsia="zh-CN"/>
        </w:rPr>
        <w:t>5</w:t>
      </w:r>
      <w:r>
        <w:rPr>
          <w:rFonts w:hint="eastAsia" w:cs="Times New Roman"/>
          <w:bCs/>
          <w:color w:val="000000"/>
          <w:sz w:val="28"/>
          <w:szCs w:val="28"/>
          <w:lang w:eastAsia="zh-CN"/>
        </w:rPr>
        <w:t>年</w:t>
      </w:r>
      <w:r>
        <w:rPr>
          <w:rFonts w:hint="eastAsia" w:cs="Times New Roman"/>
          <w:bCs/>
          <w:color w:val="000000"/>
          <w:sz w:val="28"/>
          <w:szCs w:val="28"/>
          <w:lang w:val="en-US" w:eastAsia="zh-CN"/>
        </w:rPr>
        <w:t>1</w:t>
      </w:r>
      <w:r>
        <w:rPr>
          <w:rFonts w:hint="eastAsia" w:cs="Times New Roman"/>
          <w:bCs/>
          <w:color w:val="000000"/>
          <w:sz w:val="28"/>
          <w:szCs w:val="28"/>
          <w:lang w:eastAsia="zh-CN"/>
        </w:rPr>
        <w:t>月</w:t>
      </w:r>
    </w:p>
    <w:p w14:paraId="367752D3">
      <w:pPr>
        <w:spacing w:line="480" w:lineRule="auto"/>
        <w:ind w:firstLine="803" w:firstLineChars="200"/>
        <w:jc w:val="center"/>
        <w:rPr>
          <w:rFonts w:ascii="Times New Roman" w:hAnsi="Times New Roman" w:eastAsia="仿宋_GB2312" w:cs="Times New Roman"/>
          <w:b/>
          <w:bCs/>
          <w:color w:val="000000"/>
          <w:sz w:val="40"/>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418" w:header="851" w:footer="992" w:gutter="0"/>
          <w:pgNumType w:start="1"/>
          <w:cols w:space="720" w:num="1"/>
          <w:titlePg/>
          <w:docGrid w:linePitch="326" w:charSpace="0"/>
        </w:sectPr>
      </w:pPr>
    </w:p>
    <w:p w14:paraId="4FEE41ED">
      <w:pPr>
        <w:spacing w:line="480" w:lineRule="auto"/>
        <w:ind w:left="0" w:leftChars="0" w:firstLine="0" w:firstLineChars="0"/>
        <w:jc w:val="both"/>
        <w:rPr>
          <w:rFonts w:hint="eastAsia" w:ascii="Times New Roman" w:hAnsi="Times New Roman" w:eastAsia="仿宋_GB2312" w:cs="Times New Roman"/>
          <w:b/>
          <w:bCs/>
          <w:color w:val="000000"/>
          <w:sz w:val="40"/>
          <w:szCs w:val="24"/>
          <w:lang w:eastAsia="zh-CN"/>
        </w:rPr>
        <w:sectPr>
          <w:pgSz w:w="11906" w:h="16838"/>
          <w:pgMar w:top="1701" w:right="567" w:bottom="567" w:left="567" w:header="851" w:footer="992" w:gutter="0"/>
          <w:pgNumType w:start="1"/>
          <w:cols w:space="720" w:num="1"/>
          <w:titlePg/>
          <w:docGrid w:linePitch="326" w:charSpace="0"/>
        </w:sectPr>
      </w:pPr>
      <w:r>
        <w:rPr>
          <w:rFonts w:hint="eastAsia" w:ascii="Times New Roman" w:hAnsi="Times New Roman" w:eastAsia="仿宋_GB2312" w:cs="Times New Roman"/>
          <w:b/>
          <w:bCs/>
          <w:color w:val="000000"/>
          <w:sz w:val="40"/>
          <w:szCs w:val="24"/>
          <w:lang w:eastAsia="zh-CN"/>
        </w:rPr>
        <w:drawing>
          <wp:inline distT="0" distB="0" distL="114300" distR="114300">
            <wp:extent cx="6770370" cy="9311640"/>
            <wp:effectExtent l="0" t="0" r="11430" b="3810"/>
            <wp:docPr id="3" name="图片 3" descr="优普科技编制人员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优普科技编制人员情况"/>
                    <pic:cNvPicPr>
                      <a:picLocks noChangeAspect="1"/>
                    </pic:cNvPicPr>
                  </pic:nvPicPr>
                  <pic:blipFill>
                    <a:blip r:embed="rId24"/>
                    <a:stretch>
                      <a:fillRect/>
                    </a:stretch>
                  </pic:blipFill>
                  <pic:spPr>
                    <a:xfrm>
                      <a:off x="0" y="0"/>
                      <a:ext cx="6770370" cy="9311640"/>
                    </a:xfrm>
                    <a:prstGeom prst="rect">
                      <a:avLst/>
                    </a:prstGeom>
                  </pic:spPr>
                </pic:pic>
              </a:graphicData>
            </a:graphic>
          </wp:inline>
        </w:drawing>
      </w:r>
    </w:p>
    <w:p w14:paraId="4E5B8ED1">
      <w:pPr>
        <w:tabs>
          <w:tab w:val="right" w:leader="dot" w:pos="9060"/>
        </w:tabs>
        <w:spacing w:line="360" w:lineRule="auto"/>
        <w:ind w:left="0" w:leftChars="0" w:firstLine="0" w:firstLineChars="0"/>
        <w:jc w:val="center"/>
        <w:rPr>
          <w:rFonts w:ascii="Times New Roman" w:hAnsi="Times New Roman" w:eastAsia="黑体" w:cs="Times New Roman"/>
          <w:smallCaps/>
          <w:color w:val="000000"/>
          <w:sz w:val="44"/>
          <w:szCs w:val="44"/>
        </w:rPr>
      </w:pPr>
      <w:r>
        <w:rPr>
          <w:rFonts w:ascii="Times New Roman" w:hAnsi="Times New Roman" w:eastAsia="黑体" w:cs="Times New Roman"/>
          <w:smallCaps/>
          <w:color w:val="000000"/>
          <w:sz w:val="44"/>
          <w:szCs w:val="44"/>
        </w:rPr>
        <w:t>目  录</w:t>
      </w:r>
    </w:p>
    <w:p w14:paraId="79B2916D">
      <w:pPr>
        <w:pStyle w:val="59"/>
        <w:tabs>
          <w:tab w:val="right" w:leader="dot" w:pos="9070"/>
          <w:tab w:val="clear" w:pos="9060"/>
        </w:tabs>
      </w:pPr>
      <w:r>
        <w:rPr>
          <w:rFonts w:ascii="Times New Roman" w:hAnsi="Times New Roman" w:eastAsia="仿宋_GB2312" w:cs="Times New Roman"/>
          <w:b/>
          <w:bCs/>
          <w:caps/>
          <w:smallCaps/>
          <w:color w:val="000000"/>
          <w:sz w:val="24"/>
          <w:szCs w:val="24"/>
        </w:rPr>
        <w:fldChar w:fldCharType="begin"/>
      </w:r>
      <w:r>
        <w:rPr>
          <w:rFonts w:ascii="Times New Roman" w:hAnsi="Times New Roman" w:eastAsia="仿宋_GB2312" w:cs="Times New Roman"/>
          <w:b/>
          <w:bCs/>
          <w:caps/>
          <w:smallCaps/>
          <w:color w:val="000000"/>
          <w:sz w:val="24"/>
          <w:szCs w:val="24"/>
        </w:rPr>
        <w:instrText xml:space="preserve"> TOC \o "1-2" \h \z \u </w:instrText>
      </w:r>
      <w:r>
        <w:rPr>
          <w:rFonts w:ascii="Times New Roman" w:hAnsi="Times New Roman" w:eastAsia="仿宋_GB2312" w:cs="Times New Roman"/>
          <w:b/>
          <w:bCs/>
          <w:caps/>
          <w:smallCaps/>
          <w:color w:val="000000"/>
          <w:sz w:val="24"/>
          <w:szCs w:val="24"/>
        </w:rPr>
        <w:fldChar w:fldCharType="separate"/>
      </w:r>
      <w:r>
        <w:rPr>
          <w:rFonts w:ascii="Times New Roman" w:hAnsi="Times New Roman" w:eastAsia="仿宋_GB2312" w:cs="Times New Roman"/>
          <w:bCs/>
          <w:caps/>
          <w:smallCaps/>
          <w:color w:val="000000"/>
          <w:szCs w:val="24"/>
        </w:rPr>
        <w:fldChar w:fldCharType="begin"/>
      </w:r>
      <w:r>
        <w:rPr>
          <w:rFonts w:ascii="Times New Roman" w:hAnsi="Times New Roman" w:eastAsia="仿宋_GB2312" w:cs="Times New Roman"/>
          <w:bCs/>
          <w:caps/>
          <w:smallCaps/>
          <w:szCs w:val="24"/>
        </w:rPr>
        <w:instrText xml:space="preserve"> HYPERLINK \l _Toc19864 </w:instrText>
      </w:r>
      <w:r>
        <w:rPr>
          <w:rFonts w:ascii="Times New Roman" w:hAnsi="Times New Roman" w:eastAsia="仿宋_GB2312" w:cs="Times New Roman"/>
          <w:bCs/>
          <w:caps/>
          <w:smallCaps/>
          <w:szCs w:val="24"/>
        </w:rPr>
        <w:fldChar w:fldCharType="separate"/>
      </w:r>
      <w:r>
        <w:rPr>
          <w:rFonts w:ascii="Times New Roman" w:hAnsi="Times New Roman" w:eastAsia="黑体" w:cs="Times New Roman"/>
          <w:szCs w:val="32"/>
        </w:rPr>
        <w:t>1 前 言</w:t>
      </w:r>
      <w:r>
        <w:tab/>
      </w:r>
      <w:r>
        <w:fldChar w:fldCharType="begin"/>
      </w:r>
      <w:r>
        <w:instrText xml:space="preserve"> PAGEREF _Toc19864 \h </w:instrText>
      </w:r>
      <w:r>
        <w:fldChar w:fldCharType="separate"/>
      </w:r>
      <w:r>
        <w:t>1</w:t>
      </w:r>
      <w:r>
        <w:fldChar w:fldCharType="end"/>
      </w:r>
      <w:r>
        <w:rPr>
          <w:rFonts w:ascii="Times New Roman" w:hAnsi="Times New Roman" w:eastAsia="仿宋_GB2312" w:cs="Times New Roman"/>
          <w:bCs/>
          <w:caps/>
          <w:smallCaps/>
          <w:color w:val="000000"/>
          <w:szCs w:val="24"/>
        </w:rPr>
        <w:fldChar w:fldCharType="end"/>
      </w:r>
    </w:p>
    <w:p w14:paraId="5B39E247">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_Toc2307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1.1 编制背景及过程</w:t>
      </w:r>
      <w:r>
        <w:tab/>
      </w:r>
      <w:r>
        <w:fldChar w:fldCharType="begin"/>
      </w:r>
      <w:r>
        <w:instrText xml:space="preserve"> PAGEREF _Toc2307 \h </w:instrText>
      </w:r>
      <w:r>
        <w:fldChar w:fldCharType="separate"/>
      </w:r>
      <w:r>
        <w:t>1</w:t>
      </w:r>
      <w:r>
        <w:fldChar w:fldCharType="end"/>
      </w:r>
      <w:r>
        <w:rPr>
          <w:rFonts w:ascii="Times New Roman" w:hAnsi="Times New Roman" w:eastAsia="仿宋_GB2312" w:cs="Times New Roman"/>
          <w:smallCaps/>
          <w:color w:val="000000"/>
          <w:szCs w:val="24"/>
        </w:rPr>
        <w:fldChar w:fldCharType="end"/>
      </w:r>
    </w:p>
    <w:p w14:paraId="7FFE8E41">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_Toc25437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1.2 复垦方案摘要</w:t>
      </w:r>
      <w:r>
        <w:tab/>
      </w:r>
      <w:r>
        <w:fldChar w:fldCharType="begin"/>
      </w:r>
      <w:r>
        <w:instrText xml:space="preserve"> PAGEREF _Toc25437 \h </w:instrText>
      </w:r>
      <w:r>
        <w:fldChar w:fldCharType="separate"/>
      </w:r>
      <w:r>
        <w:t>2</w:t>
      </w:r>
      <w:r>
        <w:fldChar w:fldCharType="end"/>
      </w:r>
      <w:r>
        <w:rPr>
          <w:rFonts w:ascii="Times New Roman" w:hAnsi="Times New Roman" w:eastAsia="仿宋_GB2312" w:cs="Times New Roman"/>
          <w:smallCaps/>
          <w:color w:val="000000"/>
          <w:szCs w:val="24"/>
        </w:rPr>
        <w:fldChar w:fldCharType="end"/>
      </w:r>
    </w:p>
    <w:p w14:paraId="1B026100">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_Toc17836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2 编制总则</w:t>
      </w:r>
      <w:r>
        <w:tab/>
      </w:r>
      <w:r>
        <w:fldChar w:fldCharType="begin"/>
      </w:r>
      <w:r>
        <w:instrText xml:space="preserve"> PAGEREF _Toc17836 \h </w:instrText>
      </w:r>
      <w:r>
        <w:fldChar w:fldCharType="separate"/>
      </w:r>
      <w:r>
        <w:t>4</w:t>
      </w:r>
      <w:r>
        <w:fldChar w:fldCharType="end"/>
      </w:r>
      <w:r>
        <w:rPr>
          <w:rFonts w:ascii="Times New Roman" w:hAnsi="Times New Roman" w:eastAsia="仿宋_GB2312" w:cs="Times New Roman"/>
          <w:smallCaps/>
          <w:color w:val="000000"/>
          <w:szCs w:val="24"/>
        </w:rPr>
        <w:fldChar w:fldCharType="end"/>
      </w:r>
    </w:p>
    <w:p w14:paraId="68EF4D2E">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_Toc17691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2.1 编制目的</w:t>
      </w:r>
      <w:r>
        <w:tab/>
      </w:r>
      <w:r>
        <w:fldChar w:fldCharType="begin"/>
      </w:r>
      <w:r>
        <w:instrText xml:space="preserve"> PAGEREF _Toc17691 \h </w:instrText>
      </w:r>
      <w:r>
        <w:fldChar w:fldCharType="separate"/>
      </w:r>
      <w:r>
        <w:t>4</w:t>
      </w:r>
      <w:r>
        <w:fldChar w:fldCharType="end"/>
      </w:r>
      <w:r>
        <w:rPr>
          <w:rFonts w:ascii="Times New Roman" w:hAnsi="Times New Roman" w:eastAsia="仿宋_GB2312" w:cs="Times New Roman"/>
          <w:smallCaps/>
          <w:color w:val="000000"/>
          <w:szCs w:val="24"/>
        </w:rPr>
        <w:fldChar w:fldCharType="end"/>
      </w:r>
    </w:p>
    <w:p w14:paraId="27D1B836">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_Toc9321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2.2 编制原则</w:t>
      </w:r>
      <w:r>
        <w:tab/>
      </w:r>
      <w:r>
        <w:fldChar w:fldCharType="begin"/>
      </w:r>
      <w:r>
        <w:instrText xml:space="preserve"> PAGEREF _Toc9321 \h </w:instrText>
      </w:r>
      <w:r>
        <w:fldChar w:fldCharType="separate"/>
      </w:r>
      <w:r>
        <w:t>4</w:t>
      </w:r>
      <w:r>
        <w:fldChar w:fldCharType="end"/>
      </w:r>
      <w:r>
        <w:rPr>
          <w:rFonts w:ascii="Times New Roman" w:hAnsi="Times New Roman" w:eastAsia="仿宋_GB2312" w:cs="Times New Roman"/>
          <w:smallCaps/>
          <w:color w:val="000000"/>
          <w:szCs w:val="24"/>
        </w:rPr>
        <w:fldChar w:fldCharType="end"/>
      </w:r>
    </w:p>
    <w:p w14:paraId="50D08CB8">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_Toc15262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2.3 编制依据</w:t>
      </w:r>
      <w:r>
        <w:tab/>
      </w:r>
      <w:r>
        <w:fldChar w:fldCharType="begin"/>
      </w:r>
      <w:r>
        <w:instrText xml:space="preserve"> PAGEREF _Toc15262 \h </w:instrText>
      </w:r>
      <w:r>
        <w:fldChar w:fldCharType="separate"/>
      </w:r>
      <w:r>
        <w:t>5</w:t>
      </w:r>
      <w:r>
        <w:fldChar w:fldCharType="end"/>
      </w:r>
      <w:r>
        <w:rPr>
          <w:rFonts w:ascii="Times New Roman" w:hAnsi="Times New Roman" w:eastAsia="仿宋_GB2312" w:cs="Times New Roman"/>
          <w:smallCaps/>
          <w:color w:val="000000"/>
          <w:szCs w:val="24"/>
        </w:rPr>
        <w:fldChar w:fldCharType="end"/>
      </w:r>
    </w:p>
    <w:p w14:paraId="23CCC932">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_Toc11472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3 项目概况</w:t>
      </w:r>
      <w:r>
        <w:tab/>
      </w:r>
      <w:r>
        <w:fldChar w:fldCharType="begin"/>
      </w:r>
      <w:r>
        <w:instrText xml:space="preserve"> PAGEREF _Toc11472 \h </w:instrText>
      </w:r>
      <w:r>
        <w:fldChar w:fldCharType="separate"/>
      </w:r>
      <w:r>
        <w:t>8</w:t>
      </w:r>
      <w:r>
        <w:fldChar w:fldCharType="end"/>
      </w:r>
      <w:r>
        <w:rPr>
          <w:rFonts w:ascii="Times New Roman" w:hAnsi="Times New Roman" w:eastAsia="仿宋_GB2312" w:cs="Times New Roman"/>
          <w:smallCaps/>
          <w:color w:val="000000"/>
          <w:szCs w:val="24"/>
        </w:rPr>
        <w:fldChar w:fldCharType="end"/>
      </w:r>
    </w:p>
    <w:p w14:paraId="7912F369">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_Toc29240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3.1 项目简介</w:t>
      </w:r>
      <w:r>
        <w:tab/>
      </w:r>
      <w:r>
        <w:fldChar w:fldCharType="begin"/>
      </w:r>
      <w:r>
        <w:instrText xml:space="preserve"> PAGEREF _Toc29240 \h </w:instrText>
      </w:r>
      <w:r>
        <w:fldChar w:fldCharType="separate"/>
      </w:r>
      <w:r>
        <w:t>8</w:t>
      </w:r>
      <w:r>
        <w:fldChar w:fldCharType="end"/>
      </w:r>
      <w:r>
        <w:rPr>
          <w:rFonts w:ascii="Times New Roman" w:hAnsi="Times New Roman" w:eastAsia="仿宋_GB2312" w:cs="Times New Roman"/>
          <w:smallCaps/>
          <w:color w:val="000000"/>
          <w:szCs w:val="24"/>
        </w:rPr>
        <w:fldChar w:fldCharType="end"/>
      </w:r>
    </w:p>
    <w:p w14:paraId="01EAA5B6">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_Toc24245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highlight w:val="none"/>
        </w:rPr>
        <w:t>3.2 项目区自然概况</w:t>
      </w:r>
      <w:r>
        <w:tab/>
      </w:r>
      <w:r>
        <w:fldChar w:fldCharType="begin"/>
      </w:r>
      <w:r>
        <w:instrText xml:space="preserve"> PAGEREF _Toc24245 \h </w:instrText>
      </w:r>
      <w:r>
        <w:fldChar w:fldCharType="separate"/>
      </w:r>
      <w:r>
        <w:t>9</w:t>
      </w:r>
      <w:r>
        <w:fldChar w:fldCharType="end"/>
      </w:r>
      <w:r>
        <w:rPr>
          <w:rFonts w:ascii="Times New Roman" w:hAnsi="Times New Roman" w:eastAsia="仿宋_GB2312" w:cs="Times New Roman"/>
          <w:smallCaps/>
          <w:color w:val="000000"/>
          <w:szCs w:val="24"/>
        </w:rPr>
        <w:fldChar w:fldCharType="end"/>
      </w:r>
    </w:p>
    <w:p w14:paraId="6FD9F000">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_Toc3087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3.3 项目区社会经济概况</w:t>
      </w:r>
      <w:r>
        <w:tab/>
      </w:r>
      <w:r>
        <w:fldChar w:fldCharType="begin"/>
      </w:r>
      <w:r>
        <w:instrText xml:space="preserve"> PAGEREF _Toc3087 \h </w:instrText>
      </w:r>
      <w:r>
        <w:fldChar w:fldCharType="separate"/>
      </w:r>
      <w:r>
        <w:t>13</w:t>
      </w:r>
      <w:r>
        <w:fldChar w:fldCharType="end"/>
      </w:r>
      <w:r>
        <w:rPr>
          <w:rFonts w:ascii="Times New Roman" w:hAnsi="Times New Roman" w:eastAsia="仿宋_GB2312" w:cs="Times New Roman"/>
          <w:smallCaps/>
          <w:color w:val="000000"/>
          <w:szCs w:val="24"/>
        </w:rPr>
        <w:fldChar w:fldCharType="end"/>
      </w:r>
    </w:p>
    <w:p w14:paraId="466E2826">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_Toc28866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3.4 项目区土地利用现状</w:t>
      </w:r>
      <w:r>
        <w:tab/>
      </w:r>
      <w:r>
        <w:fldChar w:fldCharType="begin"/>
      </w:r>
      <w:r>
        <w:instrText xml:space="preserve"> PAGEREF _Toc28866 \h </w:instrText>
      </w:r>
      <w:r>
        <w:fldChar w:fldCharType="separate"/>
      </w:r>
      <w:r>
        <w:t>14</w:t>
      </w:r>
      <w:r>
        <w:fldChar w:fldCharType="end"/>
      </w:r>
      <w:r>
        <w:rPr>
          <w:rFonts w:ascii="Times New Roman" w:hAnsi="Times New Roman" w:eastAsia="仿宋_GB2312" w:cs="Times New Roman"/>
          <w:smallCaps/>
          <w:color w:val="000000"/>
          <w:szCs w:val="24"/>
        </w:rPr>
        <w:fldChar w:fldCharType="end"/>
      </w:r>
    </w:p>
    <w:p w14:paraId="61166588">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_Toc27861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4 土地复垦方向及可行性分析</w:t>
      </w:r>
      <w:r>
        <w:tab/>
      </w:r>
      <w:r>
        <w:fldChar w:fldCharType="begin"/>
      </w:r>
      <w:r>
        <w:instrText xml:space="preserve"> PAGEREF _Toc27861 \h </w:instrText>
      </w:r>
      <w:r>
        <w:fldChar w:fldCharType="separate"/>
      </w:r>
      <w:r>
        <w:t>16</w:t>
      </w:r>
      <w:r>
        <w:fldChar w:fldCharType="end"/>
      </w:r>
      <w:r>
        <w:rPr>
          <w:rFonts w:ascii="Times New Roman" w:hAnsi="Times New Roman" w:eastAsia="仿宋_GB2312" w:cs="Times New Roman"/>
          <w:smallCaps/>
          <w:color w:val="000000"/>
          <w:szCs w:val="24"/>
        </w:rPr>
        <w:fldChar w:fldCharType="end"/>
      </w:r>
    </w:p>
    <w:p w14:paraId="2A9FCDDA">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_Toc26824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4.1 土地损毁分析与预测</w:t>
      </w:r>
      <w:r>
        <w:tab/>
      </w:r>
      <w:r>
        <w:fldChar w:fldCharType="begin"/>
      </w:r>
      <w:r>
        <w:instrText xml:space="preserve"> PAGEREF _Toc26824 \h </w:instrText>
      </w:r>
      <w:r>
        <w:fldChar w:fldCharType="separate"/>
      </w:r>
      <w:r>
        <w:t>16</w:t>
      </w:r>
      <w:r>
        <w:fldChar w:fldCharType="end"/>
      </w:r>
      <w:r>
        <w:rPr>
          <w:rFonts w:ascii="Times New Roman" w:hAnsi="Times New Roman" w:eastAsia="仿宋_GB2312" w:cs="Times New Roman"/>
          <w:smallCaps/>
          <w:color w:val="000000"/>
          <w:szCs w:val="24"/>
        </w:rPr>
        <w:fldChar w:fldCharType="end"/>
      </w:r>
    </w:p>
    <w:p w14:paraId="273A5412">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_Toc6236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4.2 复垦区土地利用现状</w:t>
      </w:r>
      <w:r>
        <w:tab/>
      </w:r>
      <w:r>
        <w:fldChar w:fldCharType="begin"/>
      </w:r>
      <w:r>
        <w:instrText xml:space="preserve"> PAGEREF _Toc6236 \h </w:instrText>
      </w:r>
      <w:r>
        <w:fldChar w:fldCharType="separate"/>
      </w:r>
      <w:r>
        <w:t>26</w:t>
      </w:r>
      <w:r>
        <w:fldChar w:fldCharType="end"/>
      </w:r>
      <w:r>
        <w:rPr>
          <w:rFonts w:ascii="Times New Roman" w:hAnsi="Times New Roman" w:eastAsia="仿宋_GB2312" w:cs="Times New Roman"/>
          <w:smallCaps/>
          <w:color w:val="000000"/>
          <w:szCs w:val="24"/>
        </w:rPr>
        <w:fldChar w:fldCharType="end"/>
      </w:r>
    </w:p>
    <w:p w14:paraId="0AA70895">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_Toc910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4.3 生态环境影响分析</w:t>
      </w:r>
      <w:r>
        <w:tab/>
      </w:r>
      <w:r>
        <w:fldChar w:fldCharType="begin"/>
      </w:r>
      <w:r>
        <w:instrText xml:space="preserve"> PAGEREF _Toc910 \h </w:instrText>
      </w:r>
      <w:r>
        <w:fldChar w:fldCharType="separate"/>
      </w:r>
      <w:r>
        <w:t>27</w:t>
      </w:r>
      <w:r>
        <w:fldChar w:fldCharType="end"/>
      </w:r>
      <w:r>
        <w:rPr>
          <w:rFonts w:ascii="Times New Roman" w:hAnsi="Times New Roman" w:eastAsia="仿宋_GB2312" w:cs="Times New Roman"/>
          <w:smallCaps/>
          <w:color w:val="000000"/>
          <w:szCs w:val="24"/>
        </w:rPr>
        <w:fldChar w:fldCharType="end"/>
      </w:r>
    </w:p>
    <w:p w14:paraId="06EFC18F">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_Toc26525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4.4 土地复垦适宜性评价</w:t>
      </w:r>
      <w:r>
        <w:tab/>
      </w:r>
      <w:r>
        <w:fldChar w:fldCharType="begin"/>
      </w:r>
      <w:r>
        <w:instrText xml:space="preserve"> PAGEREF _Toc26525 \h </w:instrText>
      </w:r>
      <w:r>
        <w:fldChar w:fldCharType="separate"/>
      </w:r>
      <w:r>
        <w:t>28</w:t>
      </w:r>
      <w:r>
        <w:fldChar w:fldCharType="end"/>
      </w:r>
      <w:r>
        <w:rPr>
          <w:rFonts w:ascii="Times New Roman" w:hAnsi="Times New Roman" w:eastAsia="仿宋_GB2312" w:cs="Times New Roman"/>
          <w:smallCaps/>
          <w:color w:val="000000"/>
          <w:szCs w:val="24"/>
        </w:rPr>
        <w:fldChar w:fldCharType="end"/>
      </w:r>
    </w:p>
    <w:p w14:paraId="6A42191F">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_Toc20525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4.5 水土资源平衡分析</w:t>
      </w:r>
      <w:r>
        <w:tab/>
      </w:r>
      <w:r>
        <w:fldChar w:fldCharType="begin"/>
      </w:r>
      <w:r>
        <w:instrText xml:space="preserve"> PAGEREF _Toc20525 \h </w:instrText>
      </w:r>
      <w:r>
        <w:fldChar w:fldCharType="separate"/>
      </w:r>
      <w:r>
        <w:t>32</w:t>
      </w:r>
      <w:r>
        <w:fldChar w:fldCharType="end"/>
      </w:r>
      <w:r>
        <w:rPr>
          <w:rFonts w:ascii="Times New Roman" w:hAnsi="Times New Roman" w:eastAsia="仿宋_GB2312" w:cs="Times New Roman"/>
          <w:smallCaps/>
          <w:color w:val="000000"/>
          <w:szCs w:val="24"/>
        </w:rPr>
        <w:fldChar w:fldCharType="end"/>
      </w:r>
    </w:p>
    <w:p w14:paraId="2BD99A0C">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_Toc1841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4.</w:t>
      </w:r>
      <w:r>
        <w:rPr>
          <w:rFonts w:hint="eastAsia" w:ascii="Times New Roman" w:hAnsi="Times New Roman" w:eastAsia="黑体" w:cs="Times New Roman"/>
          <w:bCs/>
          <w:kern w:val="0"/>
          <w:szCs w:val="30"/>
        </w:rPr>
        <w:t>6</w:t>
      </w:r>
      <w:r>
        <w:rPr>
          <w:rFonts w:ascii="Times New Roman" w:hAnsi="Times New Roman" w:eastAsia="黑体" w:cs="Times New Roman"/>
          <w:bCs/>
          <w:kern w:val="0"/>
          <w:szCs w:val="30"/>
        </w:rPr>
        <w:t xml:space="preserve"> 土地复垦目标任务</w:t>
      </w:r>
      <w:r>
        <w:tab/>
      </w:r>
      <w:r>
        <w:fldChar w:fldCharType="begin"/>
      </w:r>
      <w:r>
        <w:instrText xml:space="preserve"> PAGEREF _Toc1841 \h </w:instrText>
      </w:r>
      <w:r>
        <w:fldChar w:fldCharType="separate"/>
      </w:r>
      <w:r>
        <w:t>33</w:t>
      </w:r>
      <w:r>
        <w:fldChar w:fldCharType="end"/>
      </w:r>
      <w:r>
        <w:rPr>
          <w:rFonts w:ascii="Times New Roman" w:hAnsi="Times New Roman" w:eastAsia="仿宋_GB2312" w:cs="Times New Roman"/>
          <w:smallCaps/>
          <w:color w:val="000000"/>
          <w:szCs w:val="24"/>
        </w:rPr>
        <w:fldChar w:fldCharType="end"/>
      </w:r>
    </w:p>
    <w:p w14:paraId="4396E361">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_Toc17211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5 土地复垦质量要求与复垦措施</w:t>
      </w:r>
      <w:r>
        <w:tab/>
      </w:r>
      <w:r>
        <w:fldChar w:fldCharType="begin"/>
      </w:r>
      <w:r>
        <w:instrText xml:space="preserve"> PAGEREF _Toc17211 \h </w:instrText>
      </w:r>
      <w:r>
        <w:fldChar w:fldCharType="separate"/>
      </w:r>
      <w:r>
        <w:t>34</w:t>
      </w:r>
      <w:r>
        <w:fldChar w:fldCharType="end"/>
      </w:r>
      <w:r>
        <w:rPr>
          <w:rFonts w:ascii="Times New Roman" w:hAnsi="Times New Roman" w:eastAsia="仿宋_GB2312" w:cs="Times New Roman"/>
          <w:smallCaps/>
          <w:color w:val="000000"/>
          <w:szCs w:val="24"/>
        </w:rPr>
        <w:fldChar w:fldCharType="end"/>
      </w:r>
    </w:p>
    <w:p w14:paraId="15AA7ECD">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_Toc4680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5.1 土地复垦质量要求</w:t>
      </w:r>
      <w:r>
        <w:tab/>
      </w:r>
      <w:r>
        <w:fldChar w:fldCharType="begin"/>
      </w:r>
      <w:r>
        <w:instrText xml:space="preserve"> PAGEREF _Toc4680 \h </w:instrText>
      </w:r>
      <w:r>
        <w:fldChar w:fldCharType="separate"/>
      </w:r>
      <w:r>
        <w:t>34</w:t>
      </w:r>
      <w:r>
        <w:fldChar w:fldCharType="end"/>
      </w:r>
      <w:r>
        <w:rPr>
          <w:rFonts w:ascii="Times New Roman" w:hAnsi="Times New Roman" w:eastAsia="仿宋_GB2312" w:cs="Times New Roman"/>
          <w:smallCaps/>
          <w:color w:val="000000"/>
          <w:szCs w:val="24"/>
        </w:rPr>
        <w:fldChar w:fldCharType="end"/>
      </w:r>
    </w:p>
    <w:p w14:paraId="15CBC10F">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_Toc26703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5.2 预防控制措施</w:t>
      </w:r>
      <w:r>
        <w:tab/>
      </w:r>
      <w:r>
        <w:fldChar w:fldCharType="begin"/>
      </w:r>
      <w:r>
        <w:instrText xml:space="preserve"> PAGEREF _Toc26703 \h </w:instrText>
      </w:r>
      <w:r>
        <w:fldChar w:fldCharType="separate"/>
      </w:r>
      <w:r>
        <w:t>35</w:t>
      </w:r>
      <w:r>
        <w:fldChar w:fldCharType="end"/>
      </w:r>
      <w:r>
        <w:rPr>
          <w:rFonts w:ascii="Times New Roman" w:hAnsi="Times New Roman" w:eastAsia="仿宋_GB2312" w:cs="Times New Roman"/>
          <w:smallCaps/>
          <w:color w:val="000000"/>
          <w:szCs w:val="24"/>
        </w:rPr>
        <w:fldChar w:fldCharType="end"/>
      </w:r>
    </w:p>
    <w:p w14:paraId="0DC1AA97">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_Toc30370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kern w:val="0"/>
          <w:szCs w:val="30"/>
        </w:rPr>
        <w:t>5.3 土地复垦措施</w:t>
      </w:r>
      <w:r>
        <w:tab/>
      </w:r>
      <w:r>
        <w:fldChar w:fldCharType="begin"/>
      </w:r>
      <w:r>
        <w:instrText xml:space="preserve"> PAGEREF _Toc30370 \h </w:instrText>
      </w:r>
      <w:r>
        <w:fldChar w:fldCharType="separate"/>
      </w:r>
      <w:r>
        <w:t>35</w:t>
      </w:r>
      <w:r>
        <w:fldChar w:fldCharType="end"/>
      </w:r>
      <w:r>
        <w:rPr>
          <w:rFonts w:ascii="Times New Roman" w:hAnsi="Times New Roman" w:eastAsia="仿宋_GB2312" w:cs="Times New Roman"/>
          <w:smallCaps/>
          <w:color w:val="000000"/>
          <w:szCs w:val="24"/>
        </w:rPr>
        <w:fldChar w:fldCharType="end"/>
      </w:r>
    </w:p>
    <w:p w14:paraId="55A5A72D">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_Toc19620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6 土地复垦工程设计及工程量测算</w:t>
      </w:r>
      <w:r>
        <w:tab/>
      </w:r>
      <w:r>
        <w:fldChar w:fldCharType="begin"/>
      </w:r>
      <w:r>
        <w:instrText xml:space="preserve"> PAGEREF _Toc19620 \h </w:instrText>
      </w:r>
      <w:r>
        <w:fldChar w:fldCharType="separate"/>
      </w:r>
      <w:r>
        <w:t>37</w:t>
      </w:r>
      <w:r>
        <w:fldChar w:fldCharType="end"/>
      </w:r>
      <w:r>
        <w:rPr>
          <w:rFonts w:ascii="Times New Roman" w:hAnsi="Times New Roman" w:eastAsia="仿宋_GB2312" w:cs="Times New Roman"/>
          <w:smallCaps/>
          <w:color w:val="000000"/>
          <w:szCs w:val="24"/>
        </w:rPr>
        <w:fldChar w:fldCharType="end"/>
      </w:r>
    </w:p>
    <w:p w14:paraId="5A1B0C79">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_Toc28957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6.1 土地复垦单元工程设计</w:t>
      </w:r>
      <w:r>
        <w:tab/>
      </w:r>
      <w:r>
        <w:fldChar w:fldCharType="begin"/>
      </w:r>
      <w:r>
        <w:instrText xml:space="preserve"> PAGEREF _Toc28957 \h </w:instrText>
      </w:r>
      <w:r>
        <w:fldChar w:fldCharType="separate"/>
      </w:r>
      <w:r>
        <w:t>37</w:t>
      </w:r>
      <w:r>
        <w:fldChar w:fldCharType="end"/>
      </w:r>
      <w:r>
        <w:rPr>
          <w:rFonts w:ascii="Times New Roman" w:hAnsi="Times New Roman" w:eastAsia="仿宋_GB2312" w:cs="Times New Roman"/>
          <w:smallCaps/>
          <w:color w:val="000000"/>
          <w:szCs w:val="24"/>
        </w:rPr>
        <w:fldChar w:fldCharType="end"/>
      </w:r>
    </w:p>
    <w:p w14:paraId="2C0DDB0F">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_Toc21481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6.2 土地复垦工程量测算</w:t>
      </w:r>
      <w:r>
        <w:tab/>
      </w:r>
      <w:r>
        <w:fldChar w:fldCharType="begin"/>
      </w:r>
      <w:r>
        <w:instrText xml:space="preserve"> PAGEREF _Toc21481 \h </w:instrText>
      </w:r>
      <w:r>
        <w:fldChar w:fldCharType="separate"/>
      </w:r>
      <w:r>
        <w:t>38</w:t>
      </w:r>
      <w:r>
        <w:fldChar w:fldCharType="end"/>
      </w:r>
      <w:r>
        <w:rPr>
          <w:rFonts w:ascii="Times New Roman" w:hAnsi="Times New Roman" w:eastAsia="仿宋_GB2312" w:cs="Times New Roman"/>
          <w:smallCaps/>
          <w:color w:val="000000"/>
          <w:szCs w:val="24"/>
        </w:rPr>
        <w:fldChar w:fldCharType="end"/>
      </w:r>
    </w:p>
    <w:p w14:paraId="1C3B2BEF">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_Toc12235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7 土地复垦投资估算</w:t>
      </w:r>
      <w:r>
        <w:tab/>
      </w:r>
      <w:r>
        <w:fldChar w:fldCharType="begin"/>
      </w:r>
      <w:r>
        <w:instrText xml:space="preserve"> PAGEREF _Toc12235 \h </w:instrText>
      </w:r>
      <w:r>
        <w:fldChar w:fldCharType="separate"/>
      </w:r>
      <w:r>
        <w:t>40</w:t>
      </w:r>
      <w:r>
        <w:fldChar w:fldCharType="end"/>
      </w:r>
      <w:r>
        <w:rPr>
          <w:rFonts w:ascii="Times New Roman" w:hAnsi="Times New Roman" w:eastAsia="仿宋_GB2312" w:cs="Times New Roman"/>
          <w:smallCaps/>
          <w:color w:val="000000"/>
          <w:szCs w:val="24"/>
        </w:rPr>
        <w:fldChar w:fldCharType="end"/>
      </w:r>
    </w:p>
    <w:p w14:paraId="298F8D49">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_Toc28803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7.1 估算说明</w:t>
      </w:r>
      <w:r>
        <w:tab/>
      </w:r>
      <w:r>
        <w:fldChar w:fldCharType="begin"/>
      </w:r>
      <w:r>
        <w:instrText xml:space="preserve"> PAGEREF _Toc28803 \h </w:instrText>
      </w:r>
      <w:r>
        <w:fldChar w:fldCharType="separate"/>
      </w:r>
      <w:r>
        <w:t>40</w:t>
      </w:r>
      <w:r>
        <w:fldChar w:fldCharType="end"/>
      </w:r>
      <w:r>
        <w:rPr>
          <w:rFonts w:ascii="Times New Roman" w:hAnsi="Times New Roman" w:eastAsia="仿宋_GB2312" w:cs="Times New Roman"/>
          <w:smallCaps/>
          <w:color w:val="000000"/>
          <w:szCs w:val="24"/>
        </w:rPr>
        <w:fldChar w:fldCharType="end"/>
      </w:r>
    </w:p>
    <w:p w14:paraId="06D6E698">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_Toc19893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highlight w:val="none"/>
        </w:rPr>
        <w:t>7.2 估算成果</w:t>
      </w:r>
      <w:r>
        <w:tab/>
      </w:r>
      <w:r>
        <w:fldChar w:fldCharType="begin"/>
      </w:r>
      <w:r>
        <w:instrText xml:space="preserve"> PAGEREF _Toc19893 \h </w:instrText>
      </w:r>
      <w:r>
        <w:fldChar w:fldCharType="separate"/>
      </w:r>
      <w:r>
        <w:t>45</w:t>
      </w:r>
      <w:r>
        <w:fldChar w:fldCharType="end"/>
      </w:r>
      <w:r>
        <w:rPr>
          <w:rFonts w:ascii="Times New Roman" w:hAnsi="Times New Roman" w:eastAsia="仿宋_GB2312" w:cs="Times New Roman"/>
          <w:smallCaps/>
          <w:color w:val="000000"/>
          <w:szCs w:val="24"/>
        </w:rPr>
        <w:fldChar w:fldCharType="end"/>
      </w:r>
    </w:p>
    <w:p w14:paraId="14DA1C56">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_Toc17087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8 土地复垦服务年限与复垦工作计划</w:t>
      </w:r>
      <w:r>
        <w:tab/>
      </w:r>
      <w:r>
        <w:fldChar w:fldCharType="begin"/>
      </w:r>
      <w:r>
        <w:instrText xml:space="preserve"> PAGEREF _Toc17087 \h </w:instrText>
      </w:r>
      <w:r>
        <w:fldChar w:fldCharType="separate"/>
      </w:r>
      <w:r>
        <w:t>49</w:t>
      </w:r>
      <w:r>
        <w:fldChar w:fldCharType="end"/>
      </w:r>
      <w:r>
        <w:rPr>
          <w:rFonts w:ascii="Times New Roman" w:hAnsi="Times New Roman" w:eastAsia="仿宋_GB2312" w:cs="Times New Roman"/>
          <w:smallCaps/>
          <w:color w:val="000000"/>
          <w:szCs w:val="24"/>
        </w:rPr>
        <w:fldChar w:fldCharType="end"/>
      </w:r>
    </w:p>
    <w:p w14:paraId="6FFF1203">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_Toc15795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8.1 土地复垦服务年限</w:t>
      </w:r>
      <w:r>
        <w:tab/>
      </w:r>
      <w:r>
        <w:fldChar w:fldCharType="begin"/>
      </w:r>
      <w:r>
        <w:instrText xml:space="preserve"> PAGEREF _Toc15795 \h </w:instrText>
      </w:r>
      <w:r>
        <w:fldChar w:fldCharType="separate"/>
      </w:r>
      <w:r>
        <w:t>49</w:t>
      </w:r>
      <w:r>
        <w:fldChar w:fldCharType="end"/>
      </w:r>
      <w:r>
        <w:rPr>
          <w:rFonts w:ascii="Times New Roman" w:hAnsi="Times New Roman" w:eastAsia="仿宋_GB2312" w:cs="Times New Roman"/>
          <w:smallCaps/>
          <w:color w:val="000000"/>
          <w:szCs w:val="24"/>
        </w:rPr>
        <w:fldChar w:fldCharType="end"/>
      </w:r>
    </w:p>
    <w:p w14:paraId="1707B85E">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_Toc32463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8.2 土地复垦工作计划安排</w:t>
      </w:r>
      <w:r>
        <w:tab/>
      </w:r>
      <w:r>
        <w:fldChar w:fldCharType="begin"/>
      </w:r>
      <w:r>
        <w:instrText xml:space="preserve"> PAGEREF _Toc32463 \h </w:instrText>
      </w:r>
      <w:r>
        <w:fldChar w:fldCharType="separate"/>
      </w:r>
      <w:r>
        <w:t>49</w:t>
      </w:r>
      <w:r>
        <w:fldChar w:fldCharType="end"/>
      </w:r>
      <w:r>
        <w:rPr>
          <w:rFonts w:ascii="Times New Roman" w:hAnsi="Times New Roman" w:eastAsia="仿宋_GB2312" w:cs="Times New Roman"/>
          <w:smallCaps/>
          <w:color w:val="000000"/>
          <w:szCs w:val="24"/>
        </w:rPr>
        <w:fldChar w:fldCharType="end"/>
      </w:r>
    </w:p>
    <w:p w14:paraId="04B733D2">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_Toc9473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8.3 土地复垦费用安排</w:t>
      </w:r>
      <w:r>
        <w:tab/>
      </w:r>
      <w:r>
        <w:fldChar w:fldCharType="begin"/>
      </w:r>
      <w:r>
        <w:instrText xml:space="preserve"> PAGEREF _Toc9473 \h </w:instrText>
      </w:r>
      <w:r>
        <w:fldChar w:fldCharType="separate"/>
      </w:r>
      <w:r>
        <w:t>50</w:t>
      </w:r>
      <w:r>
        <w:fldChar w:fldCharType="end"/>
      </w:r>
      <w:r>
        <w:rPr>
          <w:rFonts w:ascii="Times New Roman" w:hAnsi="Times New Roman" w:eastAsia="仿宋_GB2312" w:cs="Times New Roman"/>
          <w:smallCaps/>
          <w:color w:val="000000"/>
          <w:szCs w:val="24"/>
        </w:rPr>
        <w:fldChar w:fldCharType="end"/>
      </w:r>
    </w:p>
    <w:p w14:paraId="342FC47A">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_Toc14220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9 土地复垦效益分析</w:t>
      </w:r>
      <w:r>
        <w:tab/>
      </w:r>
      <w:r>
        <w:fldChar w:fldCharType="begin"/>
      </w:r>
      <w:r>
        <w:instrText xml:space="preserve"> PAGEREF _Toc14220 \h </w:instrText>
      </w:r>
      <w:r>
        <w:fldChar w:fldCharType="separate"/>
      </w:r>
      <w:r>
        <w:t>51</w:t>
      </w:r>
      <w:r>
        <w:fldChar w:fldCharType="end"/>
      </w:r>
      <w:r>
        <w:rPr>
          <w:rFonts w:ascii="Times New Roman" w:hAnsi="Times New Roman" w:eastAsia="仿宋_GB2312" w:cs="Times New Roman"/>
          <w:smallCaps/>
          <w:color w:val="000000"/>
          <w:szCs w:val="24"/>
        </w:rPr>
        <w:fldChar w:fldCharType="end"/>
      </w:r>
    </w:p>
    <w:p w14:paraId="4A14ED39">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_Toc27511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spacing w:val="1"/>
          <w:position w:val="-1"/>
          <w:szCs w:val="30"/>
        </w:rPr>
        <w:t>9.1 社会效益</w:t>
      </w:r>
      <w:r>
        <w:tab/>
      </w:r>
      <w:r>
        <w:fldChar w:fldCharType="begin"/>
      </w:r>
      <w:r>
        <w:instrText xml:space="preserve"> PAGEREF _Toc27511 \h </w:instrText>
      </w:r>
      <w:r>
        <w:fldChar w:fldCharType="separate"/>
      </w:r>
      <w:r>
        <w:t>51</w:t>
      </w:r>
      <w:r>
        <w:fldChar w:fldCharType="end"/>
      </w:r>
      <w:r>
        <w:rPr>
          <w:rFonts w:ascii="Times New Roman" w:hAnsi="Times New Roman" w:eastAsia="仿宋_GB2312" w:cs="Times New Roman"/>
          <w:smallCaps/>
          <w:color w:val="000000"/>
          <w:szCs w:val="24"/>
        </w:rPr>
        <w:fldChar w:fldCharType="end"/>
      </w:r>
    </w:p>
    <w:p w14:paraId="1D640CC2">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_Toc23624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spacing w:val="1"/>
          <w:position w:val="-1"/>
          <w:szCs w:val="30"/>
        </w:rPr>
        <w:t>9.2生态效益</w:t>
      </w:r>
      <w:r>
        <w:tab/>
      </w:r>
      <w:r>
        <w:fldChar w:fldCharType="begin"/>
      </w:r>
      <w:r>
        <w:instrText xml:space="preserve"> PAGEREF _Toc23624 \h </w:instrText>
      </w:r>
      <w:r>
        <w:fldChar w:fldCharType="separate"/>
      </w:r>
      <w:r>
        <w:t>51</w:t>
      </w:r>
      <w:r>
        <w:fldChar w:fldCharType="end"/>
      </w:r>
      <w:r>
        <w:rPr>
          <w:rFonts w:ascii="Times New Roman" w:hAnsi="Times New Roman" w:eastAsia="仿宋_GB2312" w:cs="Times New Roman"/>
          <w:smallCaps/>
          <w:color w:val="000000"/>
          <w:szCs w:val="24"/>
        </w:rPr>
        <w:fldChar w:fldCharType="end"/>
      </w:r>
    </w:p>
    <w:p w14:paraId="585823D0">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_Toc13967 </w:instrText>
      </w:r>
      <w:r>
        <w:rPr>
          <w:rFonts w:ascii="Times New Roman" w:hAnsi="Times New Roman" w:eastAsia="仿宋_GB2312" w:cs="Times New Roman"/>
          <w:smallCaps/>
          <w:szCs w:val="24"/>
        </w:rPr>
        <w:fldChar w:fldCharType="separate"/>
      </w:r>
      <w:r>
        <w:rPr>
          <w:rFonts w:ascii="Times New Roman" w:hAnsi="Times New Roman" w:eastAsia="黑体" w:cs="Times New Roman"/>
          <w:bCs/>
          <w:spacing w:val="1"/>
          <w:position w:val="-1"/>
          <w:szCs w:val="30"/>
        </w:rPr>
        <w:t>9.3 经济效益</w:t>
      </w:r>
      <w:r>
        <w:tab/>
      </w:r>
      <w:r>
        <w:fldChar w:fldCharType="begin"/>
      </w:r>
      <w:r>
        <w:instrText xml:space="preserve"> PAGEREF _Toc13967 \h </w:instrText>
      </w:r>
      <w:r>
        <w:fldChar w:fldCharType="separate"/>
      </w:r>
      <w:r>
        <w:t>52</w:t>
      </w:r>
      <w:r>
        <w:fldChar w:fldCharType="end"/>
      </w:r>
      <w:r>
        <w:rPr>
          <w:rFonts w:ascii="Times New Roman" w:hAnsi="Times New Roman" w:eastAsia="仿宋_GB2312" w:cs="Times New Roman"/>
          <w:smallCaps/>
          <w:color w:val="000000"/>
          <w:szCs w:val="24"/>
        </w:rPr>
        <w:fldChar w:fldCharType="end"/>
      </w:r>
    </w:p>
    <w:p w14:paraId="7A5AE1C6">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_Toc27195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10 保障措施</w:t>
      </w:r>
      <w:r>
        <w:tab/>
      </w:r>
      <w:r>
        <w:fldChar w:fldCharType="begin"/>
      </w:r>
      <w:r>
        <w:instrText xml:space="preserve"> PAGEREF _Toc27195 \h </w:instrText>
      </w:r>
      <w:r>
        <w:fldChar w:fldCharType="separate"/>
      </w:r>
      <w:r>
        <w:t>53</w:t>
      </w:r>
      <w:r>
        <w:fldChar w:fldCharType="end"/>
      </w:r>
      <w:r>
        <w:rPr>
          <w:rFonts w:ascii="Times New Roman" w:hAnsi="Times New Roman" w:eastAsia="仿宋_GB2312" w:cs="Times New Roman"/>
          <w:smallCaps/>
          <w:color w:val="000000"/>
          <w:szCs w:val="24"/>
        </w:rPr>
        <w:fldChar w:fldCharType="end"/>
      </w:r>
    </w:p>
    <w:p w14:paraId="26373BE0">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_Toc28068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10.1 组织保障措施</w:t>
      </w:r>
      <w:r>
        <w:tab/>
      </w:r>
      <w:r>
        <w:fldChar w:fldCharType="begin"/>
      </w:r>
      <w:r>
        <w:instrText xml:space="preserve"> PAGEREF _Toc28068 \h </w:instrText>
      </w:r>
      <w:r>
        <w:fldChar w:fldCharType="separate"/>
      </w:r>
      <w:r>
        <w:t>53</w:t>
      </w:r>
      <w:r>
        <w:fldChar w:fldCharType="end"/>
      </w:r>
      <w:r>
        <w:rPr>
          <w:rFonts w:ascii="Times New Roman" w:hAnsi="Times New Roman" w:eastAsia="仿宋_GB2312" w:cs="Times New Roman"/>
          <w:smallCaps/>
          <w:color w:val="000000"/>
          <w:szCs w:val="24"/>
        </w:rPr>
        <w:fldChar w:fldCharType="end"/>
      </w:r>
    </w:p>
    <w:p w14:paraId="40FCF3D8">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_Toc5712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10.2 费用保障措施</w:t>
      </w:r>
      <w:r>
        <w:tab/>
      </w:r>
      <w:r>
        <w:fldChar w:fldCharType="begin"/>
      </w:r>
      <w:r>
        <w:instrText xml:space="preserve"> PAGEREF _Toc5712 \h </w:instrText>
      </w:r>
      <w:r>
        <w:fldChar w:fldCharType="separate"/>
      </w:r>
      <w:r>
        <w:t>54</w:t>
      </w:r>
      <w:r>
        <w:fldChar w:fldCharType="end"/>
      </w:r>
      <w:r>
        <w:rPr>
          <w:rFonts w:ascii="Times New Roman" w:hAnsi="Times New Roman" w:eastAsia="仿宋_GB2312" w:cs="Times New Roman"/>
          <w:smallCaps/>
          <w:color w:val="000000"/>
          <w:szCs w:val="24"/>
        </w:rPr>
        <w:fldChar w:fldCharType="end"/>
      </w:r>
    </w:p>
    <w:p w14:paraId="3E6BA005">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_Toc6408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10.3 监管保障措施</w:t>
      </w:r>
      <w:r>
        <w:tab/>
      </w:r>
      <w:r>
        <w:fldChar w:fldCharType="begin"/>
      </w:r>
      <w:r>
        <w:instrText xml:space="preserve"> PAGEREF _Toc6408 \h </w:instrText>
      </w:r>
      <w:r>
        <w:fldChar w:fldCharType="separate"/>
      </w:r>
      <w:r>
        <w:t>55</w:t>
      </w:r>
      <w:r>
        <w:fldChar w:fldCharType="end"/>
      </w:r>
      <w:r>
        <w:rPr>
          <w:rFonts w:ascii="Times New Roman" w:hAnsi="Times New Roman" w:eastAsia="仿宋_GB2312" w:cs="Times New Roman"/>
          <w:smallCaps/>
          <w:color w:val="000000"/>
          <w:szCs w:val="24"/>
        </w:rPr>
        <w:fldChar w:fldCharType="end"/>
      </w:r>
    </w:p>
    <w:p w14:paraId="533BA0B8">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_Toc6745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10.4 技术保障</w:t>
      </w:r>
      <w:r>
        <w:tab/>
      </w:r>
      <w:r>
        <w:fldChar w:fldCharType="begin"/>
      </w:r>
      <w:r>
        <w:instrText xml:space="preserve"> PAGEREF _Toc6745 \h </w:instrText>
      </w:r>
      <w:r>
        <w:fldChar w:fldCharType="separate"/>
      </w:r>
      <w:r>
        <w:t>57</w:t>
      </w:r>
      <w:r>
        <w:fldChar w:fldCharType="end"/>
      </w:r>
      <w:r>
        <w:rPr>
          <w:rFonts w:ascii="Times New Roman" w:hAnsi="Times New Roman" w:eastAsia="仿宋_GB2312" w:cs="Times New Roman"/>
          <w:smallCaps/>
          <w:color w:val="000000"/>
          <w:szCs w:val="24"/>
        </w:rPr>
        <w:fldChar w:fldCharType="end"/>
      </w:r>
    </w:p>
    <w:p w14:paraId="1E0A67BE">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_Toc15076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10.5公众参与</w:t>
      </w:r>
      <w:r>
        <w:tab/>
      </w:r>
      <w:r>
        <w:fldChar w:fldCharType="begin"/>
      </w:r>
      <w:r>
        <w:instrText xml:space="preserve"> PAGEREF _Toc15076 \h </w:instrText>
      </w:r>
      <w:r>
        <w:fldChar w:fldCharType="separate"/>
      </w:r>
      <w:r>
        <w:t>57</w:t>
      </w:r>
      <w:r>
        <w:fldChar w:fldCharType="end"/>
      </w:r>
      <w:r>
        <w:rPr>
          <w:rFonts w:ascii="Times New Roman" w:hAnsi="Times New Roman" w:eastAsia="仿宋_GB2312" w:cs="Times New Roman"/>
          <w:smallCaps/>
          <w:color w:val="000000"/>
          <w:szCs w:val="24"/>
        </w:rPr>
        <w:fldChar w:fldCharType="end"/>
      </w:r>
    </w:p>
    <w:p w14:paraId="64709FE5">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_Toc26876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10.6竣工验收和监督管理</w:t>
      </w:r>
      <w:r>
        <w:tab/>
      </w:r>
      <w:r>
        <w:fldChar w:fldCharType="begin"/>
      </w:r>
      <w:r>
        <w:instrText xml:space="preserve"> PAGEREF _Toc26876 \h </w:instrText>
      </w:r>
      <w:r>
        <w:fldChar w:fldCharType="separate"/>
      </w:r>
      <w:r>
        <w:t>61</w:t>
      </w:r>
      <w:r>
        <w:fldChar w:fldCharType="end"/>
      </w:r>
      <w:r>
        <w:rPr>
          <w:rFonts w:ascii="Times New Roman" w:hAnsi="Times New Roman" w:eastAsia="仿宋_GB2312" w:cs="Times New Roman"/>
          <w:smallCaps/>
          <w:color w:val="000000"/>
          <w:szCs w:val="24"/>
        </w:rPr>
        <w:fldChar w:fldCharType="end"/>
      </w:r>
    </w:p>
    <w:p w14:paraId="0F073787">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_Toc30718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10.7 土地权属调整方案</w:t>
      </w:r>
      <w:r>
        <w:tab/>
      </w:r>
      <w:r>
        <w:fldChar w:fldCharType="begin"/>
      </w:r>
      <w:r>
        <w:instrText xml:space="preserve"> PAGEREF _Toc30718 \h </w:instrText>
      </w:r>
      <w:r>
        <w:fldChar w:fldCharType="separate"/>
      </w:r>
      <w:r>
        <w:t>61</w:t>
      </w:r>
      <w:r>
        <w:fldChar w:fldCharType="end"/>
      </w:r>
      <w:r>
        <w:rPr>
          <w:rFonts w:ascii="Times New Roman" w:hAnsi="Times New Roman" w:eastAsia="仿宋_GB2312" w:cs="Times New Roman"/>
          <w:smallCaps/>
          <w:color w:val="000000"/>
          <w:szCs w:val="24"/>
        </w:rPr>
        <w:fldChar w:fldCharType="end"/>
      </w:r>
    </w:p>
    <w:p w14:paraId="44B30995">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_Toc26059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10.8 结论与建议</w:t>
      </w:r>
      <w:r>
        <w:tab/>
      </w:r>
      <w:r>
        <w:fldChar w:fldCharType="begin"/>
      </w:r>
      <w:r>
        <w:instrText xml:space="preserve"> PAGEREF _Toc26059 \h </w:instrText>
      </w:r>
      <w:r>
        <w:fldChar w:fldCharType="separate"/>
      </w:r>
      <w:r>
        <w:t>61</w:t>
      </w:r>
      <w:r>
        <w:fldChar w:fldCharType="end"/>
      </w:r>
      <w:r>
        <w:rPr>
          <w:rFonts w:ascii="Times New Roman" w:hAnsi="Times New Roman" w:eastAsia="仿宋_GB2312" w:cs="Times New Roman"/>
          <w:smallCaps/>
          <w:color w:val="000000"/>
          <w:szCs w:val="24"/>
        </w:rPr>
        <w:fldChar w:fldCharType="end"/>
      </w:r>
    </w:p>
    <w:p w14:paraId="7B5E0CBF">
      <w:pPr>
        <w:pStyle w:val="59"/>
        <w:tabs>
          <w:tab w:val="right" w:leader="dot" w:pos="9070"/>
          <w:tab w:val="clear" w:pos="906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_Toc22493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32"/>
        </w:rPr>
        <w:t>11 土地复垦方案编制成果</w:t>
      </w:r>
      <w:r>
        <w:tab/>
      </w:r>
      <w:r>
        <w:fldChar w:fldCharType="begin"/>
      </w:r>
      <w:r>
        <w:instrText xml:space="preserve"> PAGEREF _Toc22493 \h </w:instrText>
      </w:r>
      <w:r>
        <w:fldChar w:fldCharType="separate"/>
      </w:r>
      <w:r>
        <w:t>63</w:t>
      </w:r>
      <w:r>
        <w:fldChar w:fldCharType="end"/>
      </w:r>
      <w:r>
        <w:rPr>
          <w:rFonts w:ascii="Times New Roman" w:hAnsi="Times New Roman" w:eastAsia="仿宋_GB2312" w:cs="Times New Roman"/>
          <w:smallCaps/>
          <w:color w:val="000000"/>
          <w:szCs w:val="24"/>
        </w:rPr>
        <w:fldChar w:fldCharType="end"/>
      </w:r>
    </w:p>
    <w:p w14:paraId="5024258C">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_Toc27499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11.1 报告</w:t>
      </w:r>
      <w:r>
        <w:tab/>
      </w:r>
      <w:r>
        <w:fldChar w:fldCharType="begin"/>
      </w:r>
      <w:r>
        <w:instrText xml:space="preserve"> PAGEREF _Toc27499 \h </w:instrText>
      </w:r>
      <w:r>
        <w:fldChar w:fldCharType="separate"/>
      </w:r>
      <w:r>
        <w:t>63</w:t>
      </w:r>
      <w:r>
        <w:fldChar w:fldCharType="end"/>
      </w:r>
      <w:r>
        <w:rPr>
          <w:rFonts w:ascii="Times New Roman" w:hAnsi="Times New Roman" w:eastAsia="仿宋_GB2312" w:cs="Times New Roman"/>
          <w:smallCaps/>
          <w:color w:val="000000"/>
          <w:szCs w:val="24"/>
        </w:rPr>
        <w:fldChar w:fldCharType="end"/>
      </w:r>
    </w:p>
    <w:p w14:paraId="27A3176F">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_Toc24292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11.2 附图</w:t>
      </w:r>
      <w:r>
        <w:tab/>
      </w:r>
      <w:r>
        <w:fldChar w:fldCharType="begin"/>
      </w:r>
      <w:r>
        <w:instrText xml:space="preserve"> PAGEREF _Toc24292 \h </w:instrText>
      </w:r>
      <w:r>
        <w:fldChar w:fldCharType="separate"/>
      </w:r>
      <w:r>
        <w:t>63</w:t>
      </w:r>
      <w:r>
        <w:fldChar w:fldCharType="end"/>
      </w:r>
      <w:r>
        <w:rPr>
          <w:rFonts w:ascii="Times New Roman" w:hAnsi="Times New Roman" w:eastAsia="仿宋_GB2312" w:cs="Times New Roman"/>
          <w:smallCaps/>
          <w:color w:val="000000"/>
          <w:szCs w:val="24"/>
        </w:rPr>
        <w:fldChar w:fldCharType="end"/>
      </w:r>
    </w:p>
    <w:p w14:paraId="42238197">
      <w:pPr>
        <w:pStyle w:val="74"/>
        <w:tabs>
          <w:tab w:val="right" w:leader="dot" w:pos="9070"/>
        </w:tabs>
      </w:pPr>
      <w:r>
        <w:rPr>
          <w:rFonts w:ascii="Times New Roman" w:hAnsi="Times New Roman" w:eastAsia="仿宋_GB2312" w:cs="Times New Roman"/>
          <w:smallCaps/>
          <w:color w:val="000000"/>
          <w:szCs w:val="24"/>
        </w:rPr>
        <w:fldChar w:fldCharType="begin"/>
      </w:r>
      <w:r>
        <w:rPr>
          <w:rFonts w:ascii="Times New Roman" w:hAnsi="Times New Roman" w:eastAsia="仿宋_GB2312" w:cs="Times New Roman"/>
          <w:smallCaps/>
          <w:szCs w:val="24"/>
        </w:rPr>
        <w:instrText xml:space="preserve"> HYPERLINK \l _Toc30652 </w:instrText>
      </w:r>
      <w:r>
        <w:rPr>
          <w:rFonts w:ascii="Times New Roman" w:hAnsi="Times New Roman" w:eastAsia="仿宋_GB2312" w:cs="Times New Roman"/>
          <w:smallCaps/>
          <w:szCs w:val="24"/>
        </w:rPr>
        <w:fldChar w:fldCharType="separate"/>
      </w:r>
      <w:r>
        <w:rPr>
          <w:rFonts w:ascii="Times New Roman" w:hAnsi="Times New Roman" w:eastAsia="黑体" w:cs="Times New Roman"/>
          <w:szCs w:val="28"/>
        </w:rPr>
        <w:t>11.3 附件</w:t>
      </w:r>
      <w:r>
        <w:tab/>
      </w:r>
      <w:r>
        <w:fldChar w:fldCharType="begin"/>
      </w:r>
      <w:r>
        <w:instrText xml:space="preserve"> PAGEREF _Toc30652 \h </w:instrText>
      </w:r>
      <w:r>
        <w:fldChar w:fldCharType="separate"/>
      </w:r>
      <w:r>
        <w:t>63</w:t>
      </w:r>
      <w:r>
        <w:fldChar w:fldCharType="end"/>
      </w:r>
      <w:r>
        <w:rPr>
          <w:rFonts w:ascii="Times New Roman" w:hAnsi="Times New Roman" w:eastAsia="仿宋_GB2312" w:cs="Times New Roman"/>
          <w:smallCaps/>
          <w:color w:val="000000"/>
          <w:szCs w:val="24"/>
        </w:rPr>
        <w:fldChar w:fldCharType="end"/>
      </w:r>
    </w:p>
    <w:p w14:paraId="3416F09E">
      <w:pPr>
        <w:spacing w:line="500" w:lineRule="exact"/>
        <w:ind w:firstLine="480" w:firstLineChars="200"/>
        <w:rPr>
          <w:rFonts w:ascii="Times New Roman" w:hAnsi="Times New Roman" w:eastAsia="仿宋_GB2312" w:cs="Times New Roman"/>
          <w:color w:val="000000"/>
          <w:sz w:val="24"/>
          <w:szCs w:val="24"/>
        </w:rPr>
        <w:sectPr>
          <w:headerReference r:id="rId11" w:type="default"/>
          <w:footerReference r:id="rId13" w:type="default"/>
          <w:headerReference r:id="rId12" w:type="even"/>
          <w:footerReference r:id="rId14" w:type="even"/>
          <w:pgSz w:w="11906" w:h="16838"/>
          <w:pgMar w:top="1701" w:right="1418" w:bottom="1418" w:left="1418" w:header="851" w:footer="992" w:gutter="0"/>
          <w:pgNumType w:start="1"/>
          <w:cols w:space="720" w:num="1"/>
          <w:docGrid w:type="lines" w:linePitch="326" w:charSpace="0"/>
        </w:sectPr>
      </w:pPr>
      <w:r>
        <w:rPr>
          <w:rFonts w:ascii="Times New Roman" w:hAnsi="Times New Roman" w:eastAsia="仿宋_GB2312" w:cs="Times New Roman"/>
          <w:smallCaps/>
          <w:color w:val="000000"/>
          <w:szCs w:val="24"/>
        </w:rPr>
        <w:fldChar w:fldCharType="end"/>
      </w:r>
    </w:p>
    <w:p w14:paraId="186E4386">
      <w:pPr>
        <w:tabs>
          <w:tab w:val="left" w:pos="3617"/>
          <w:tab w:val="center" w:pos="4535"/>
        </w:tabs>
        <w:snapToGrid w:val="0"/>
        <w:spacing w:before="156" w:beforeLines="50" w:after="156" w:afterLines="50" w:line="360" w:lineRule="auto"/>
        <w:ind w:left="0" w:leftChars="0" w:firstLine="0" w:firstLineChars="0"/>
        <w:jc w:val="center"/>
        <w:outlineLvl w:val="0"/>
        <w:rPr>
          <w:rFonts w:ascii="Times New Roman" w:hAnsi="Times New Roman" w:eastAsia="黑体" w:cs="Times New Roman"/>
          <w:b/>
          <w:color w:val="000000"/>
          <w:sz w:val="32"/>
          <w:szCs w:val="32"/>
        </w:rPr>
      </w:pPr>
      <w:bookmarkStart w:id="0" w:name="_Toc332007987"/>
      <w:bookmarkStart w:id="1" w:name="_Toc19864"/>
      <w:bookmarkStart w:id="2" w:name="_Toc402958181"/>
      <w:r>
        <w:rPr>
          <w:rFonts w:ascii="Times New Roman" w:hAnsi="Times New Roman" w:eastAsia="黑体" w:cs="Times New Roman"/>
          <w:b/>
          <w:color w:val="000000"/>
          <w:sz w:val="32"/>
          <w:szCs w:val="32"/>
        </w:rPr>
        <w:t>1 前 言</w:t>
      </w:r>
      <w:bookmarkEnd w:id="0"/>
      <w:bookmarkEnd w:id="1"/>
      <w:bookmarkEnd w:id="2"/>
    </w:p>
    <w:p w14:paraId="75D541DF">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3" w:name="_Toc332007988"/>
      <w:bookmarkStart w:id="4" w:name="_Toc2307"/>
      <w:bookmarkStart w:id="5" w:name="_Toc402958182"/>
      <w:bookmarkStart w:id="6" w:name="_Toc402958183"/>
      <w:bookmarkStart w:id="7" w:name="_Toc320873011"/>
      <w:bookmarkStart w:id="8" w:name="_Toc278910444"/>
      <w:r>
        <w:rPr>
          <w:rFonts w:ascii="Times New Roman" w:hAnsi="Times New Roman" w:eastAsia="黑体" w:cs="Times New Roman"/>
          <w:b/>
          <w:bCs/>
          <w:color w:val="000000"/>
          <w:kern w:val="0"/>
          <w:sz w:val="30"/>
          <w:szCs w:val="30"/>
        </w:rPr>
        <w:t>1.1 编制背景</w:t>
      </w:r>
      <w:bookmarkEnd w:id="3"/>
      <w:r>
        <w:rPr>
          <w:rFonts w:ascii="Times New Roman" w:hAnsi="Times New Roman" w:eastAsia="黑体" w:cs="Times New Roman"/>
          <w:b/>
          <w:bCs/>
          <w:color w:val="000000"/>
          <w:kern w:val="0"/>
          <w:sz w:val="30"/>
          <w:szCs w:val="30"/>
        </w:rPr>
        <w:t>及过程</w:t>
      </w:r>
      <w:bookmarkEnd w:id="4"/>
      <w:bookmarkEnd w:id="5"/>
    </w:p>
    <w:p w14:paraId="66745B69">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吐哈油田分公司隶属于中国石油天然气股份有限公司，总部位于新疆哈密市伊州区，是在二十世纪八十年代末，国家提出“稳定东部、发展西部”石油发展战略的大背景下，按照“新体制、新技术，高水平、高效益”两新两高体制，开发建设起来的现代化油田。经过近二十年的艰苦努力，吐哈油田已经发展成为集油气勘探与生产、石油工程技术服务、矿区后勤服务等多种产业于一体，跨国、跨地区经营的大型国有企业。</w:t>
      </w:r>
    </w:p>
    <w:p w14:paraId="120F900F">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吐哈油田探区包括吐哈、三塘湖、民和、银额、中口子五个中小盆地，目前吐哈油田共发现并开发了鄯善、温吉桑、丘陵、红连、神泉、葡北、雁木西、红台、鲁克沁、三塘湖等21个油气田，累计生产油气5490万吨（原油4170万吨、天然气165亿方）。进入新时期新起点，吐哈油田以科学发展观为统领，坚持“两新两高”工作方针，突出降本增效工作主线，持续推进“油气增长、持续创新、效益提升”三大战略，协调发展“油气生产、工程技术、矿区服务”三大业务，在东疆石炭系勘探获得大突破、大发现的前提下，努力把吐哈油田建设成为产量稳定增长、经济效益良好、科技优势突出、安全环保先进、人才充分利用、内部和谐稳定、持续有效发展的现代化油田。</w:t>
      </w:r>
    </w:p>
    <w:p w14:paraId="13520BF2">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cs="Times New Roman"/>
          <w:color w:val="000000"/>
          <w:sz w:val="24"/>
          <w:szCs w:val="24"/>
          <w:lang w:eastAsia="zh-CN"/>
        </w:rPr>
        <w:t>中国石油吐哈油田三塘湖采油管理区马T101H井场等两口井压裂施工项目临时用地</w:t>
      </w:r>
      <w:r>
        <w:rPr>
          <w:rFonts w:hint="eastAsia" w:ascii="Times New Roman" w:hAnsi="Times New Roman" w:eastAsia="仿宋_GB2312" w:cs="Times New Roman"/>
          <w:color w:val="000000"/>
          <w:sz w:val="24"/>
          <w:szCs w:val="24"/>
        </w:rPr>
        <w:t>属于</w:t>
      </w:r>
      <w:r>
        <w:rPr>
          <w:rFonts w:hint="eastAsia" w:cs="Times New Roman"/>
          <w:color w:val="000000"/>
          <w:sz w:val="24"/>
          <w:szCs w:val="24"/>
          <w:lang w:eastAsia="zh-CN"/>
        </w:rPr>
        <w:t>中石油吐哈油田分公司三塘湖采油管理区</w:t>
      </w:r>
      <w:r>
        <w:rPr>
          <w:rFonts w:hint="eastAsia" w:ascii="Times New Roman" w:hAnsi="Times New Roman" w:eastAsia="仿宋_GB2312" w:cs="Times New Roman"/>
          <w:color w:val="000000"/>
          <w:sz w:val="24"/>
          <w:szCs w:val="24"/>
        </w:rPr>
        <w:t>，</w:t>
      </w:r>
      <w:r>
        <w:rPr>
          <w:rFonts w:hint="eastAsia" w:cs="Times New Roman"/>
          <w:color w:val="000000"/>
          <w:sz w:val="24"/>
          <w:szCs w:val="24"/>
          <w:lang w:val="en-US" w:eastAsia="zh-CN"/>
        </w:rPr>
        <w:t>包含</w:t>
      </w:r>
      <w:r>
        <w:rPr>
          <w:rFonts w:hint="eastAsia" w:ascii="Times New Roman" w:hAnsi="Times New Roman" w:eastAsia="仿宋_GB2312" w:cs="Times New Roman"/>
          <w:color w:val="000000"/>
          <w:sz w:val="24"/>
          <w:szCs w:val="24"/>
          <w:lang w:eastAsia="zh-CN"/>
        </w:rPr>
        <w:t>马T101H</w:t>
      </w:r>
      <w:r>
        <w:rPr>
          <w:rFonts w:hint="eastAsia" w:cs="Times New Roman"/>
          <w:color w:val="000000"/>
          <w:sz w:val="24"/>
          <w:szCs w:val="24"/>
          <w:lang w:eastAsia="zh-CN"/>
        </w:rPr>
        <w:t>、</w:t>
      </w:r>
      <w:r>
        <w:rPr>
          <w:rFonts w:hint="eastAsia" w:ascii="Times New Roman" w:hAnsi="Times New Roman" w:eastAsia="仿宋_GB2312" w:cs="Times New Roman"/>
          <w:color w:val="000000"/>
          <w:sz w:val="24"/>
          <w:szCs w:val="24"/>
          <w:lang w:val="en-US" w:eastAsia="zh-CN"/>
        </w:rPr>
        <w:t>马T5-1H</w:t>
      </w:r>
      <w:r>
        <w:rPr>
          <w:rFonts w:hint="eastAsia" w:cs="Times New Roman"/>
          <w:color w:val="000000"/>
          <w:sz w:val="24"/>
          <w:szCs w:val="24"/>
          <w:lang w:val="en-US" w:eastAsia="zh-CN"/>
        </w:rPr>
        <w:t>两口</w:t>
      </w:r>
      <w:r>
        <w:rPr>
          <w:rFonts w:hint="eastAsia" w:ascii="Times New Roman" w:hAnsi="Times New Roman" w:eastAsia="仿宋_GB2312" w:cs="Times New Roman"/>
          <w:color w:val="000000"/>
          <w:sz w:val="24"/>
          <w:szCs w:val="24"/>
          <w:lang w:val="en-US" w:eastAsia="zh-CN"/>
        </w:rPr>
        <w:t>井场</w:t>
      </w:r>
      <w:r>
        <w:rPr>
          <w:rFonts w:hint="eastAsia" w:cs="Times New Roman"/>
          <w:color w:val="000000"/>
          <w:sz w:val="24"/>
          <w:szCs w:val="24"/>
          <w:lang w:val="en-US" w:eastAsia="zh-CN"/>
        </w:rPr>
        <w:t>，位于</w:t>
      </w:r>
      <w:r>
        <w:rPr>
          <w:rFonts w:hint="eastAsia" w:ascii="Times New Roman" w:hAnsi="Times New Roman" w:eastAsia="仿宋_GB2312" w:cs="Times New Roman"/>
          <w:color w:val="000000"/>
          <w:sz w:val="24"/>
          <w:szCs w:val="24"/>
          <w:lang w:eastAsia="zh-CN"/>
        </w:rPr>
        <w:t>巴里坤县三塘湖镇直辖</w:t>
      </w:r>
      <w:r>
        <w:rPr>
          <w:rFonts w:hint="eastAsia" w:ascii="Times New Roman" w:hAnsi="Times New Roman" w:eastAsia="仿宋_GB2312" w:cs="Times New Roman"/>
          <w:color w:val="000000"/>
          <w:sz w:val="24"/>
          <w:szCs w:val="24"/>
        </w:rPr>
        <w:t>境内</w:t>
      </w:r>
      <w:r>
        <w:rPr>
          <w:rFonts w:hint="eastAsia" w:cs="Times New Roman"/>
          <w:color w:val="000000"/>
          <w:sz w:val="24"/>
          <w:szCs w:val="24"/>
          <w:lang w:eastAsia="zh-CN"/>
        </w:rPr>
        <w:t>，</w:t>
      </w:r>
      <w:r>
        <w:rPr>
          <w:rFonts w:hint="eastAsia" w:ascii="Times New Roman" w:hAnsi="Times New Roman" w:eastAsia="仿宋_GB2312" w:cs="Times New Roman"/>
          <w:color w:val="000000"/>
          <w:sz w:val="24"/>
          <w:szCs w:val="24"/>
        </w:rPr>
        <w:t>项目建设期为202</w:t>
      </w:r>
      <w:r>
        <w:rPr>
          <w:rFonts w:hint="eastAsia" w:cs="Times New Roman"/>
          <w:color w:val="000000"/>
          <w:sz w:val="24"/>
          <w:szCs w:val="24"/>
          <w:lang w:val="en-US" w:eastAsia="zh-CN"/>
        </w:rPr>
        <w:t>5</w:t>
      </w:r>
      <w:r>
        <w:rPr>
          <w:rFonts w:hint="eastAsia" w:ascii="Times New Roman" w:hAnsi="Times New Roman" w:eastAsia="仿宋_GB2312" w:cs="Times New Roman"/>
          <w:color w:val="000000"/>
          <w:sz w:val="24"/>
          <w:szCs w:val="24"/>
        </w:rPr>
        <w:t>年</w:t>
      </w:r>
      <w:r>
        <w:rPr>
          <w:rFonts w:hint="eastAsia" w:cs="Times New Roman"/>
          <w:color w:val="000000"/>
          <w:sz w:val="24"/>
          <w:szCs w:val="24"/>
          <w:lang w:val="en-US" w:eastAsia="zh-CN"/>
        </w:rPr>
        <w:t>1</w:t>
      </w:r>
      <w:r>
        <w:rPr>
          <w:rFonts w:hint="eastAsia" w:ascii="Times New Roman" w:hAnsi="Times New Roman" w:eastAsia="仿宋_GB2312" w:cs="Times New Roman"/>
          <w:color w:val="000000"/>
          <w:sz w:val="24"/>
          <w:szCs w:val="24"/>
        </w:rPr>
        <w:t>月至</w:t>
      </w:r>
      <w:r>
        <w:rPr>
          <w:rFonts w:hint="eastAsia" w:cs="Times New Roman"/>
          <w:color w:val="000000"/>
          <w:sz w:val="24"/>
          <w:szCs w:val="24"/>
          <w:lang w:eastAsia="zh-CN"/>
        </w:rPr>
        <w:t>202</w:t>
      </w:r>
      <w:r>
        <w:rPr>
          <w:rFonts w:hint="eastAsia" w:cs="Times New Roman"/>
          <w:color w:val="000000"/>
          <w:sz w:val="24"/>
          <w:szCs w:val="24"/>
          <w:lang w:val="en-US" w:eastAsia="zh-CN"/>
        </w:rPr>
        <w:t>6</w:t>
      </w:r>
      <w:r>
        <w:rPr>
          <w:rFonts w:hint="eastAsia" w:cs="Times New Roman"/>
          <w:color w:val="000000"/>
          <w:sz w:val="24"/>
          <w:szCs w:val="24"/>
          <w:lang w:eastAsia="zh-CN"/>
        </w:rPr>
        <w:t>年</w:t>
      </w:r>
      <w:r>
        <w:rPr>
          <w:rFonts w:hint="eastAsia" w:cs="Times New Roman"/>
          <w:color w:val="000000"/>
          <w:sz w:val="24"/>
          <w:szCs w:val="24"/>
          <w:lang w:val="en-US" w:eastAsia="zh-CN"/>
        </w:rPr>
        <w:t>12</w:t>
      </w:r>
      <w:r>
        <w:rPr>
          <w:rFonts w:hint="eastAsia" w:cs="Times New Roman"/>
          <w:color w:val="000000"/>
          <w:sz w:val="24"/>
          <w:szCs w:val="24"/>
          <w:lang w:eastAsia="zh-CN"/>
        </w:rPr>
        <w:t>月</w:t>
      </w:r>
      <w:r>
        <w:rPr>
          <w:rFonts w:hint="eastAsia" w:ascii="Times New Roman" w:hAnsi="Times New Roman" w:eastAsia="仿宋_GB2312" w:cs="Times New Roman"/>
          <w:color w:val="000000"/>
          <w:sz w:val="24"/>
          <w:szCs w:val="24"/>
        </w:rPr>
        <w:t>，总工期为</w:t>
      </w:r>
      <w:r>
        <w:rPr>
          <w:rFonts w:hint="eastAsia" w:cs="Times New Roman"/>
          <w:color w:val="000000"/>
          <w:sz w:val="24"/>
          <w:szCs w:val="24"/>
          <w:lang w:val="en-US" w:eastAsia="zh-CN"/>
        </w:rPr>
        <w:t>2年</w:t>
      </w:r>
      <w:r>
        <w:rPr>
          <w:rFonts w:hint="eastAsia" w:ascii="Times New Roman" w:hAnsi="Times New Roman" w:eastAsia="仿宋_GB2312" w:cs="Times New Roman"/>
          <w:color w:val="000000"/>
          <w:sz w:val="24"/>
          <w:szCs w:val="24"/>
        </w:rPr>
        <w:t>。工程用地总面积为</w:t>
      </w:r>
      <w:r>
        <w:rPr>
          <w:rFonts w:hint="eastAsia" w:cs="Times New Roman"/>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，全部为临时用地。</w:t>
      </w:r>
    </w:p>
    <w:p w14:paraId="33FD3CA9">
      <w:pPr>
        <w:adjustRightInd w:val="0"/>
        <w:snapToGrid w:val="0"/>
        <w:spacing w:line="360" w:lineRule="auto"/>
        <w:ind w:firstLine="480" w:firstLineChars="200"/>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rPr>
        <w:t>为贯彻落实国务院颁布的《土地复垦条例》以及原国土资源部颁布的《土地复垦条例实施办法》，预防和控制本项目在施工建设及运营阶段的土地损毁面积，并及时对损毁土地进行复垦，促进土地集约节约利用，保护和改善</w:t>
      </w:r>
      <w:r>
        <w:rPr>
          <w:rFonts w:hint="eastAsia" w:ascii="Times New Roman" w:hAnsi="Times New Roman" w:eastAsia="仿宋_GB2312" w:cs="Times New Roman"/>
          <w:color w:val="000000"/>
          <w:sz w:val="24"/>
          <w:szCs w:val="24"/>
          <w:lang w:val="en-US" w:eastAsia="zh-CN"/>
        </w:rPr>
        <w:t>项目生产</w:t>
      </w:r>
      <w:r>
        <w:rPr>
          <w:rFonts w:hint="eastAsia" w:ascii="Times New Roman" w:hAnsi="Times New Roman" w:eastAsia="仿宋_GB2312" w:cs="Times New Roman"/>
          <w:color w:val="000000"/>
          <w:sz w:val="24"/>
          <w:szCs w:val="24"/>
        </w:rPr>
        <w:t>环境，实现社会经济与环境的可持续发展，吐哈油田分公司于</w:t>
      </w:r>
      <w:r>
        <w:rPr>
          <w:rFonts w:hint="eastAsia" w:ascii="Times New Roman" w:hAnsi="Times New Roman" w:eastAsia="仿宋_GB2312" w:cs="Times New Roman"/>
          <w:color w:val="000000"/>
          <w:sz w:val="24"/>
          <w:szCs w:val="24"/>
          <w:lang w:eastAsia="zh-CN"/>
        </w:rPr>
        <w:t>202</w:t>
      </w:r>
      <w:r>
        <w:rPr>
          <w:rFonts w:hint="eastAsia" w:cs="Times New Roman"/>
          <w:color w:val="000000"/>
          <w:sz w:val="24"/>
          <w:szCs w:val="24"/>
          <w:lang w:val="en-US" w:eastAsia="zh-CN"/>
        </w:rPr>
        <w:t>5</w:t>
      </w:r>
      <w:r>
        <w:rPr>
          <w:rFonts w:hint="eastAsia" w:ascii="Times New Roman" w:hAnsi="Times New Roman" w:eastAsia="仿宋_GB2312" w:cs="Times New Roman"/>
          <w:color w:val="000000"/>
          <w:sz w:val="24"/>
          <w:szCs w:val="24"/>
          <w:lang w:eastAsia="zh-CN"/>
        </w:rPr>
        <w:t>年</w:t>
      </w:r>
      <w:r>
        <w:rPr>
          <w:rFonts w:hint="eastAsia" w:cs="Times New Roman"/>
          <w:color w:val="000000"/>
          <w:sz w:val="24"/>
          <w:szCs w:val="24"/>
          <w:lang w:val="en-US" w:eastAsia="zh-CN"/>
        </w:rPr>
        <w:t>1</w:t>
      </w:r>
      <w:r>
        <w:rPr>
          <w:rFonts w:hint="eastAsia" w:ascii="Times New Roman" w:hAnsi="Times New Roman" w:eastAsia="仿宋_GB2312" w:cs="Times New Roman"/>
          <w:color w:val="000000"/>
          <w:sz w:val="24"/>
          <w:szCs w:val="24"/>
          <w:lang w:eastAsia="zh-CN"/>
        </w:rPr>
        <w:t>月</w:t>
      </w:r>
      <w:r>
        <w:rPr>
          <w:rFonts w:hint="eastAsia" w:ascii="Times New Roman" w:hAnsi="Times New Roman" w:eastAsia="仿宋_GB2312" w:cs="Times New Roman"/>
          <w:color w:val="000000"/>
          <w:sz w:val="24"/>
          <w:szCs w:val="24"/>
        </w:rPr>
        <w:t>委托</w:t>
      </w:r>
      <w:r>
        <w:rPr>
          <w:rFonts w:hint="eastAsia" w:cs="Times New Roman"/>
          <w:color w:val="000000"/>
          <w:sz w:val="24"/>
          <w:szCs w:val="24"/>
          <w:lang w:eastAsia="zh-CN"/>
        </w:rPr>
        <w:t>优普科技集团有限公司新疆分公司</w:t>
      </w:r>
      <w:r>
        <w:rPr>
          <w:rFonts w:hint="eastAsia" w:ascii="Times New Roman" w:hAnsi="Times New Roman" w:eastAsia="仿宋_GB2312" w:cs="Times New Roman"/>
          <w:color w:val="000000"/>
          <w:sz w:val="24"/>
          <w:szCs w:val="24"/>
        </w:rPr>
        <w:t>编制《</w:t>
      </w:r>
      <w:r>
        <w:rPr>
          <w:rFonts w:hint="eastAsia" w:cs="Times New Roman"/>
          <w:color w:val="000000"/>
          <w:sz w:val="24"/>
          <w:szCs w:val="24"/>
          <w:lang w:eastAsia="zh-CN"/>
        </w:rPr>
        <w:t>中国石油吐哈油田三塘湖采油管理区马T101H井场等两口井压裂施工项目临时用地</w:t>
      </w:r>
      <w:r>
        <w:rPr>
          <w:rFonts w:hint="eastAsia" w:ascii="仿宋_GB2312" w:hAnsi="仿宋_GB2312" w:eastAsia="仿宋_GB2312" w:cs="仿宋_GB2312"/>
          <w:color w:val="000000"/>
          <w:sz w:val="24"/>
          <w:szCs w:val="24"/>
        </w:rPr>
        <w:t>土地复垦方案报告书</w:t>
      </w:r>
      <w:r>
        <w:rPr>
          <w:rFonts w:hint="eastAsia" w:ascii="Times New Roman" w:hAnsi="Times New Roman" w:eastAsia="仿宋_GB2312" w:cs="Times New Roman"/>
          <w:color w:val="000000"/>
          <w:sz w:val="24"/>
          <w:szCs w:val="24"/>
        </w:rPr>
        <w:t>》。</w:t>
      </w:r>
    </w:p>
    <w:p w14:paraId="4852C1F4">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cs="Times New Roman"/>
          <w:color w:val="000000"/>
          <w:sz w:val="24"/>
          <w:szCs w:val="24"/>
          <w:lang w:eastAsia="zh-CN"/>
        </w:rPr>
        <w:t>优普科技集团有限公司新疆分公司</w:t>
      </w:r>
      <w:r>
        <w:rPr>
          <w:rFonts w:hint="eastAsia" w:ascii="Times New Roman" w:hAnsi="Times New Roman" w:eastAsia="仿宋_GB2312" w:cs="Times New Roman"/>
          <w:color w:val="000000"/>
          <w:sz w:val="24"/>
          <w:szCs w:val="24"/>
        </w:rPr>
        <w:t>接受委托后，成立了专门的项目组赴现场进行调查，项目组在吐哈油田分公司有关技术人员的陪同下，收集了相关的基础资料，沿途详细咨询了吐哈油田分公司所属场站负责人关于</w:t>
      </w:r>
      <w:r>
        <w:rPr>
          <w:rFonts w:hint="eastAsia" w:cs="Times New Roman"/>
          <w:color w:val="000000"/>
          <w:sz w:val="24"/>
          <w:szCs w:val="24"/>
          <w:lang w:val="en-US" w:eastAsia="zh-CN"/>
        </w:rPr>
        <w:t>项目</w:t>
      </w:r>
      <w:r>
        <w:rPr>
          <w:rFonts w:hint="eastAsia" w:ascii="Times New Roman" w:hAnsi="Times New Roman" w:eastAsia="仿宋_GB2312" w:cs="Times New Roman"/>
          <w:color w:val="000000"/>
          <w:sz w:val="24"/>
          <w:szCs w:val="24"/>
          <w:lang w:val="en-US" w:eastAsia="zh-CN"/>
        </w:rPr>
        <w:t>施工</w:t>
      </w:r>
      <w:r>
        <w:rPr>
          <w:rFonts w:hint="eastAsia" w:ascii="Times New Roman" w:hAnsi="Times New Roman" w:eastAsia="仿宋_GB2312" w:cs="Times New Roman"/>
          <w:color w:val="000000"/>
          <w:sz w:val="24"/>
          <w:szCs w:val="24"/>
        </w:rPr>
        <w:t>、现状、规划等方面的问题，同时也咨询了场站所在地的自然资源部门相关负责人，并就有关</w:t>
      </w:r>
      <w:r>
        <w:rPr>
          <w:rFonts w:hint="eastAsia" w:ascii="Times New Roman" w:hAnsi="Times New Roman" w:eastAsia="仿宋_GB2312" w:cs="Times New Roman"/>
          <w:color w:val="000000"/>
          <w:sz w:val="24"/>
          <w:szCs w:val="24"/>
          <w:lang w:val="en-US" w:eastAsia="zh-CN"/>
        </w:rPr>
        <w:t>项目</w:t>
      </w:r>
      <w:r>
        <w:rPr>
          <w:rFonts w:hint="eastAsia" w:ascii="Times New Roman" w:hAnsi="Times New Roman" w:eastAsia="仿宋_GB2312" w:cs="Times New Roman"/>
          <w:color w:val="000000"/>
          <w:sz w:val="24"/>
          <w:szCs w:val="24"/>
        </w:rPr>
        <w:t>用地情况、损毁形式、复垦模式、复垦效果等方面进行了讨论交流</w:t>
      </w:r>
      <w:r>
        <w:rPr>
          <w:rFonts w:ascii="Times New Roman" w:hAnsi="Times New Roman" w:eastAsia="仿宋_GB2312" w:cs="Times New Roman"/>
          <w:color w:val="000000"/>
          <w:sz w:val="24"/>
          <w:szCs w:val="24"/>
        </w:rPr>
        <w:t>。</w:t>
      </w:r>
    </w:p>
    <w:p w14:paraId="446BF01B">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另外项目组还搜集了</w:t>
      </w:r>
      <w:r>
        <w:rPr>
          <w:rFonts w:hint="eastAsia" w:ascii="Times New Roman" w:hAnsi="Times New Roman" w:eastAsia="仿宋_GB2312" w:cs="Times New Roman"/>
          <w:color w:val="000000"/>
          <w:sz w:val="24"/>
          <w:szCs w:val="24"/>
          <w:lang w:eastAsia="zh-CN"/>
        </w:rPr>
        <w:t>哈密市</w:t>
      </w:r>
      <w:r>
        <w:rPr>
          <w:rFonts w:hint="eastAsia" w:cs="Times New Roman"/>
          <w:color w:val="000000"/>
          <w:sz w:val="24"/>
          <w:szCs w:val="24"/>
          <w:lang w:eastAsia="zh-CN"/>
        </w:rPr>
        <w:t>巴里坤县</w:t>
      </w:r>
      <w:r>
        <w:rPr>
          <w:rFonts w:hint="eastAsia" w:ascii="Times New Roman" w:hAnsi="Times New Roman" w:eastAsia="仿宋_GB2312" w:cs="Times New Roman"/>
          <w:color w:val="000000"/>
          <w:sz w:val="24"/>
          <w:szCs w:val="24"/>
        </w:rPr>
        <w:t>所涉及项目区的规划、地方政策文件规定以及土地复垦的相关材料，并收集了项目区内相关职能部门关于</w:t>
      </w:r>
      <w:r>
        <w:rPr>
          <w:rFonts w:hint="eastAsia" w:cs="Times New Roman"/>
          <w:color w:val="000000"/>
          <w:sz w:val="24"/>
          <w:szCs w:val="24"/>
          <w:lang w:val="en-US" w:eastAsia="zh-CN"/>
        </w:rPr>
        <w:t>项目</w:t>
      </w:r>
      <w:r>
        <w:rPr>
          <w:rFonts w:hint="eastAsia" w:ascii="Times New Roman" w:hAnsi="Times New Roman" w:eastAsia="仿宋_GB2312" w:cs="Times New Roman"/>
          <w:color w:val="000000"/>
          <w:sz w:val="24"/>
          <w:szCs w:val="24"/>
        </w:rPr>
        <w:t>而损毁的土地在复垦方向与措施、复垦标准等方面的意见，力求本复垦方案符合当地自然经济、生态环境与社会实际，满足公众需求。</w:t>
      </w:r>
    </w:p>
    <w:p w14:paraId="03BFE2E8">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方案编制过程中，设计人员就方案中的关键问题，咨询了相关专家的意见和建议，在符合我国土地复垦法律法规和政策规定的基础上，力争本复垦方案资料权威真实、复垦技术措施可行、理论技术支撑可靠。</w:t>
      </w:r>
    </w:p>
    <w:p w14:paraId="47E75115">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编制组全体工作人员严格按照《土地复垦方案编制规程》，对方案内容反复讨论修改，最终编制完成《</w:t>
      </w:r>
      <w:r>
        <w:rPr>
          <w:rFonts w:hint="eastAsia" w:cs="Times New Roman"/>
          <w:color w:val="000000"/>
          <w:sz w:val="24"/>
          <w:szCs w:val="24"/>
          <w:lang w:eastAsia="zh-CN"/>
        </w:rPr>
        <w:t>中国石油吐哈油田三塘湖采油管理区马T101H井场等两口井压裂施工项目临时用地</w:t>
      </w:r>
      <w:r>
        <w:rPr>
          <w:rFonts w:hint="eastAsia" w:ascii="Times New Roman" w:hAnsi="Times New Roman" w:eastAsia="仿宋_GB2312" w:cs="Times New Roman"/>
          <w:color w:val="000000"/>
          <w:sz w:val="24"/>
          <w:szCs w:val="24"/>
        </w:rPr>
        <w:t>土地复垦方案报告书》。</w:t>
      </w:r>
    </w:p>
    <w:p w14:paraId="0D592C58">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9" w:name="_Toc25437"/>
      <w:r>
        <w:rPr>
          <w:rFonts w:ascii="Times New Roman" w:hAnsi="Times New Roman" w:eastAsia="黑体" w:cs="Times New Roman"/>
          <w:b/>
          <w:bCs/>
          <w:color w:val="000000"/>
          <w:kern w:val="0"/>
          <w:sz w:val="30"/>
          <w:szCs w:val="30"/>
        </w:rPr>
        <w:t>1.2 复垦方案摘要</w:t>
      </w:r>
      <w:bookmarkEnd w:id="6"/>
      <w:bookmarkEnd w:id="7"/>
      <w:bookmarkEnd w:id="8"/>
      <w:bookmarkEnd w:id="9"/>
    </w:p>
    <w:p w14:paraId="68D4007F">
      <w:pPr>
        <w:keepNext/>
        <w:keepLines/>
        <w:spacing w:line="360" w:lineRule="auto"/>
        <w:ind w:firstLine="560" w:firstLineChars="200"/>
        <w:outlineLvl w:val="2"/>
        <w:rPr>
          <w:rFonts w:ascii="Times New Roman" w:hAnsi="Times New Roman" w:eastAsia="黑体" w:cs="Times New Roman"/>
          <w:bCs/>
          <w:color w:val="000000"/>
          <w:sz w:val="28"/>
          <w:szCs w:val="32"/>
        </w:rPr>
      </w:pPr>
      <w:r>
        <w:rPr>
          <w:rFonts w:ascii="Times New Roman" w:hAnsi="Times New Roman" w:eastAsia="黑体" w:cs="Times New Roman"/>
          <w:bCs/>
          <w:color w:val="000000"/>
          <w:sz w:val="28"/>
          <w:szCs w:val="32"/>
        </w:rPr>
        <w:t>1.2.1 服务年限</w:t>
      </w:r>
    </w:p>
    <w:p w14:paraId="7D827B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项目建设期为</w:t>
      </w:r>
      <w:r>
        <w:rPr>
          <w:rFonts w:hint="eastAsia" w:cs="Times New Roman"/>
          <w:bCs/>
          <w:color w:val="000000"/>
          <w:sz w:val="24"/>
          <w:szCs w:val="24"/>
          <w:lang w:eastAsia="zh-CN"/>
        </w:rPr>
        <w:t>2025年1月</w:t>
      </w:r>
      <w:r>
        <w:rPr>
          <w:rFonts w:hint="eastAsia" w:ascii="Times New Roman" w:hAnsi="Times New Roman" w:eastAsia="仿宋_GB2312" w:cs="Times New Roman"/>
          <w:bCs/>
          <w:color w:val="000000"/>
          <w:sz w:val="24"/>
          <w:szCs w:val="24"/>
        </w:rPr>
        <w:t>至</w:t>
      </w:r>
      <w:r>
        <w:rPr>
          <w:rFonts w:hint="eastAsia" w:cs="Times New Roman"/>
          <w:bCs/>
          <w:color w:val="000000"/>
          <w:sz w:val="24"/>
          <w:szCs w:val="24"/>
          <w:lang w:eastAsia="zh-CN"/>
        </w:rPr>
        <w:t>2026年12月</w:t>
      </w:r>
      <w:r>
        <w:rPr>
          <w:rFonts w:hint="eastAsia" w:ascii="Times New Roman" w:hAnsi="Times New Roman" w:eastAsia="仿宋_GB2312" w:cs="Times New Roman"/>
          <w:bCs/>
          <w:color w:val="000000"/>
          <w:sz w:val="24"/>
          <w:szCs w:val="24"/>
        </w:rPr>
        <w:t>，总工期为</w:t>
      </w:r>
      <w:r>
        <w:rPr>
          <w:rFonts w:hint="eastAsia" w:cs="Times New Roman"/>
          <w:bCs/>
          <w:color w:val="000000"/>
          <w:sz w:val="24"/>
          <w:szCs w:val="24"/>
          <w:lang w:val="en-US" w:eastAsia="zh-CN"/>
        </w:rPr>
        <w:t>2年</w:t>
      </w:r>
      <w:r>
        <w:rPr>
          <w:rFonts w:hint="eastAsia" w:ascii="Times New Roman" w:hAnsi="Times New Roman" w:eastAsia="仿宋_GB2312" w:cs="Times New Roman"/>
          <w:bCs/>
          <w:color w:val="000000"/>
          <w:sz w:val="24"/>
          <w:szCs w:val="24"/>
        </w:rPr>
        <w:t>。</w:t>
      </w:r>
    </w:p>
    <w:p w14:paraId="406A2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本方案复垦目标是对损毁土地恢复原土地类型。本项目在建设工程内设置土地损毁监测，在施工期收尾阶段后</w:t>
      </w:r>
      <w:r>
        <w:rPr>
          <w:rFonts w:hint="eastAsia" w:ascii="Times New Roman" w:hAnsi="Times New Roman" w:eastAsia="仿宋_GB2312" w:cs="Times New Roman"/>
          <w:bCs/>
          <w:color w:val="000000"/>
          <w:sz w:val="24"/>
          <w:szCs w:val="24"/>
          <w:lang w:val="en-US" w:eastAsia="zh-CN"/>
        </w:rPr>
        <w:t>1年</w:t>
      </w:r>
      <w:r>
        <w:rPr>
          <w:rFonts w:hint="eastAsia" w:ascii="Times New Roman" w:hAnsi="Times New Roman" w:eastAsia="仿宋_GB2312" w:cs="Times New Roman"/>
          <w:bCs/>
          <w:color w:val="000000"/>
          <w:sz w:val="24"/>
          <w:szCs w:val="24"/>
        </w:rPr>
        <w:t>内，完成复垦工程。本方案</w:t>
      </w:r>
      <w:r>
        <w:rPr>
          <w:rFonts w:hint="eastAsia" w:ascii="Times New Roman" w:hAnsi="Times New Roman" w:eastAsia="仿宋_GB2312" w:cs="Times New Roman"/>
          <w:bCs/>
          <w:color w:val="000000"/>
          <w:sz w:val="24"/>
          <w:szCs w:val="24"/>
          <w:lang w:val="en-US" w:eastAsia="zh-CN"/>
        </w:rPr>
        <w:t>不</w:t>
      </w:r>
      <w:r>
        <w:rPr>
          <w:rFonts w:hint="eastAsia" w:ascii="Times New Roman" w:hAnsi="Times New Roman" w:eastAsia="仿宋_GB2312" w:cs="Times New Roman"/>
          <w:bCs/>
          <w:color w:val="000000"/>
          <w:sz w:val="24"/>
          <w:szCs w:val="24"/>
        </w:rPr>
        <w:t>涉及植被恢复工程，</w:t>
      </w:r>
      <w:r>
        <w:rPr>
          <w:rFonts w:hint="eastAsia" w:ascii="Times New Roman" w:hAnsi="Times New Roman" w:eastAsia="仿宋_GB2312" w:cs="Times New Roman"/>
          <w:bCs/>
          <w:color w:val="000000"/>
          <w:sz w:val="24"/>
          <w:szCs w:val="24"/>
          <w:lang w:val="en-US" w:eastAsia="zh-CN"/>
        </w:rPr>
        <w:t>不</w:t>
      </w:r>
      <w:r>
        <w:rPr>
          <w:rFonts w:hint="eastAsia" w:ascii="Times New Roman" w:hAnsi="Times New Roman" w:eastAsia="仿宋_GB2312" w:cs="Times New Roman"/>
          <w:bCs/>
          <w:color w:val="000000"/>
          <w:sz w:val="24"/>
          <w:szCs w:val="24"/>
        </w:rPr>
        <w:t>设置管护期。因此，最终本复垦方案服务年限为建设期</w:t>
      </w:r>
      <w:r>
        <w:rPr>
          <w:rFonts w:hint="eastAsia" w:ascii="Times New Roman" w:hAnsi="Times New Roman" w:eastAsia="仿宋_GB2312" w:cs="Times New Roman"/>
          <w:bCs/>
          <w:color w:val="000000"/>
          <w:sz w:val="24"/>
          <w:szCs w:val="24"/>
          <w:lang w:val="en-US" w:eastAsia="zh-CN"/>
        </w:rPr>
        <w:t>2年</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w:t>
      </w:r>
      <w:r>
        <w:rPr>
          <w:rFonts w:hint="eastAsia" w:cs="Times New Roman"/>
          <w:bCs/>
          <w:color w:val="000000"/>
          <w:sz w:val="24"/>
          <w:szCs w:val="24"/>
          <w:lang w:val="en-US" w:eastAsia="zh-CN"/>
        </w:rPr>
        <w:t>5</w:t>
      </w:r>
      <w:r>
        <w:rPr>
          <w:rFonts w:hint="eastAsia" w:ascii="Times New Roman" w:hAnsi="Times New Roman" w:eastAsia="仿宋_GB2312" w:cs="Times New Roman"/>
          <w:bCs/>
          <w:color w:val="000000"/>
          <w:sz w:val="24"/>
          <w:szCs w:val="24"/>
          <w:lang w:eastAsia="zh-CN"/>
        </w:rPr>
        <w:t>年</w:t>
      </w:r>
      <w:r>
        <w:rPr>
          <w:rFonts w:hint="eastAsia" w:cs="Times New Roman"/>
          <w:bCs/>
          <w:color w:val="000000"/>
          <w:sz w:val="24"/>
          <w:szCs w:val="24"/>
          <w:lang w:val="en-US" w:eastAsia="zh-CN"/>
        </w:rPr>
        <w:t>1</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至</w:t>
      </w:r>
      <w:r>
        <w:rPr>
          <w:rFonts w:hint="eastAsia" w:ascii="Times New Roman" w:hAnsi="Times New Roman" w:eastAsia="仿宋_GB2312" w:cs="Times New Roman"/>
          <w:bCs/>
          <w:color w:val="000000"/>
          <w:sz w:val="24"/>
          <w:szCs w:val="24"/>
          <w:lang w:eastAsia="zh-CN"/>
        </w:rPr>
        <w:t>2026年</w:t>
      </w:r>
      <w:r>
        <w:rPr>
          <w:rFonts w:hint="eastAsia"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）+复垦期</w:t>
      </w:r>
      <w:r>
        <w:rPr>
          <w:rFonts w:hint="eastAsia" w:ascii="Times New Roman" w:hAnsi="Times New Roman" w:eastAsia="仿宋_GB2312" w:cs="Times New Roman"/>
          <w:bCs/>
          <w:color w:val="000000"/>
          <w:sz w:val="24"/>
          <w:szCs w:val="24"/>
          <w:lang w:val="en-US" w:eastAsia="zh-CN"/>
        </w:rPr>
        <w:t>1年</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w:t>
      </w:r>
      <w:r>
        <w:rPr>
          <w:rFonts w:hint="eastAsia" w:cs="Times New Roman"/>
          <w:bCs/>
          <w:color w:val="000000"/>
          <w:sz w:val="24"/>
          <w:szCs w:val="24"/>
          <w:lang w:val="en-US" w:eastAsia="zh-CN"/>
        </w:rPr>
        <w:t>7</w:t>
      </w:r>
      <w:r>
        <w:rPr>
          <w:rFonts w:hint="eastAsia" w:ascii="Times New Roman" w:hAnsi="Times New Roman" w:eastAsia="仿宋_GB2312" w:cs="Times New Roman"/>
          <w:bCs/>
          <w:color w:val="000000"/>
          <w:sz w:val="24"/>
          <w:szCs w:val="24"/>
          <w:lang w:eastAsia="zh-CN"/>
        </w:rPr>
        <w:t>年1月</w:t>
      </w:r>
      <w:r>
        <w:rPr>
          <w:rFonts w:hint="eastAsia" w:ascii="Times New Roman" w:hAnsi="Times New Roman" w:eastAsia="仿宋_GB2312" w:cs="Times New Roman"/>
          <w:bCs/>
          <w:color w:val="000000"/>
          <w:sz w:val="24"/>
          <w:szCs w:val="24"/>
          <w:lang w:val="en-US" w:eastAsia="zh-CN"/>
        </w:rPr>
        <w:t>-</w:t>
      </w:r>
      <w:r>
        <w:rPr>
          <w:rFonts w:hint="eastAsia" w:ascii="Times New Roman" w:hAnsi="Times New Roman" w:eastAsia="仿宋_GB2312" w:cs="Times New Roman"/>
          <w:bCs/>
          <w:color w:val="000000"/>
          <w:sz w:val="24"/>
          <w:szCs w:val="24"/>
          <w:lang w:eastAsia="zh-CN"/>
        </w:rPr>
        <w:t>202</w:t>
      </w:r>
      <w:r>
        <w:rPr>
          <w:rFonts w:hint="eastAsia" w:ascii="Times New Roman" w:hAnsi="Times New Roman" w:eastAsia="仿宋_GB2312" w:cs="Times New Roman"/>
          <w:bCs/>
          <w:color w:val="000000"/>
          <w:sz w:val="24"/>
          <w:szCs w:val="24"/>
          <w:lang w:val="en-US" w:eastAsia="zh-CN"/>
        </w:rPr>
        <w:t>7</w:t>
      </w:r>
      <w:r>
        <w:rPr>
          <w:rFonts w:hint="eastAsia" w:ascii="Times New Roman" w:hAnsi="Times New Roman" w:eastAsia="仿宋_GB2312" w:cs="Times New Roman"/>
          <w:bCs/>
          <w:color w:val="000000"/>
          <w:sz w:val="24"/>
          <w:szCs w:val="24"/>
          <w:lang w:eastAsia="zh-CN"/>
        </w:rPr>
        <w:t>年</w:t>
      </w:r>
      <w:r>
        <w:rPr>
          <w:rFonts w:hint="eastAsia"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val="en-US" w:eastAsia="zh-CN"/>
        </w:rPr>
        <w:t>3年</w:t>
      </w:r>
      <w:r>
        <w:rPr>
          <w:rFonts w:hint="eastAsia" w:ascii="Times New Roman" w:hAnsi="Times New Roman" w:eastAsia="仿宋_GB2312" w:cs="Times New Roman"/>
          <w:bCs/>
          <w:color w:val="000000"/>
          <w:sz w:val="24"/>
          <w:szCs w:val="24"/>
        </w:rPr>
        <w:t>，即</w:t>
      </w:r>
      <w:r>
        <w:rPr>
          <w:rFonts w:hint="eastAsia" w:ascii="Times New Roman" w:hAnsi="Times New Roman" w:eastAsia="仿宋_GB2312" w:cs="Times New Roman"/>
          <w:bCs/>
          <w:color w:val="000000"/>
          <w:sz w:val="24"/>
          <w:szCs w:val="24"/>
          <w:lang w:eastAsia="zh-CN"/>
        </w:rPr>
        <w:t>202</w:t>
      </w:r>
      <w:r>
        <w:rPr>
          <w:rFonts w:hint="eastAsia" w:cs="Times New Roman"/>
          <w:bCs/>
          <w:color w:val="000000"/>
          <w:sz w:val="24"/>
          <w:szCs w:val="24"/>
          <w:lang w:val="en-US" w:eastAsia="zh-CN"/>
        </w:rPr>
        <w:t>5</w:t>
      </w:r>
      <w:r>
        <w:rPr>
          <w:rFonts w:hint="eastAsia" w:ascii="Times New Roman" w:hAnsi="Times New Roman" w:eastAsia="仿宋_GB2312" w:cs="Times New Roman"/>
          <w:bCs/>
          <w:color w:val="000000"/>
          <w:sz w:val="24"/>
          <w:szCs w:val="24"/>
          <w:lang w:eastAsia="zh-CN"/>
        </w:rPr>
        <w:t>年1月</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2027年</w:t>
      </w:r>
      <w:r>
        <w:rPr>
          <w:rFonts w:hint="eastAsia"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w:t>
      </w:r>
    </w:p>
    <w:p w14:paraId="145929B0">
      <w:pPr>
        <w:keepNext/>
        <w:keepLines/>
        <w:spacing w:line="360" w:lineRule="auto"/>
        <w:ind w:firstLine="560" w:firstLineChars="200"/>
        <w:outlineLvl w:val="2"/>
        <w:rPr>
          <w:rFonts w:ascii="Times New Roman" w:hAnsi="Times New Roman" w:eastAsia="黑体" w:cs="Times New Roman"/>
          <w:bCs/>
          <w:color w:val="000000"/>
          <w:sz w:val="28"/>
          <w:szCs w:val="32"/>
        </w:rPr>
      </w:pPr>
      <w:r>
        <w:rPr>
          <w:rFonts w:ascii="Times New Roman" w:hAnsi="Times New Roman" w:eastAsia="黑体" w:cs="Times New Roman"/>
          <w:bCs/>
          <w:color w:val="000000"/>
          <w:sz w:val="28"/>
          <w:szCs w:val="32"/>
        </w:rPr>
        <w:t>1.2.2 各类面积</w:t>
      </w:r>
    </w:p>
    <w:p w14:paraId="55D18A62">
      <w:pPr>
        <w:spacing w:line="360" w:lineRule="auto"/>
        <w:ind w:firstLine="480" w:firstLineChars="200"/>
        <w:rPr>
          <w:rFonts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项目区总用地面积</w:t>
      </w:r>
      <w:r>
        <w:rPr>
          <w:rFonts w:hint="eastAsia" w:cs="Times New Roman"/>
          <w:bCs/>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bCs/>
          <w:color w:val="000000"/>
          <w:sz w:val="24"/>
          <w:szCs w:val="24"/>
        </w:rPr>
        <w:t>，全部为临时用地，不涉及永久性建设用地。</w:t>
      </w:r>
    </w:p>
    <w:p w14:paraId="10A8681C">
      <w:pPr>
        <w:spacing w:line="360" w:lineRule="auto"/>
        <w:ind w:firstLine="480" w:firstLineChars="200"/>
        <w:rPr>
          <w:rFonts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复垦区面积</w:t>
      </w:r>
      <w:r>
        <w:rPr>
          <w:rFonts w:hint="eastAsia" w:ascii="Times New Roman" w:hAnsi="Times New Roman" w:eastAsia="仿宋_GB2312" w:cs="Times New Roman"/>
          <w:bCs/>
          <w:color w:val="000000"/>
          <w:sz w:val="24"/>
          <w:szCs w:val="24"/>
          <w:lang w:val="en-US" w:eastAsia="zh-CN"/>
        </w:rPr>
        <w:t>为</w:t>
      </w:r>
      <w:r>
        <w:rPr>
          <w:rFonts w:hint="eastAsia" w:ascii="Times New Roman" w:hAnsi="Times New Roman" w:eastAsia="仿宋_GB2312" w:cs="Times New Roman"/>
          <w:bCs/>
          <w:color w:val="000000"/>
          <w:sz w:val="24"/>
          <w:szCs w:val="24"/>
        </w:rPr>
        <w:t>项目损毁土地和永久性建设用地构成的区域，为</w:t>
      </w:r>
      <w:r>
        <w:rPr>
          <w:rFonts w:hint="eastAsia" w:cs="Times New Roman"/>
          <w:bCs/>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w:t>
      </w:r>
    </w:p>
    <w:p w14:paraId="4C927718">
      <w:pPr>
        <w:spacing w:line="360" w:lineRule="auto"/>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复垦责任范围面积为</w:t>
      </w:r>
      <w:r>
        <w:rPr>
          <w:rFonts w:hint="eastAsia" w:ascii="Times New Roman" w:hAnsi="Times New Roman" w:eastAsia="仿宋_GB2312" w:cs="Times New Roman"/>
          <w:sz w:val="24"/>
          <w:szCs w:val="24"/>
        </w:rPr>
        <w:t>复垦区</w:t>
      </w:r>
      <w:r>
        <w:rPr>
          <w:rFonts w:ascii="Times New Roman" w:hAnsi="Times New Roman" w:eastAsia="仿宋_GB2312" w:cs="Times New Roman"/>
          <w:sz w:val="24"/>
          <w:szCs w:val="24"/>
        </w:rPr>
        <w:t>损毁土地范围，</w:t>
      </w:r>
      <w:r>
        <w:rPr>
          <w:rFonts w:hint="eastAsia" w:ascii="Times New Roman" w:hAnsi="Times New Roman" w:eastAsia="仿宋_GB2312" w:cs="Times New Roman"/>
          <w:sz w:val="24"/>
          <w:szCs w:val="24"/>
        </w:rPr>
        <w:t>面积</w:t>
      </w:r>
      <w:r>
        <w:rPr>
          <w:rFonts w:ascii="Times New Roman" w:hAnsi="Times New Roman" w:eastAsia="仿宋_GB2312" w:cs="Times New Roman"/>
          <w:sz w:val="24"/>
          <w:szCs w:val="24"/>
        </w:rPr>
        <w:t>为</w:t>
      </w:r>
      <w:r>
        <w:rPr>
          <w:rFonts w:hint="eastAsia" w:cs="Times New Roman"/>
          <w:bCs/>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ascii="Times New Roman" w:hAnsi="Times New Roman" w:eastAsia="仿宋_GB2312" w:cs="Times New Roman"/>
          <w:sz w:val="24"/>
          <w:szCs w:val="24"/>
        </w:rPr>
        <w:t>。</w:t>
      </w:r>
    </w:p>
    <w:p w14:paraId="412AE13E">
      <w:pPr>
        <w:spacing w:line="360" w:lineRule="auto"/>
        <w:jc w:val="right"/>
        <w:textAlignment w:val="center"/>
        <w:rPr>
          <w:rFonts w:ascii="Times New Roman" w:hAnsi="Times New Roman" w:eastAsia="黑体" w:cs="Times New Roman"/>
          <w:color w:val="000000"/>
          <w:szCs w:val="24"/>
        </w:rPr>
      </w:pPr>
    </w:p>
    <w:p w14:paraId="4FF5731E">
      <w:pPr>
        <w:spacing w:line="360" w:lineRule="auto"/>
        <w:jc w:val="right"/>
        <w:textAlignment w:val="center"/>
        <w:rPr>
          <w:rFonts w:ascii="Times New Roman" w:hAnsi="Times New Roman" w:eastAsia="黑体" w:cs="Times New Roman"/>
          <w:color w:val="000000"/>
          <w:szCs w:val="24"/>
        </w:rPr>
      </w:pPr>
    </w:p>
    <w:p w14:paraId="658E6FA4">
      <w:pPr>
        <w:spacing w:line="360" w:lineRule="auto"/>
        <w:jc w:val="right"/>
        <w:textAlignment w:val="center"/>
        <w:rPr>
          <w:rFonts w:ascii="Times New Roman" w:hAnsi="Times New Roman" w:eastAsia="黑体" w:cs="Times New Roman"/>
          <w:color w:val="000000"/>
          <w:szCs w:val="24"/>
        </w:rPr>
      </w:pPr>
    </w:p>
    <w:p w14:paraId="254C528B">
      <w:pPr>
        <w:spacing w:line="360" w:lineRule="auto"/>
        <w:jc w:val="right"/>
        <w:textAlignment w:val="center"/>
        <w:rPr>
          <w:rFonts w:ascii="Times New Roman" w:hAnsi="Times New Roman" w:eastAsia="黑体" w:cs="Times New Roman"/>
          <w:color w:val="000000"/>
          <w:szCs w:val="24"/>
        </w:rPr>
      </w:pPr>
    </w:p>
    <w:p w14:paraId="74681E63">
      <w:pPr>
        <w:spacing w:line="360" w:lineRule="auto"/>
        <w:jc w:val="right"/>
        <w:textAlignment w:val="center"/>
        <w:rPr>
          <w:rFonts w:ascii="Times New Roman" w:hAnsi="Times New Roman" w:eastAsia="黑体" w:cs="Times New Roman"/>
          <w:color w:val="000000"/>
          <w:szCs w:val="24"/>
        </w:rPr>
      </w:pPr>
    </w:p>
    <w:p w14:paraId="373D0394">
      <w:pPr>
        <w:pStyle w:val="22"/>
        <w:bidi w:val="0"/>
        <w:jc w:val="right"/>
      </w:pPr>
      <w:r>
        <w:t>表</w:t>
      </w:r>
      <w:r>
        <w:rPr>
          <w:rFonts w:hint="eastAsia"/>
        </w:rPr>
        <w:t>1.2-</w:t>
      </w:r>
      <w:r>
        <w:t>1  项目</w:t>
      </w:r>
      <w:r>
        <w:rPr>
          <w:rFonts w:hint="eastAsia"/>
        </w:rPr>
        <w:t>区临时</w:t>
      </w:r>
      <w:r>
        <w:t>用地</w:t>
      </w:r>
      <w:r>
        <w:rPr>
          <w:rFonts w:hint="eastAsia"/>
        </w:rPr>
        <w:t xml:space="preserve">面积及损毁面积对照表         </w:t>
      </w:r>
      <w:r>
        <w:rPr>
          <w:rFonts w:hint="eastAsia"/>
          <w:lang w:val="en-US" w:eastAsia="zh-CN"/>
        </w:rPr>
        <w:t xml:space="preserve"> </w:t>
      </w:r>
      <w:r>
        <w:rPr>
          <w:rFonts w:hint="eastAsia"/>
        </w:rPr>
        <w:t xml:space="preserve">    </w:t>
      </w:r>
      <w:r>
        <w:t>单位：</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0"/>
        <w:gridCol w:w="1467"/>
        <w:gridCol w:w="1467"/>
        <w:gridCol w:w="1575"/>
        <w:gridCol w:w="1575"/>
        <w:gridCol w:w="1588"/>
      </w:tblGrid>
      <w:tr w14:paraId="67746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7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E8F9">
            <w:pPr>
              <w:pStyle w:val="100"/>
              <w:bidi w:val="0"/>
              <w:rPr>
                <w:rFonts w:hint="default"/>
              </w:rPr>
            </w:pPr>
            <w:r>
              <w:rPr>
                <w:lang w:val="en-US" w:eastAsia="zh-CN"/>
              </w:rPr>
              <w:t>项目区</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ED917">
            <w:pPr>
              <w:pStyle w:val="100"/>
              <w:bidi w:val="0"/>
              <w:rPr>
                <w:rFonts w:hint="default"/>
              </w:rPr>
            </w:pPr>
            <w:r>
              <w:rPr>
                <w:lang w:val="en-US" w:eastAsia="zh-CN"/>
              </w:rPr>
              <w:t>用地面积（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0EE37">
            <w:pPr>
              <w:pStyle w:val="100"/>
              <w:bidi w:val="0"/>
              <w:rPr>
                <w:rFonts w:hint="default"/>
              </w:rPr>
            </w:pPr>
            <w:r>
              <w:rPr>
                <w:lang w:val="en-US" w:eastAsia="zh-CN"/>
              </w:rPr>
              <w:t>损毁面积（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c>
          <w:tcPr>
            <w:tcW w:w="259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BAC736">
            <w:pPr>
              <w:pStyle w:val="100"/>
              <w:bidi w:val="0"/>
              <w:rPr>
                <w:rFonts w:hint="default"/>
              </w:rPr>
            </w:pPr>
            <w:r>
              <w:rPr>
                <w:lang w:val="en-US" w:eastAsia="zh-CN"/>
              </w:rPr>
              <w:t>地类（</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r>
      <w:tr w14:paraId="08D8F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1524">
            <w:pPr>
              <w:pStyle w:val="100"/>
              <w:bidi w:val="0"/>
              <w:rPr>
                <w:rFonts w:hint="default"/>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54B4A">
            <w:pPr>
              <w:pStyle w:val="100"/>
              <w:bidi w:val="0"/>
              <w:rPr>
                <w:rFonts w:hint="default"/>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9462A">
            <w:pPr>
              <w:pStyle w:val="100"/>
              <w:bidi w:val="0"/>
              <w:rPr>
                <w:rFonts w:hint="default"/>
              </w:rPr>
            </w:pPr>
          </w:p>
        </w:tc>
        <w:tc>
          <w:tcPr>
            <w:tcW w:w="1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C9B4C">
            <w:pPr>
              <w:pStyle w:val="100"/>
              <w:bidi w:val="0"/>
              <w:rPr>
                <w:rFonts w:hint="default"/>
              </w:rPr>
            </w:pPr>
            <w:r>
              <w:rPr>
                <w:lang w:val="en-US" w:eastAsia="zh-CN"/>
              </w:rPr>
              <w:t>工矿仓储用地（</w:t>
            </w:r>
            <w:r>
              <w:rPr>
                <w:rFonts w:hint="default"/>
                <w:lang w:val="en-US" w:eastAsia="zh-CN"/>
              </w:rPr>
              <w:t>06</w:t>
            </w:r>
            <w:r>
              <w:rPr>
                <w:lang w:val="en-US" w:eastAsia="zh-CN"/>
              </w:rPr>
              <w:t>）</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9CD61">
            <w:pPr>
              <w:pStyle w:val="100"/>
              <w:bidi w:val="0"/>
              <w:rPr>
                <w:rFonts w:hint="default"/>
              </w:rPr>
            </w:pPr>
            <w:r>
              <w:rPr>
                <w:lang w:val="en-US" w:eastAsia="zh-CN"/>
              </w:rPr>
              <w:t>其他土地（</w:t>
            </w:r>
            <w:r>
              <w:rPr>
                <w:rFonts w:hint="default"/>
                <w:lang w:val="en-US" w:eastAsia="zh-CN"/>
              </w:rPr>
              <w:t>12</w:t>
            </w:r>
            <w:r>
              <w:rPr>
                <w:lang w:val="en-US" w:eastAsia="zh-CN"/>
              </w:rPr>
              <w:t>）</w:t>
            </w:r>
          </w:p>
        </w:tc>
      </w:tr>
      <w:tr w14:paraId="52530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1E62">
            <w:pPr>
              <w:pStyle w:val="100"/>
              <w:bidi w:val="0"/>
              <w:rPr>
                <w:rFonts w:hint="default"/>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7259A">
            <w:pPr>
              <w:pStyle w:val="100"/>
              <w:bidi w:val="0"/>
              <w:rPr>
                <w:rFonts w:hint="default"/>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A5113">
            <w:pPr>
              <w:pStyle w:val="100"/>
              <w:bidi w:val="0"/>
              <w:rPr>
                <w:rFonts w:hint="default"/>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4CA25">
            <w:pPr>
              <w:pStyle w:val="100"/>
              <w:bidi w:val="0"/>
              <w:rPr>
                <w:rFonts w:hint="default"/>
              </w:rPr>
            </w:pPr>
            <w:r>
              <w:rPr>
                <w:lang w:val="en-US" w:eastAsia="zh-CN"/>
              </w:rPr>
              <w:t>工业用地（</w:t>
            </w:r>
            <w:r>
              <w:rPr>
                <w:rFonts w:hint="default"/>
                <w:lang w:val="en-US" w:eastAsia="zh-CN"/>
              </w:rPr>
              <w:t>0601</w:t>
            </w:r>
            <w:r>
              <w:rPr>
                <w:lang w:val="en-US" w:eastAsia="zh-CN"/>
              </w:rPr>
              <w:t>）</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7C05">
            <w:pPr>
              <w:pStyle w:val="100"/>
              <w:bidi w:val="0"/>
              <w:rPr>
                <w:rFonts w:hint="default"/>
              </w:rPr>
            </w:pPr>
            <w:r>
              <w:rPr>
                <w:lang w:val="en-US" w:eastAsia="zh-CN"/>
              </w:rPr>
              <w:t>采矿用地（</w:t>
            </w:r>
            <w:r>
              <w:rPr>
                <w:rFonts w:hint="default"/>
                <w:lang w:val="en-US" w:eastAsia="zh-CN"/>
              </w:rPr>
              <w:t>0602</w:t>
            </w:r>
            <w:r>
              <w:rPr>
                <w:lang w:val="en-US" w:eastAsia="zh-CN"/>
              </w:rPr>
              <w:t>）</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84C64">
            <w:pPr>
              <w:pStyle w:val="100"/>
              <w:bidi w:val="0"/>
              <w:rPr>
                <w:rFonts w:hint="default"/>
              </w:rPr>
            </w:pPr>
            <w:r>
              <w:rPr>
                <w:lang w:val="en-US" w:eastAsia="zh-CN"/>
              </w:rPr>
              <w:t>裸岩石砾地（</w:t>
            </w:r>
            <w:r>
              <w:rPr>
                <w:rFonts w:hint="default"/>
                <w:lang w:val="en-US" w:eastAsia="zh-CN"/>
              </w:rPr>
              <w:t>1207</w:t>
            </w:r>
            <w:r>
              <w:rPr>
                <w:lang w:val="en-US" w:eastAsia="zh-CN"/>
              </w:rPr>
              <w:t>）</w:t>
            </w:r>
          </w:p>
        </w:tc>
      </w:tr>
      <w:tr w14:paraId="1D76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56C5">
            <w:pPr>
              <w:pStyle w:val="100"/>
              <w:bidi w:val="0"/>
              <w:rPr>
                <w:rFonts w:hint="default"/>
              </w:rPr>
            </w:pPr>
            <w:r>
              <w:rPr>
                <w:lang w:val="en-US" w:eastAsia="zh-CN"/>
              </w:rPr>
              <w:t>马</w:t>
            </w:r>
            <w:r>
              <w:rPr>
                <w:rFonts w:hint="default"/>
                <w:lang w:val="en-US" w:eastAsia="zh-CN"/>
              </w:rPr>
              <w:t>T5-1H</w:t>
            </w:r>
            <w:r>
              <w:rPr>
                <w:lang w:val="en-US" w:eastAsia="zh-CN"/>
              </w:rPr>
              <w:t>井场</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36A3">
            <w:pPr>
              <w:pStyle w:val="100"/>
              <w:bidi w:val="0"/>
              <w:rPr>
                <w:rFonts w:hint="default"/>
              </w:rPr>
            </w:pPr>
            <w:r>
              <w:rPr>
                <w:rFonts w:hint="default"/>
                <w:lang w:val="en-US" w:eastAsia="zh-CN"/>
              </w:rPr>
              <w:t xml:space="preserve">1.0211 </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59C5">
            <w:pPr>
              <w:pStyle w:val="100"/>
              <w:bidi w:val="0"/>
              <w:rPr>
                <w:rFonts w:hint="default"/>
              </w:rPr>
            </w:pPr>
            <w:r>
              <w:rPr>
                <w:rFonts w:hint="default"/>
                <w:lang w:val="en-US" w:eastAsia="zh-CN"/>
              </w:rPr>
              <w:t xml:space="preserve">1.0211 </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3EDE3">
            <w:pPr>
              <w:pStyle w:val="100"/>
              <w:bidi w:val="0"/>
              <w:rPr>
                <w:rFonts w:hint="default"/>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3DD2">
            <w:pPr>
              <w:pStyle w:val="100"/>
              <w:bidi w:val="0"/>
              <w:rPr>
                <w:rFonts w:hint="default"/>
              </w:rPr>
            </w:pP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45F91">
            <w:pPr>
              <w:pStyle w:val="100"/>
              <w:bidi w:val="0"/>
              <w:rPr>
                <w:rFonts w:hint="default"/>
              </w:rPr>
            </w:pPr>
            <w:r>
              <w:rPr>
                <w:rFonts w:hint="default"/>
                <w:lang w:val="en-US" w:eastAsia="zh-CN"/>
              </w:rPr>
              <w:t xml:space="preserve">1.0211 </w:t>
            </w:r>
          </w:p>
        </w:tc>
      </w:tr>
      <w:tr w14:paraId="1F1DD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D655">
            <w:pPr>
              <w:pStyle w:val="100"/>
              <w:bidi w:val="0"/>
              <w:rPr>
                <w:rFonts w:hint="default"/>
              </w:rPr>
            </w:pPr>
            <w:r>
              <w:rPr>
                <w:lang w:val="en-US" w:eastAsia="zh-CN"/>
              </w:rPr>
              <w:t>马</w:t>
            </w:r>
            <w:r>
              <w:rPr>
                <w:rFonts w:hint="default"/>
                <w:lang w:val="en-US" w:eastAsia="zh-CN"/>
              </w:rPr>
              <w:t>T101H</w:t>
            </w:r>
            <w:r>
              <w:rPr>
                <w:lang w:val="en-US" w:eastAsia="zh-CN"/>
              </w:rPr>
              <w:t>井场</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C8492">
            <w:pPr>
              <w:pStyle w:val="100"/>
              <w:bidi w:val="0"/>
              <w:rPr>
                <w:rFonts w:hint="default"/>
              </w:rPr>
            </w:pPr>
            <w:r>
              <w:rPr>
                <w:rFonts w:hint="default"/>
                <w:lang w:val="en-US" w:eastAsia="zh-CN"/>
              </w:rPr>
              <w:t xml:space="preserve">0.9437 </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6B68">
            <w:pPr>
              <w:pStyle w:val="100"/>
              <w:bidi w:val="0"/>
              <w:rPr>
                <w:rFonts w:hint="default"/>
              </w:rPr>
            </w:pPr>
            <w:r>
              <w:rPr>
                <w:rFonts w:hint="default"/>
                <w:lang w:val="en-US" w:eastAsia="zh-CN"/>
              </w:rPr>
              <w:t xml:space="preserve">0.9437 </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746C">
            <w:pPr>
              <w:pStyle w:val="100"/>
              <w:bidi w:val="0"/>
              <w:rPr>
                <w:rFonts w:hint="default"/>
              </w:rPr>
            </w:pPr>
            <w:r>
              <w:rPr>
                <w:rFonts w:hint="default"/>
                <w:lang w:val="en-US" w:eastAsia="zh-CN"/>
              </w:rPr>
              <w:t xml:space="preserve">0.0280 </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9A49">
            <w:pPr>
              <w:pStyle w:val="100"/>
              <w:bidi w:val="0"/>
              <w:rPr>
                <w:rFonts w:hint="default"/>
              </w:rPr>
            </w:pPr>
            <w:r>
              <w:rPr>
                <w:rFonts w:hint="default"/>
                <w:lang w:val="en-US" w:eastAsia="zh-CN"/>
              </w:rPr>
              <w:t xml:space="preserve">0.0685 </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D7CA">
            <w:pPr>
              <w:pStyle w:val="100"/>
              <w:bidi w:val="0"/>
              <w:rPr>
                <w:rFonts w:hint="default"/>
              </w:rPr>
            </w:pPr>
            <w:r>
              <w:rPr>
                <w:rFonts w:hint="default"/>
                <w:lang w:val="en-US" w:eastAsia="zh-CN"/>
              </w:rPr>
              <w:t xml:space="preserve">0.8472 </w:t>
            </w:r>
          </w:p>
        </w:tc>
      </w:tr>
      <w:tr w14:paraId="75FFC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E198">
            <w:pPr>
              <w:pStyle w:val="100"/>
              <w:bidi w:val="0"/>
              <w:rPr>
                <w:rFonts w:hint="default"/>
              </w:rPr>
            </w:pPr>
            <w:r>
              <w:rPr>
                <w:lang w:val="en-US" w:eastAsia="zh-CN"/>
              </w:rPr>
              <w:t>合计</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AADB">
            <w:pPr>
              <w:pStyle w:val="100"/>
              <w:bidi w:val="0"/>
              <w:rPr>
                <w:rFonts w:hint="default"/>
              </w:rPr>
            </w:pPr>
            <w:r>
              <w:rPr>
                <w:rFonts w:hint="default"/>
                <w:lang w:val="en-US" w:eastAsia="zh-CN"/>
              </w:rPr>
              <w:t xml:space="preserve">1.9648 </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BB6D">
            <w:pPr>
              <w:pStyle w:val="100"/>
              <w:bidi w:val="0"/>
              <w:rPr>
                <w:rFonts w:hint="default"/>
              </w:rPr>
            </w:pPr>
            <w:r>
              <w:rPr>
                <w:rFonts w:hint="default"/>
                <w:lang w:val="en-US" w:eastAsia="zh-CN"/>
              </w:rPr>
              <w:t xml:space="preserve">1.9648 </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61D4">
            <w:pPr>
              <w:pStyle w:val="100"/>
              <w:bidi w:val="0"/>
              <w:rPr>
                <w:rFonts w:hint="default"/>
              </w:rPr>
            </w:pPr>
            <w:r>
              <w:rPr>
                <w:rFonts w:hint="default"/>
                <w:lang w:val="en-US" w:eastAsia="zh-CN"/>
              </w:rPr>
              <w:t xml:space="preserve">0.0280 </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10F2">
            <w:pPr>
              <w:pStyle w:val="100"/>
              <w:bidi w:val="0"/>
              <w:rPr>
                <w:rFonts w:hint="default"/>
              </w:rPr>
            </w:pPr>
            <w:r>
              <w:rPr>
                <w:rFonts w:hint="default"/>
                <w:lang w:val="en-US" w:eastAsia="zh-CN"/>
              </w:rPr>
              <w:t xml:space="preserve">0.0685 </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3A40">
            <w:pPr>
              <w:pStyle w:val="100"/>
              <w:bidi w:val="0"/>
              <w:rPr>
                <w:rFonts w:hint="default"/>
              </w:rPr>
            </w:pPr>
            <w:r>
              <w:rPr>
                <w:rFonts w:hint="default"/>
                <w:lang w:val="en-US" w:eastAsia="zh-CN"/>
              </w:rPr>
              <w:t xml:space="preserve">1.8683 </w:t>
            </w:r>
          </w:p>
        </w:tc>
      </w:tr>
    </w:tbl>
    <w:p w14:paraId="2F1D975D">
      <w:pPr>
        <w:keepNext/>
        <w:keepLines/>
        <w:spacing w:line="360" w:lineRule="auto"/>
        <w:ind w:firstLine="560" w:firstLineChars="200"/>
        <w:outlineLvl w:val="2"/>
        <w:rPr>
          <w:rFonts w:ascii="Times New Roman" w:hAnsi="Times New Roman" w:eastAsia="黑体" w:cs="Times New Roman"/>
          <w:bCs/>
          <w:color w:val="000000"/>
          <w:sz w:val="28"/>
          <w:szCs w:val="32"/>
        </w:rPr>
      </w:pPr>
      <w:r>
        <w:rPr>
          <w:rFonts w:ascii="Times New Roman" w:hAnsi="Times New Roman" w:eastAsia="黑体" w:cs="Times New Roman"/>
          <w:bCs/>
          <w:color w:val="000000"/>
          <w:sz w:val="28"/>
          <w:szCs w:val="32"/>
        </w:rPr>
        <w:t>1.2.3 土地损毁情况</w:t>
      </w:r>
    </w:p>
    <w:p w14:paraId="1D4A620E">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本项目建设对土地的损毁主要是复垦区用地损毁，全部为临时用地，主要损毁形式是</w:t>
      </w:r>
      <w:r>
        <w:rPr>
          <w:rFonts w:hint="eastAsia" w:ascii="Times New Roman" w:hAnsi="Times New Roman" w:eastAsia="仿宋_GB2312" w:cs="Times New Roman"/>
          <w:color w:val="000000"/>
          <w:sz w:val="24"/>
          <w:szCs w:val="24"/>
          <w:lang w:val="en-US" w:eastAsia="zh-CN"/>
        </w:rPr>
        <w:t>项目</w:t>
      </w:r>
      <w:r>
        <w:rPr>
          <w:rFonts w:hint="eastAsia" w:ascii="Times New Roman" w:hAnsi="Times New Roman" w:eastAsia="仿宋_GB2312" w:cs="Times New Roman"/>
          <w:color w:val="000000"/>
          <w:sz w:val="24"/>
          <w:szCs w:val="24"/>
        </w:rPr>
        <w:t>施工对土地的压占，损毁程度为</w:t>
      </w:r>
      <w:r>
        <w:rPr>
          <w:rFonts w:hint="eastAsia" w:cs="Times New Roman"/>
          <w:color w:val="000000"/>
          <w:sz w:val="24"/>
          <w:szCs w:val="24"/>
          <w:lang w:val="en-US" w:eastAsia="zh-CN"/>
        </w:rPr>
        <w:t>中度</w:t>
      </w:r>
      <w:r>
        <w:rPr>
          <w:rFonts w:hint="eastAsia" w:ascii="Times New Roman" w:hAnsi="Times New Roman" w:eastAsia="仿宋_GB2312" w:cs="Times New Roman"/>
          <w:color w:val="000000"/>
          <w:sz w:val="24"/>
          <w:szCs w:val="24"/>
        </w:rPr>
        <w:t>，损毁土地面积共计</w:t>
      </w:r>
      <w:r>
        <w:rPr>
          <w:rFonts w:hint="eastAsia" w:cs="Times New Roman"/>
          <w:color w:val="000000"/>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，损毁土地利用类型为</w:t>
      </w:r>
      <w:r>
        <w:rPr>
          <w:rFonts w:hint="eastAsia" w:cs="Times New Roman"/>
          <w:color w:val="000000"/>
          <w:sz w:val="24"/>
          <w:szCs w:val="24"/>
          <w:lang w:val="en-US" w:eastAsia="zh-CN"/>
        </w:rPr>
        <w:t>工业用地、采矿用地及裸岩石砾地</w:t>
      </w:r>
      <w:r>
        <w:rPr>
          <w:rFonts w:hint="eastAsia" w:ascii="Times New Roman" w:hAnsi="Times New Roman" w:eastAsia="仿宋_GB2312" w:cs="Times New Roman"/>
          <w:color w:val="000000"/>
          <w:sz w:val="24"/>
          <w:szCs w:val="24"/>
        </w:rPr>
        <w:t>。根据实地调查和现场踏勘及与施工单位人员沟通确认，本项目涉及土地均为拟损毁土地。</w:t>
      </w:r>
    </w:p>
    <w:p w14:paraId="0DA8AED7">
      <w:pPr>
        <w:keepNext/>
        <w:keepLines/>
        <w:spacing w:line="360" w:lineRule="auto"/>
        <w:ind w:firstLine="560" w:firstLineChars="200"/>
        <w:outlineLvl w:val="2"/>
        <w:rPr>
          <w:rFonts w:ascii="Times New Roman" w:hAnsi="Times New Roman" w:eastAsia="黑体" w:cs="Times New Roman"/>
          <w:bCs/>
          <w:color w:val="000000"/>
          <w:sz w:val="28"/>
          <w:szCs w:val="32"/>
        </w:rPr>
      </w:pPr>
      <w:r>
        <w:rPr>
          <w:rFonts w:ascii="Times New Roman" w:hAnsi="Times New Roman" w:eastAsia="黑体" w:cs="Times New Roman"/>
          <w:bCs/>
          <w:color w:val="000000"/>
          <w:sz w:val="28"/>
          <w:szCs w:val="32"/>
        </w:rPr>
        <w:t>1.2.4 复垦目标</w:t>
      </w:r>
    </w:p>
    <w:p w14:paraId="6FBD14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本项目通过采取预防控制和工程技术措施预防控制损毁土地面积，并对损毁土地全部进行复垦。根据复垦适宜性评价结果，确定临时用地复垦时按原土地利用类型恢复。本方案复垦责任范围</w:t>
      </w:r>
      <w:r>
        <w:rPr>
          <w:rFonts w:hint="eastAsia" w:cs="Times New Roman"/>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sz w:val="24"/>
          <w:szCs w:val="24"/>
        </w:rPr>
        <w:t>。复垦为</w:t>
      </w:r>
      <w:r>
        <w:rPr>
          <w:rFonts w:hint="eastAsia" w:cs="Times New Roman"/>
          <w:sz w:val="24"/>
          <w:szCs w:val="24"/>
          <w:lang w:val="en-US" w:eastAsia="zh-CN"/>
        </w:rPr>
        <w:t>工业</w:t>
      </w:r>
      <w:r>
        <w:rPr>
          <w:rFonts w:hint="eastAsia" w:ascii="Times New Roman" w:hAnsi="Times New Roman" w:eastAsia="仿宋_GB2312" w:cs="Times New Roman"/>
          <w:sz w:val="24"/>
          <w:szCs w:val="24"/>
          <w:lang w:val="en-US" w:eastAsia="zh-CN"/>
        </w:rPr>
        <w:t>用地</w:t>
      </w:r>
      <w:r>
        <w:rPr>
          <w:rFonts w:hint="eastAsia" w:cs="Times New Roman"/>
          <w:sz w:val="24"/>
          <w:szCs w:val="24"/>
          <w:lang w:val="en-US" w:eastAsia="zh-CN"/>
        </w:rPr>
        <w:t>0.0280</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sz w:val="24"/>
          <w:szCs w:val="24"/>
          <w:lang w:val="en-US" w:eastAsia="zh-CN"/>
        </w:rPr>
        <w:t>、采矿用地</w:t>
      </w:r>
      <w:r>
        <w:rPr>
          <w:rFonts w:hint="eastAsia" w:cs="Times New Roman"/>
          <w:sz w:val="24"/>
          <w:szCs w:val="24"/>
          <w:lang w:val="en-US" w:eastAsia="zh-CN"/>
        </w:rPr>
        <w:t>0.0685</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sz w:val="24"/>
          <w:szCs w:val="24"/>
          <w:lang w:val="en-US" w:eastAsia="zh-CN"/>
        </w:rPr>
        <w:t>、</w:t>
      </w:r>
      <w:r>
        <w:rPr>
          <w:rFonts w:hint="eastAsia" w:ascii="Times New Roman" w:hAnsi="Times New Roman" w:eastAsia="仿宋_GB2312" w:cs="Times New Roman"/>
          <w:sz w:val="24"/>
          <w:szCs w:val="24"/>
          <w:lang w:eastAsia="zh-CN"/>
        </w:rPr>
        <w:t>裸岩石砾地</w:t>
      </w:r>
      <w:r>
        <w:rPr>
          <w:rFonts w:hint="eastAsia" w:cs="Times New Roman"/>
          <w:sz w:val="24"/>
          <w:szCs w:val="24"/>
          <w:lang w:val="en-US" w:eastAsia="zh-CN"/>
        </w:rPr>
        <w:t>1.8683</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sz w:val="24"/>
          <w:szCs w:val="24"/>
        </w:rPr>
        <w:t>，土地复垦率为100%。</w:t>
      </w:r>
    </w:p>
    <w:p w14:paraId="00FF59F1">
      <w:pPr>
        <w:keepNext/>
        <w:keepLines/>
        <w:spacing w:line="360" w:lineRule="auto"/>
        <w:ind w:firstLine="560" w:firstLineChars="200"/>
        <w:outlineLvl w:val="2"/>
        <w:rPr>
          <w:rFonts w:ascii="Times New Roman" w:hAnsi="Times New Roman" w:eastAsia="黑体" w:cs="Times New Roman"/>
          <w:bCs/>
          <w:color w:val="000000"/>
          <w:sz w:val="28"/>
          <w:szCs w:val="32"/>
          <w:highlight w:val="none"/>
        </w:rPr>
      </w:pPr>
      <w:r>
        <w:rPr>
          <w:rFonts w:ascii="Times New Roman" w:hAnsi="Times New Roman" w:eastAsia="黑体" w:cs="Times New Roman"/>
          <w:bCs/>
          <w:color w:val="000000"/>
          <w:sz w:val="28"/>
          <w:szCs w:val="32"/>
          <w:highlight w:val="none"/>
        </w:rPr>
        <w:t>1.2.5 复垦投资</w:t>
      </w:r>
    </w:p>
    <w:p w14:paraId="75AD5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auto"/>
          <w:sz w:val="24"/>
          <w:szCs w:val="24"/>
        </w:rPr>
      </w:pPr>
      <w:bookmarkStart w:id="10" w:name="_Toc323225478"/>
      <w:r>
        <w:rPr>
          <w:rFonts w:hint="eastAsia" w:ascii="Times New Roman" w:hAnsi="Times New Roman" w:eastAsia="仿宋_GB2312" w:cs="Times New Roman"/>
          <w:color w:val="auto"/>
          <w:sz w:val="24"/>
          <w:szCs w:val="24"/>
        </w:rPr>
        <w:t>本项目复垦静态总投资</w:t>
      </w:r>
      <w:r>
        <w:rPr>
          <w:rFonts w:hint="eastAsia" w:cs="Times New Roman"/>
          <w:color w:val="auto"/>
          <w:sz w:val="24"/>
          <w:szCs w:val="24"/>
          <w:lang w:val="en-US" w:eastAsia="zh-CN"/>
        </w:rPr>
        <w:t>3.5844</w:t>
      </w:r>
      <w:r>
        <w:rPr>
          <w:rFonts w:hint="eastAsia" w:ascii="Times New Roman" w:hAnsi="Times New Roman" w:eastAsia="仿宋_GB2312" w:cs="Times New Roman"/>
          <w:color w:val="auto"/>
          <w:sz w:val="24"/>
          <w:szCs w:val="24"/>
        </w:rPr>
        <w:t>万元，亩均投资</w:t>
      </w:r>
      <w:r>
        <w:rPr>
          <w:rFonts w:hint="eastAsia" w:cs="Times New Roman"/>
          <w:color w:val="auto"/>
          <w:sz w:val="24"/>
          <w:szCs w:val="24"/>
          <w:lang w:val="en-US" w:eastAsia="zh-CN"/>
        </w:rPr>
        <w:t>1175.75</w:t>
      </w:r>
      <w:r>
        <w:rPr>
          <w:rFonts w:hint="eastAsia" w:ascii="Times New Roman" w:hAnsi="Times New Roman" w:eastAsia="仿宋_GB2312" w:cs="Times New Roman"/>
          <w:color w:val="auto"/>
          <w:sz w:val="24"/>
          <w:szCs w:val="24"/>
        </w:rPr>
        <w:t>元。其中：工程施工费为</w:t>
      </w:r>
      <w:r>
        <w:rPr>
          <w:rFonts w:hint="eastAsia" w:cs="Times New Roman"/>
          <w:color w:val="auto"/>
          <w:sz w:val="24"/>
          <w:szCs w:val="24"/>
          <w:lang w:val="en-US" w:eastAsia="zh-CN"/>
        </w:rPr>
        <w:t>2.7774</w:t>
      </w:r>
      <w:r>
        <w:rPr>
          <w:rFonts w:hint="eastAsia" w:ascii="Times New Roman" w:hAnsi="Times New Roman" w:eastAsia="仿宋_GB2312" w:cs="Times New Roman"/>
          <w:color w:val="auto"/>
          <w:sz w:val="24"/>
          <w:szCs w:val="24"/>
        </w:rPr>
        <w:t>万元，其他费用</w:t>
      </w:r>
      <w:r>
        <w:rPr>
          <w:rFonts w:hint="eastAsia" w:cs="Times New Roman"/>
          <w:color w:val="auto"/>
          <w:sz w:val="24"/>
          <w:szCs w:val="24"/>
          <w:lang w:val="en-US" w:eastAsia="zh-CN"/>
        </w:rPr>
        <w:t>0.3918</w:t>
      </w:r>
      <w:r>
        <w:rPr>
          <w:rFonts w:hint="eastAsia" w:ascii="Times New Roman" w:hAnsi="Times New Roman" w:eastAsia="仿宋_GB2312" w:cs="Times New Roman"/>
          <w:color w:val="auto"/>
          <w:sz w:val="24"/>
          <w:szCs w:val="24"/>
        </w:rPr>
        <w:t>万元，监测与管护费</w:t>
      </w:r>
      <w:r>
        <w:rPr>
          <w:rFonts w:hint="eastAsia" w:cs="Times New Roman"/>
          <w:color w:val="auto"/>
          <w:sz w:val="24"/>
          <w:szCs w:val="24"/>
          <w:lang w:val="en-US" w:eastAsia="zh-CN"/>
        </w:rPr>
        <w:t>0.3200</w:t>
      </w:r>
      <w:r>
        <w:rPr>
          <w:rFonts w:hint="eastAsia" w:ascii="Times New Roman" w:hAnsi="Times New Roman" w:eastAsia="仿宋_GB2312" w:cs="Times New Roman"/>
          <w:color w:val="auto"/>
          <w:sz w:val="24"/>
          <w:szCs w:val="24"/>
        </w:rPr>
        <w:t>万元，基本预备费</w:t>
      </w:r>
      <w:r>
        <w:rPr>
          <w:rFonts w:hint="eastAsia" w:cs="Times New Roman"/>
          <w:color w:val="auto"/>
          <w:sz w:val="24"/>
          <w:szCs w:val="24"/>
          <w:lang w:val="en-US" w:eastAsia="zh-CN"/>
        </w:rPr>
        <w:t>0.0951</w:t>
      </w:r>
      <w:r>
        <w:rPr>
          <w:rFonts w:hint="eastAsia" w:ascii="Times New Roman" w:hAnsi="Times New Roman" w:eastAsia="仿宋_GB2312" w:cs="Times New Roman"/>
          <w:color w:val="auto"/>
          <w:sz w:val="24"/>
          <w:szCs w:val="24"/>
        </w:rPr>
        <w:t>万元。价差预备费按国家计委计投资〔1999〕1340号执行，按零计入，因此本项目复垦动态总投资为</w:t>
      </w:r>
      <w:r>
        <w:rPr>
          <w:rFonts w:hint="eastAsia" w:cs="Times New Roman"/>
          <w:color w:val="auto"/>
          <w:sz w:val="24"/>
          <w:szCs w:val="24"/>
          <w:lang w:val="en-US" w:eastAsia="zh-CN"/>
        </w:rPr>
        <w:t>3.5844</w:t>
      </w:r>
      <w:r>
        <w:rPr>
          <w:rFonts w:hint="eastAsia" w:ascii="Times New Roman" w:hAnsi="Times New Roman" w:eastAsia="仿宋_GB2312" w:cs="Times New Roman"/>
          <w:color w:val="auto"/>
          <w:sz w:val="24"/>
          <w:szCs w:val="24"/>
        </w:rPr>
        <w:t>万元</w:t>
      </w:r>
      <w:r>
        <w:rPr>
          <w:rFonts w:ascii="Times New Roman" w:hAnsi="Times New Roman" w:eastAsia="仿宋_GB2312" w:cs="Times New Roman"/>
          <w:color w:val="auto"/>
          <w:sz w:val="24"/>
          <w:szCs w:val="24"/>
        </w:rPr>
        <w:t>。</w:t>
      </w:r>
    </w:p>
    <w:p w14:paraId="346E9D7A">
      <w:pPr>
        <w:adjustRightInd w:val="0"/>
        <w:snapToGrid w:val="0"/>
        <w:spacing w:line="360" w:lineRule="auto"/>
        <w:ind w:firstLine="480" w:firstLineChars="200"/>
        <w:jc w:val="left"/>
        <w:rPr>
          <w:rFonts w:ascii="Times New Roman" w:hAnsi="Times New Roman" w:eastAsia="仿宋_GB2312" w:cs="Times New Roman"/>
          <w:color w:val="FF0000"/>
          <w:sz w:val="24"/>
          <w:szCs w:val="24"/>
        </w:rPr>
      </w:pPr>
    </w:p>
    <w:p w14:paraId="7D3AD11F">
      <w:pPr>
        <w:adjustRightInd w:val="0"/>
        <w:snapToGrid w:val="0"/>
        <w:spacing w:line="360" w:lineRule="auto"/>
        <w:ind w:firstLine="480" w:firstLineChars="200"/>
        <w:jc w:val="left"/>
        <w:rPr>
          <w:rFonts w:ascii="Times New Roman" w:hAnsi="Times New Roman" w:eastAsia="黑体" w:cs="Times New Roman"/>
          <w:color w:val="000000"/>
          <w:sz w:val="24"/>
          <w:szCs w:val="24"/>
        </w:rPr>
        <w:sectPr>
          <w:footerReference r:id="rId15" w:type="default"/>
          <w:pgSz w:w="11906" w:h="16838"/>
          <w:pgMar w:top="1701" w:right="1418" w:bottom="1418" w:left="1418" w:header="851" w:footer="992" w:gutter="0"/>
          <w:pgNumType w:fmt="decimal" w:start="1"/>
          <w:cols w:space="720" w:num="1"/>
          <w:docGrid w:type="lines" w:linePitch="312" w:charSpace="0"/>
        </w:sectPr>
      </w:pPr>
    </w:p>
    <w:p w14:paraId="4DD8C772">
      <w:pPr>
        <w:snapToGrid w:val="0"/>
        <w:spacing w:before="156" w:beforeLines="50" w:after="156" w:afterLines="50" w:line="360" w:lineRule="auto"/>
        <w:ind w:left="0" w:leftChars="0" w:firstLine="0" w:firstLineChars="0"/>
        <w:jc w:val="center"/>
        <w:outlineLvl w:val="0"/>
        <w:rPr>
          <w:rFonts w:ascii="Times New Roman" w:hAnsi="Times New Roman" w:eastAsia="黑体" w:cs="Times New Roman"/>
          <w:b/>
          <w:color w:val="000000"/>
          <w:sz w:val="32"/>
          <w:szCs w:val="32"/>
        </w:rPr>
      </w:pPr>
      <w:bookmarkStart w:id="11" w:name="_Toc17836"/>
      <w:bookmarkStart w:id="12" w:name="_Toc402958184"/>
      <w:bookmarkStart w:id="13" w:name="_Toc384129322"/>
      <w:r>
        <w:rPr>
          <w:rFonts w:ascii="Times New Roman" w:hAnsi="Times New Roman" w:eastAsia="黑体" w:cs="Times New Roman"/>
          <w:b/>
          <w:color w:val="000000"/>
          <w:sz w:val="32"/>
          <w:szCs w:val="32"/>
        </w:rPr>
        <w:t>2 编制总则</w:t>
      </w:r>
      <w:bookmarkEnd w:id="11"/>
      <w:bookmarkEnd w:id="12"/>
      <w:bookmarkEnd w:id="13"/>
    </w:p>
    <w:p w14:paraId="1A66516E">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14" w:name="_Toc384129323"/>
      <w:bookmarkStart w:id="15" w:name="_Toc272330929"/>
      <w:bookmarkStart w:id="16" w:name="_Toc215496700"/>
      <w:bookmarkStart w:id="17" w:name="_Toc402958185"/>
      <w:bookmarkStart w:id="18" w:name="_Toc215548419"/>
      <w:bookmarkStart w:id="19" w:name="_Toc17691"/>
      <w:bookmarkStart w:id="20" w:name="_Toc323225476"/>
      <w:bookmarkStart w:id="21" w:name="_Toc215496774"/>
      <w:bookmarkStart w:id="22" w:name="_Toc260918440"/>
      <w:bookmarkStart w:id="23" w:name="_Toc215548344"/>
      <w:bookmarkStart w:id="24" w:name="_Toc245534785"/>
      <w:r>
        <w:rPr>
          <w:rFonts w:ascii="Times New Roman" w:hAnsi="Times New Roman" w:eastAsia="黑体" w:cs="Times New Roman"/>
          <w:b/>
          <w:bCs/>
          <w:color w:val="000000"/>
          <w:kern w:val="0"/>
          <w:sz w:val="30"/>
          <w:szCs w:val="30"/>
        </w:rPr>
        <w:t>2.1 编制目的</w:t>
      </w:r>
      <w:bookmarkEnd w:id="14"/>
      <w:bookmarkEnd w:id="15"/>
      <w:bookmarkEnd w:id="16"/>
      <w:bookmarkEnd w:id="17"/>
      <w:bookmarkEnd w:id="18"/>
      <w:bookmarkEnd w:id="19"/>
      <w:bookmarkEnd w:id="20"/>
      <w:bookmarkEnd w:id="21"/>
      <w:bookmarkEnd w:id="22"/>
      <w:bookmarkEnd w:id="23"/>
      <w:bookmarkEnd w:id="24"/>
    </w:p>
    <w:p w14:paraId="119D4AC2">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土地复垦方案报告编制按照</w:t>
      </w:r>
      <w:r>
        <w:rPr>
          <w:rFonts w:hint="eastAsia" w:ascii="Times New Roman" w:hAnsi="Times New Roman" w:eastAsia="仿宋_GB2312" w:cs="Times New Roman"/>
          <w:color w:val="000000"/>
          <w:sz w:val="24"/>
          <w:szCs w:val="24"/>
        </w:rPr>
        <w:t>“谁损毁，谁复垦”</w:t>
      </w:r>
      <w:r>
        <w:rPr>
          <w:rFonts w:ascii="Times New Roman" w:hAnsi="Times New Roman" w:eastAsia="仿宋_GB2312" w:cs="Times New Roman"/>
          <w:color w:val="000000"/>
          <w:kern w:val="0"/>
          <w:sz w:val="24"/>
          <w:szCs w:val="24"/>
        </w:rPr>
        <w:t>的原则，将</w:t>
      </w:r>
      <w:r>
        <w:rPr>
          <w:rFonts w:hint="eastAsia" w:ascii="Times New Roman" w:hAnsi="Times New Roman" w:eastAsia="仿宋_GB2312" w:cs="Times New Roman"/>
          <w:color w:val="000000"/>
          <w:kern w:val="0"/>
          <w:sz w:val="24"/>
          <w:szCs w:val="24"/>
        </w:rPr>
        <w:t>吐哈油田分公司</w:t>
      </w:r>
      <w:r>
        <w:rPr>
          <w:rFonts w:ascii="Times New Roman" w:hAnsi="Times New Roman" w:eastAsia="仿宋_GB2312" w:cs="Times New Roman"/>
          <w:color w:val="000000"/>
          <w:kern w:val="0"/>
          <w:sz w:val="24"/>
          <w:szCs w:val="24"/>
        </w:rPr>
        <w:t>的土地复垦目标、任务、措施和计划等</w:t>
      </w:r>
      <w:r>
        <w:rPr>
          <w:rFonts w:hint="eastAsia" w:cs="Times New Roman"/>
          <w:color w:val="000000"/>
          <w:kern w:val="0"/>
          <w:sz w:val="24"/>
          <w:szCs w:val="24"/>
          <w:lang w:eastAsia="zh-CN"/>
        </w:rPr>
        <w:t>落到实处</w:t>
      </w:r>
      <w:r>
        <w:rPr>
          <w:rFonts w:ascii="Times New Roman" w:hAnsi="Times New Roman" w:eastAsia="仿宋_GB2312" w:cs="Times New Roman"/>
          <w:color w:val="000000"/>
          <w:kern w:val="0"/>
          <w:sz w:val="24"/>
          <w:szCs w:val="24"/>
        </w:rPr>
        <w:t>；为土地复垦的实施管理、监督检查以及土地复垦费征收等提供依据。使被损毁的土地恢复并达到最佳综合效益的状态，努力实现社会经济、生态环境的可持续发展。</w:t>
      </w:r>
    </w:p>
    <w:p w14:paraId="5C161C23">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25" w:name="_Toc402958186"/>
      <w:bookmarkStart w:id="26" w:name="_Toc9321"/>
      <w:bookmarkStart w:id="27" w:name="_Toc384129324"/>
      <w:bookmarkStart w:id="28" w:name="_Toc260918441"/>
      <w:bookmarkStart w:id="29" w:name="_Toc272330930"/>
      <w:bookmarkStart w:id="30" w:name="_Toc323225477"/>
      <w:r>
        <w:rPr>
          <w:rFonts w:ascii="Times New Roman" w:hAnsi="Times New Roman" w:eastAsia="黑体" w:cs="Times New Roman"/>
          <w:b/>
          <w:bCs/>
          <w:color w:val="000000"/>
          <w:kern w:val="0"/>
          <w:sz w:val="30"/>
          <w:szCs w:val="30"/>
        </w:rPr>
        <w:t>2.2 编制原则</w:t>
      </w:r>
      <w:bookmarkEnd w:id="25"/>
      <w:bookmarkEnd w:id="26"/>
      <w:bookmarkEnd w:id="27"/>
      <w:bookmarkEnd w:id="28"/>
      <w:bookmarkEnd w:id="29"/>
      <w:bookmarkEnd w:id="30"/>
    </w:p>
    <w:p w14:paraId="4335F88B">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根据项目自然环境情况与社会经济发展状况，按照经济可行、技术科学合理、综合效益最佳和便于操作的要求，结合项目特征和实际情况，复垦方案在编制过程中应体现以下原则：</w:t>
      </w:r>
    </w:p>
    <w:p w14:paraId="365DED89">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——源头控制、预防与复垦相结合</w:t>
      </w:r>
    </w:p>
    <w:p w14:paraId="78028801">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在项目的建设活动中应采取预防、控制措施，尽量减少对土地不必要的损毁。坚持预防为主、防治结合的原则，防患于未然，使土地资源损毁面积和程度控制在最小范围和最低限度，使</w:t>
      </w:r>
      <w:r>
        <w:rPr>
          <w:rFonts w:hint="eastAsia" w:ascii="仿宋_GB2312" w:hAnsi="仿宋_GB2312" w:eastAsia="仿宋_GB2312" w:cs="仿宋_GB2312"/>
          <w:color w:val="000000"/>
          <w:sz w:val="24"/>
          <w:szCs w:val="28"/>
        </w:rPr>
        <w:t>项目</w:t>
      </w:r>
      <w:r>
        <w:rPr>
          <w:rFonts w:ascii="Times New Roman" w:hAnsi="Times New Roman" w:eastAsia="仿宋_GB2312" w:cs="Times New Roman"/>
          <w:color w:val="000000"/>
          <w:sz w:val="24"/>
          <w:szCs w:val="28"/>
        </w:rPr>
        <w:t>区域生态环境得到明显改善。</w:t>
      </w:r>
    </w:p>
    <w:p w14:paraId="73E74832">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——科学规划，统筹安排</w:t>
      </w:r>
    </w:p>
    <w:p w14:paraId="6ED16C81">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根据项目建设工艺、时序，损毁土地类型、损毁程度等，结合国家政策及当地相关规划，科学确定复垦土地用途，合理安排复垦进度，做到土地复垦与工程建设同步设计、同步施工，努力实现</w:t>
      </w:r>
      <w:r>
        <w:rPr>
          <w:rFonts w:hint="eastAsia" w:ascii="Times New Roman" w:hAnsi="Times New Roman" w:eastAsia="仿宋_GB2312" w:cs="Times New Roman"/>
          <w:color w:val="000000"/>
          <w:sz w:val="24"/>
          <w:szCs w:val="24"/>
        </w:rPr>
        <w:t>“边建设、边复垦”</w:t>
      </w:r>
      <w:r>
        <w:rPr>
          <w:rFonts w:ascii="Times New Roman" w:hAnsi="Times New Roman" w:eastAsia="仿宋_GB2312" w:cs="Times New Roman"/>
          <w:color w:val="000000"/>
          <w:sz w:val="24"/>
          <w:szCs w:val="28"/>
        </w:rPr>
        <w:t>。</w:t>
      </w:r>
    </w:p>
    <w:p w14:paraId="401F42EB">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——因地制宜，优先用于农用地</w:t>
      </w:r>
    </w:p>
    <w:p w14:paraId="2CEC3F34">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贯彻落实</w:t>
      </w:r>
      <w:r>
        <w:rPr>
          <w:rFonts w:hint="eastAsia" w:ascii="Times New Roman" w:hAnsi="Times New Roman" w:eastAsia="仿宋_GB2312" w:cs="Times New Roman"/>
          <w:color w:val="000000"/>
          <w:sz w:val="24"/>
          <w:szCs w:val="24"/>
        </w:rPr>
        <w:t>“十分珍惜和合理利用土地，切实保护耕地”</w:t>
      </w:r>
      <w:r>
        <w:rPr>
          <w:rFonts w:ascii="Times New Roman" w:hAnsi="Times New Roman" w:eastAsia="仿宋_GB2312" w:cs="Times New Roman"/>
          <w:color w:val="000000"/>
          <w:sz w:val="24"/>
          <w:szCs w:val="28"/>
        </w:rPr>
        <w:t>的基本国策，按照</w:t>
      </w:r>
      <w:r>
        <w:rPr>
          <w:rFonts w:hint="eastAsia" w:ascii="Times New Roman" w:hAnsi="Times New Roman" w:eastAsia="仿宋_GB2312" w:cs="Times New Roman"/>
          <w:color w:val="000000"/>
          <w:sz w:val="24"/>
          <w:szCs w:val="24"/>
        </w:rPr>
        <w:t>“因地制宜，综合利用”</w:t>
      </w:r>
      <w:r>
        <w:rPr>
          <w:rFonts w:ascii="Times New Roman" w:hAnsi="Times New Roman" w:eastAsia="仿宋_GB2312" w:cs="Times New Roman"/>
          <w:color w:val="000000"/>
          <w:sz w:val="24"/>
          <w:szCs w:val="28"/>
        </w:rPr>
        <w:t>的原则，依据本工程所涉及乡镇的土地利用总体规划，合理确定复垦后土地用途，宜农则农、宜林则林、宜牧则牧、宜建则建。被损毁的土地可复垦为农用地的，优先用于农业、林业、牧业等用地。</w:t>
      </w:r>
    </w:p>
    <w:p w14:paraId="179C91A6">
      <w:pPr>
        <w:adjustRightInd w:val="0"/>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——经济可行，综合效益最佳</w:t>
      </w:r>
    </w:p>
    <w:p w14:paraId="7DBAA77B">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8"/>
        </w:rPr>
        <w:t>根据有关标准规范，结合项目区实际，兼顾复垦投资效益的边际效益，适应周边的经济状况和生态环境，兼顾工程投资情况，体现经济可行、技术科学、综合效益最佳的原则。</w:t>
      </w:r>
    </w:p>
    <w:p w14:paraId="2D6B33B2">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31" w:name="_Toc15262"/>
      <w:bookmarkStart w:id="32" w:name="_Toc402958187"/>
      <w:r>
        <w:rPr>
          <w:rFonts w:ascii="Times New Roman" w:hAnsi="Times New Roman" w:eastAsia="黑体" w:cs="Times New Roman"/>
          <w:b/>
          <w:bCs/>
          <w:color w:val="000000"/>
          <w:kern w:val="0"/>
          <w:sz w:val="30"/>
          <w:szCs w:val="30"/>
        </w:rPr>
        <w:t>2.3 编制依据</w:t>
      </w:r>
      <w:bookmarkEnd w:id="10"/>
      <w:bookmarkEnd w:id="31"/>
      <w:bookmarkEnd w:id="32"/>
    </w:p>
    <w:p w14:paraId="504ABF6D">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bookmarkStart w:id="33" w:name="_Toc215548347"/>
      <w:bookmarkStart w:id="34" w:name="_Toc215496777"/>
      <w:bookmarkStart w:id="35" w:name="_Toc272330932"/>
      <w:bookmarkStart w:id="36" w:name="_Toc246340436"/>
      <w:bookmarkStart w:id="37" w:name="_Toc260918443"/>
      <w:bookmarkStart w:id="38" w:name="_Toc215496703"/>
      <w:bookmarkStart w:id="39" w:name="_Toc215548422"/>
      <w:r>
        <w:rPr>
          <w:rFonts w:ascii="Times New Roman" w:hAnsi="Times New Roman" w:eastAsia="黑体" w:cs="Times New Roman"/>
          <w:bCs/>
          <w:color w:val="000000"/>
          <w:sz w:val="28"/>
          <w:szCs w:val="28"/>
        </w:rPr>
        <w:t>2.3.1 法律法规</w:t>
      </w:r>
      <w:bookmarkEnd w:id="33"/>
      <w:bookmarkEnd w:id="34"/>
      <w:bookmarkEnd w:id="35"/>
      <w:bookmarkEnd w:id="36"/>
      <w:bookmarkEnd w:id="37"/>
      <w:bookmarkEnd w:id="38"/>
      <w:bookmarkEnd w:id="39"/>
    </w:p>
    <w:p w14:paraId="39780473">
      <w:pPr>
        <w:bidi w:val="0"/>
        <w:rPr>
          <w:rFonts w:hint="default"/>
        </w:rPr>
      </w:pPr>
      <w:r>
        <w:rPr>
          <w:rFonts w:hint="default"/>
        </w:rPr>
        <w:t>1）《中华人民共和国土地管理法》（2019年8月26日第十三届全国人民代表大会常务委员会第十二次会议第三次修正，2020年1月1日施行）；</w:t>
      </w:r>
    </w:p>
    <w:p w14:paraId="02009164">
      <w:pPr>
        <w:bidi w:val="0"/>
        <w:rPr>
          <w:rFonts w:hint="default"/>
        </w:rPr>
      </w:pPr>
      <w:r>
        <w:rPr>
          <w:rFonts w:hint="default"/>
          <w:lang w:val="en-US" w:eastAsia="zh-CN"/>
        </w:rPr>
        <w:t>2</w:t>
      </w:r>
      <w:r>
        <w:rPr>
          <w:rFonts w:hint="default"/>
        </w:rPr>
        <w:t>）《中华人民共和国土地管理法实施条例》（中华人民共和国国务院令第743号第三次修订，2021年9月1日起施行）；</w:t>
      </w:r>
    </w:p>
    <w:p w14:paraId="1455E41B">
      <w:pPr>
        <w:bidi w:val="0"/>
        <w:rPr>
          <w:rFonts w:hint="default"/>
        </w:rPr>
      </w:pPr>
      <w:r>
        <w:rPr>
          <w:rFonts w:hint="default"/>
          <w:lang w:val="en-US" w:eastAsia="zh-CN"/>
        </w:rPr>
        <w:t>3</w:t>
      </w:r>
      <w:r>
        <w:rPr>
          <w:rFonts w:hint="default"/>
        </w:rPr>
        <w:t>）《土地复垦条例实施办法》（2019年7月16日自然资源部第二次部务会议修正）；</w:t>
      </w:r>
    </w:p>
    <w:p w14:paraId="23389A65">
      <w:pPr>
        <w:bidi w:val="0"/>
        <w:rPr>
          <w:rFonts w:hint="default"/>
        </w:rPr>
      </w:pPr>
      <w:r>
        <w:rPr>
          <w:rFonts w:hint="default"/>
          <w:lang w:val="en-US" w:eastAsia="zh-CN"/>
        </w:rPr>
        <w:t>4</w:t>
      </w:r>
      <w:r>
        <w:rPr>
          <w:rFonts w:hint="default"/>
        </w:rPr>
        <w:t>）《中华人民共和国循环经济促进法》（根据2018年10月26日第十三届全国人民代表大会常务委员会第六次会议《关于修改〈中华人民共和国野生动物保护法〉等十五部法律的决定》修正）；</w:t>
      </w:r>
    </w:p>
    <w:p w14:paraId="758CDB2A">
      <w:pPr>
        <w:bidi w:val="0"/>
        <w:rPr>
          <w:rFonts w:hint="default"/>
        </w:rPr>
      </w:pPr>
      <w:r>
        <w:rPr>
          <w:rFonts w:hint="default"/>
          <w:lang w:val="en-US" w:eastAsia="zh-CN"/>
        </w:rPr>
        <w:t>5</w:t>
      </w:r>
      <w:r>
        <w:rPr>
          <w:rFonts w:hint="default"/>
        </w:rPr>
        <w:t>）《中华人民共和国水土保持法》（2010年12月25日第十一届全国人民代表大会常务委员会第十八次会议修订，自2011年3月1日起施行）；</w:t>
      </w:r>
    </w:p>
    <w:p w14:paraId="6E034DA2">
      <w:pPr>
        <w:bidi w:val="0"/>
        <w:rPr>
          <w:rFonts w:hint="default"/>
        </w:rPr>
      </w:pPr>
      <w:r>
        <w:rPr>
          <w:rFonts w:hint="default"/>
          <w:lang w:val="en-US" w:eastAsia="zh-CN"/>
        </w:rPr>
        <w:t>6</w:t>
      </w:r>
      <w:r>
        <w:rPr>
          <w:rFonts w:hint="default"/>
        </w:rPr>
        <w:t>）《中华人民共和国环境保护法》（2014年4月24日第十二届全国人民</w:t>
      </w:r>
      <w:r>
        <w:rPr>
          <w:rFonts w:hint="eastAsia"/>
          <w:lang w:val="en-US" w:eastAsia="zh-CN"/>
        </w:rPr>
        <w:t>代表</w:t>
      </w:r>
      <w:r>
        <w:rPr>
          <w:rFonts w:hint="default"/>
        </w:rPr>
        <w:t>大会常务委员会第八次会议修订，自2015年1月1日起施行）；</w:t>
      </w:r>
    </w:p>
    <w:p w14:paraId="30CE2FEB">
      <w:pPr>
        <w:bidi w:val="0"/>
        <w:rPr>
          <w:rFonts w:hint="default"/>
        </w:rPr>
      </w:pPr>
      <w:r>
        <w:rPr>
          <w:rFonts w:hint="default"/>
          <w:lang w:val="en-US" w:eastAsia="zh-CN"/>
        </w:rPr>
        <w:t>7</w:t>
      </w:r>
      <w:r>
        <w:rPr>
          <w:rFonts w:hint="default"/>
        </w:rPr>
        <w:t>）《建设项目环境保护管理条例》（2017年6月21日国务院第177次常务会议通过修改，自2017年10月1日起施行）；</w:t>
      </w:r>
    </w:p>
    <w:p w14:paraId="2A159D22">
      <w:pPr>
        <w:bidi w:val="0"/>
        <w:rPr>
          <w:rFonts w:hint="default"/>
        </w:rPr>
      </w:pPr>
      <w:r>
        <w:rPr>
          <w:rFonts w:hint="default"/>
          <w:lang w:val="en-US" w:eastAsia="zh-CN"/>
        </w:rPr>
        <w:t>8</w:t>
      </w:r>
      <w:r>
        <w:rPr>
          <w:rFonts w:hint="default"/>
        </w:rPr>
        <w:t>）《中华人民共和国土壤污染防治法》（2018年8月31日第十三届全国人民代表大会常务委员会第五次会议通过，2019年1月1日起施行）；</w:t>
      </w:r>
    </w:p>
    <w:p w14:paraId="06957DEB">
      <w:pPr>
        <w:bidi w:val="0"/>
        <w:rPr>
          <w:rFonts w:hint="default"/>
        </w:rPr>
      </w:pPr>
      <w:r>
        <w:rPr>
          <w:rFonts w:hint="default"/>
          <w:lang w:val="en-US" w:eastAsia="zh-CN"/>
        </w:rPr>
        <w:t>9</w:t>
      </w:r>
      <w:r>
        <w:rPr>
          <w:rFonts w:hint="default"/>
        </w:rPr>
        <w:t>）《新疆维吾尔自治区实施〈中华人民共和国草原法〉办法》（新疆维吾尔自治区第十一届人民代表大会常务委员会公告第39号公布，2011年10月1日施行）；</w:t>
      </w:r>
    </w:p>
    <w:p w14:paraId="574DAD7D">
      <w:pPr>
        <w:bidi w:val="0"/>
        <w:rPr>
          <w:rFonts w:hint="default"/>
        </w:rPr>
      </w:pPr>
      <w:r>
        <w:rPr>
          <w:rFonts w:hint="default"/>
          <w:lang w:val="en-US" w:eastAsia="zh-CN"/>
        </w:rPr>
        <w:t>10</w:t>
      </w:r>
      <w:r>
        <w:rPr>
          <w:rFonts w:hint="default"/>
        </w:rPr>
        <w:t>）《新疆维吾尔自治区环境保护条例》（2018年9月21日新疆维吾尔自治区第十三届人民代表大会常务委员会第六次会议修正）；</w:t>
      </w:r>
    </w:p>
    <w:p w14:paraId="1BC36F8B">
      <w:pPr>
        <w:bidi w:val="0"/>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2.3.2 政策文件</w:t>
      </w:r>
    </w:p>
    <w:p w14:paraId="3F86D397">
      <w:pPr>
        <w:bidi w:val="0"/>
        <w:rPr>
          <w:rFonts w:hint="eastAsia"/>
          <w:lang w:val="en-US" w:eastAsia="zh-CN"/>
        </w:rPr>
      </w:pPr>
      <w:bookmarkStart w:id="40" w:name="_Toc215548349"/>
      <w:bookmarkStart w:id="41" w:name="_Toc245534790"/>
      <w:bookmarkStart w:id="42" w:name="_Toc260918445"/>
      <w:bookmarkStart w:id="43" w:name="_Toc215496705"/>
      <w:bookmarkStart w:id="44" w:name="_Toc215496779"/>
      <w:bookmarkStart w:id="45" w:name="_Toc215548424"/>
      <w:bookmarkStart w:id="46" w:name="_Toc272330934"/>
      <w:bookmarkStart w:id="47" w:name="_Toc272330935"/>
      <w:bookmarkStart w:id="48" w:name="_Toc260918446"/>
      <w:r>
        <w:rPr>
          <w:rFonts w:hint="eastAsia"/>
          <w:lang w:val="en-US" w:eastAsia="zh-CN"/>
        </w:rPr>
        <w:t>1）《国土资源部关于推进土地节约集约利用的指导意见》（国土资发〔2014〕119号）；</w:t>
      </w:r>
    </w:p>
    <w:p w14:paraId="1A181B19">
      <w:pPr>
        <w:bidi w:val="0"/>
        <w:rPr>
          <w:rFonts w:hint="eastAsia"/>
          <w:lang w:val="en-US" w:eastAsia="zh-CN"/>
        </w:rPr>
      </w:pPr>
      <w:r>
        <w:rPr>
          <w:rFonts w:hint="eastAsia"/>
          <w:lang w:val="en-US" w:eastAsia="zh-CN"/>
        </w:rPr>
        <w:t>2）《国土资源部关于贯彻实施〈土地复垦条例〉的通知》（国土资发〔2011〕50号）；</w:t>
      </w:r>
    </w:p>
    <w:p w14:paraId="0AFD89BE">
      <w:pPr>
        <w:bidi w:val="0"/>
        <w:rPr>
          <w:rFonts w:hint="eastAsia"/>
          <w:lang w:val="en-US" w:eastAsia="zh-CN"/>
        </w:rPr>
      </w:pPr>
      <w:r>
        <w:rPr>
          <w:rFonts w:hint="eastAsia"/>
          <w:lang w:val="en-US" w:eastAsia="zh-CN"/>
        </w:rPr>
        <w:t>3）《财政部 国土资源部关于印发土地开发整理项目预算定额标准的通知》（财综〔2011〕128号）；</w:t>
      </w:r>
    </w:p>
    <w:p w14:paraId="1BE5E7CE">
      <w:pPr>
        <w:bidi w:val="0"/>
        <w:rPr>
          <w:rFonts w:hint="eastAsia"/>
          <w:lang w:val="en-US" w:eastAsia="zh-CN"/>
        </w:rPr>
      </w:pPr>
      <w:r>
        <w:rPr>
          <w:rFonts w:hint="eastAsia"/>
          <w:lang w:val="en-US" w:eastAsia="zh-CN"/>
        </w:rPr>
        <w:t>4）《财政部 税务总局 海关总署关于深化增值税改革有关政策的公告》（财政部 税务总局 海关总署公告2019年第39号）；</w:t>
      </w:r>
    </w:p>
    <w:p w14:paraId="7C47406C">
      <w:pPr>
        <w:bidi w:val="0"/>
        <w:rPr>
          <w:rFonts w:hint="eastAsia"/>
          <w:lang w:val="en-US" w:eastAsia="zh-CN"/>
        </w:rPr>
      </w:pPr>
      <w:r>
        <w:rPr>
          <w:rFonts w:hint="eastAsia"/>
          <w:lang w:val="en-US" w:eastAsia="zh-CN"/>
        </w:rPr>
        <w:t>5）《公路工程项目建设用地指标》（建标〔2011〕124号）；</w:t>
      </w:r>
    </w:p>
    <w:p w14:paraId="1CE20221">
      <w:pPr>
        <w:bidi w:val="0"/>
        <w:rPr>
          <w:rFonts w:hint="eastAsia"/>
          <w:lang w:val="en-US" w:eastAsia="zh-CN"/>
        </w:rPr>
      </w:pPr>
      <w:r>
        <w:rPr>
          <w:rFonts w:hint="eastAsia"/>
          <w:lang w:val="en-US" w:eastAsia="zh-CN"/>
        </w:rPr>
        <w:t>6）《自治区住房和城乡建设厅关于调整我区建设工程计价依据增值税税率的通知》（新建标〔2019〕4号）；</w:t>
      </w:r>
    </w:p>
    <w:p w14:paraId="414E0BA1">
      <w:pPr>
        <w:bidi w:val="0"/>
        <w:rPr>
          <w:rFonts w:hint="eastAsia"/>
          <w:lang w:val="en-US" w:eastAsia="zh-CN"/>
        </w:rPr>
      </w:pPr>
      <w:r>
        <w:rPr>
          <w:rFonts w:hint="eastAsia"/>
          <w:lang w:val="en-US" w:eastAsia="zh-CN"/>
        </w:rPr>
        <w:t>7）《自治区自然资源厅关于印发〈自治区生产建设项目土地复垦管理办法〉〈自治区生产建设项目土地复垦方案审查暂行办法〉〈自治区生产建设项目土地复垦验收办法〉的通知》（新自然资规〔2018〕1号）；</w:t>
      </w:r>
    </w:p>
    <w:p w14:paraId="60FAAE6D">
      <w:pPr>
        <w:bidi w:val="0"/>
        <w:rPr>
          <w:rFonts w:hint="eastAsia"/>
          <w:lang w:val="en-US" w:eastAsia="zh-CN"/>
        </w:rPr>
      </w:pPr>
      <w:r>
        <w:rPr>
          <w:rFonts w:hint="eastAsia"/>
          <w:lang w:val="en-US" w:eastAsia="zh-CN"/>
        </w:rPr>
        <w:t>8）《关于加强自治区生产建设项目土地复垦管理工作的通知》（2021年3月23日）；</w:t>
      </w:r>
    </w:p>
    <w:p w14:paraId="45FAC248">
      <w:pPr>
        <w:bidi w:val="0"/>
        <w:rPr>
          <w:rFonts w:hint="eastAsia"/>
          <w:lang w:val="en-US" w:eastAsia="zh-CN"/>
        </w:rPr>
      </w:pPr>
      <w:r>
        <w:rPr>
          <w:rFonts w:hint="eastAsia"/>
          <w:lang w:val="en-US" w:eastAsia="zh-CN"/>
        </w:rPr>
        <w:t>9）《住房城乡建设部办公厅关于重新调整建设工程计价依据增值税税率的通知》（建办标函〔2019〕193号）；</w:t>
      </w:r>
    </w:p>
    <w:p w14:paraId="5255AF03">
      <w:pPr>
        <w:bidi w:val="0"/>
        <w:rPr>
          <w:rFonts w:hint="eastAsia"/>
          <w:lang w:val="en-US" w:eastAsia="zh-CN"/>
        </w:rPr>
      </w:pPr>
      <w:r>
        <w:rPr>
          <w:rFonts w:hint="eastAsia"/>
          <w:lang w:val="en-US" w:eastAsia="zh-CN"/>
        </w:rPr>
        <w:t>10)《关于印发新疆维吾尔自治区土地整治项目补充预算定额（试行）的通知》（新财综〔2019〕1号）；</w:t>
      </w:r>
    </w:p>
    <w:p w14:paraId="09EAD65A">
      <w:pPr>
        <w:bidi w:val="0"/>
        <w:rPr>
          <w:rFonts w:hint="eastAsia"/>
          <w:lang w:val="en-US" w:eastAsia="zh-CN"/>
        </w:rPr>
      </w:pPr>
      <w:r>
        <w:rPr>
          <w:rFonts w:hint="eastAsia"/>
          <w:lang w:val="en-US" w:eastAsia="zh-CN"/>
        </w:rPr>
        <w:t>11）自然资源部关于印发《国土空间调查、规划、用途管制用地用海分类指南》的通知（自然资发〔2023〕234号）。</w:t>
      </w:r>
    </w:p>
    <w:p w14:paraId="29F3B931">
      <w:pPr>
        <w:bidi w:val="0"/>
        <w:rPr>
          <w:rFonts w:hint="eastAsia"/>
          <w:lang w:val="en-US" w:eastAsia="zh-CN"/>
        </w:rPr>
      </w:pPr>
      <w:r>
        <w:rPr>
          <w:rFonts w:hint="eastAsia"/>
          <w:lang w:val="en-US" w:eastAsia="zh-CN"/>
        </w:rPr>
        <w:t>12）《关于进一步规范临时用地管理的通知》，新自然资规〔2022〕2号。</w:t>
      </w:r>
    </w:p>
    <w:p w14:paraId="24034789">
      <w:pPr>
        <w:bidi w:val="0"/>
        <w:rPr>
          <w:rFonts w:hint="eastAsia"/>
          <w:lang w:val="en-US" w:eastAsia="zh-CN"/>
        </w:rPr>
      </w:pPr>
      <w:r>
        <w:rPr>
          <w:rFonts w:hint="eastAsia"/>
          <w:lang w:val="en-US" w:eastAsia="zh-CN"/>
        </w:rPr>
        <w:t>13）新疆维吾尔自治区实施《中华人民共和国土地管理法》办法，2022年11月1日。</w:t>
      </w:r>
    </w:p>
    <w:p w14:paraId="78B93111">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2.3.3</w:t>
      </w:r>
      <w:bookmarkEnd w:id="40"/>
      <w:bookmarkEnd w:id="41"/>
      <w:bookmarkEnd w:id="42"/>
      <w:bookmarkEnd w:id="43"/>
      <w:bookmarkEnd w:id="44"/>
      <w:bookmarkEnd w:id="45"/>
      <w:r>
        <w:rPr>
          <w:rFonts w:ascii="Times New Roman" w:hAnsi="Times New Roman" w:eastAsia="黑体" w:cs="Times New Roman"/>
          <w:bCs/>
          <w:color w:val="000000"/>
          <w:sz w:val="28"/>
          <w:szCs w:val="28"/>
        </w:rPr>
        <w:t xml:space="preserve"> </w:t>
      </w:r>
      <w:bookmarkEnd w:id="46"/>
      <w:r>
        <w:rPr>
          <w:rFonts w:ascii="Times New Roman" w:hAnsi="Times New Roman" w:eastAsia="黑体" w:cs="Times New Roman"/>
          <w:bCs/>
          <w:color w:val="000000"/>
          <w:sz w:val="28"/>
          <w:szCs w:val="28"/>
        </w:rPr>
        <w:t>标准规范</w:t>
      </w:r>
    </w:p>
    <w:p w14:paraId="5C1A46DE">
      <w:pPr>
        <w:bidi w:val="0"/>
        <w:rPr>
          <w:rFonts w:hint="default"/>
        </w:rPr>
      </w:pPr>
      <w:r>
        <w:rPr>
          <w:rFonts w:hint="default"/>
        </w:rPr>
        <w:t>1）《土地复垦方案编制规程第1部分：通则》（TD/T103.1-2011）；</w:t>
      </w:r>
    </w:p>
    <w:p w14:paraId="45C0251C">
      <w:pPr>
        <w:bidi w:val="0"/>
        <w:rPr>
          <w:rFonts w:hint="default"/>
        </w:rPr>
      </w:pPr>
      <w:r>
        <w:rPr>
          <w:rFonts w:hint="default"/>
        </w:rPr>
        <w:t>2）《土地复垦方案编制规程第5部分：石油天然气（含煤层气）项目》（TD/T103.5-2011）；</w:t>
      </w:r>
    </w:p>
    <w:p w14:paraId="0F01C4C7">
      <w:pPr>
        <w:bidi w:val="0"/>
        <w:rPr>
          <w:rFonts w:hint="default"/>
        </w:rPr>
      </w:pPr>
      <w:r>
        <w:rPr>
          <w:rFonts w:hint="default"/>
        </w:rPr>
        <w:t>3）《土地复垦质量控制标准》（TD/5T1036-2013）；</w:t>
      </w:r>
    </w:p>
    <w:p w14:paraId="60A1ACBB">
      <w:pPr>
        <w:bidi w:val="0"/>
        <w:rPr>
          <w:rFonts w:hint="default"/>
        </w:rPr>
      </w:pPr>
      <w:r>
        <w:rPr>
          <w:rFonts w:hint="default"/>
        </w:rPr>
        <w:t>4）《土地利用现状分类》（GBT 21010-2017）；</w:t>
      </w:r>
    </w:p>
    <w:p w14:paraId="35B69CFC">
      <w:pPr>
        <w:bidi w:val="0"/>
        <w:rPr>
          <w:rFonts w:hint="default"/>
        </w:rPr>
      </w:pPr>
      <w:r>
        <w:rPr>
          <w:rFonts w:hint="default"/>
        </w:rPr>
        <w:t>5）《第三次全国土地调查技术规程》（TD/T 1055-2019）；</w:t>
      </w:r>
    </w:p>
    <w:p w14:paraId="7281EC51">
      <w:pPr>
        <w:bidi w:val="0"/>
        <w:rPr>
          <w:rFonts w:hint="default"/>
        </w:rPr>
      </w:pPr>
      <w:r>
        <w:rPr>
          <w:rFonts w:hint="default"/>
        </w:rPr>
        <w:t>6）《土地整治项目设计报告编制规程》（TD／T1038-2013）；</w:t>
      </w:r>
    </w:p>
    <w:p w14:paraId="48205F95">
      <w:pPr>
        <w:bidi w:val="0"/>
        <w:rPr>
          <w:rFonts w:hint="default"/>
        </w:rPr>
      </w:pPr>
      <w:r>
        <w:rPr>
          <w:rFonts w:hint="default"/>
        </w:rPr>
        <w:t>7）《土地整治工程质量检验与评定规程》（TD/T1042-2013）；</w:t>
      </w:r>
    </w:p>
    <w:p w14:paraId="3908C7E7">
      <w:pPr>
        <w:bidi w:val="0"/>
        <w:rPr>
          <w:rFonts w:hint="default"/>
        </w:rPr>
      </w:pPr>
      <w:r>
        <w:rPr>
          <w:rFonts w:hint="default"/>
        </w:rPr>
        <w:t>8）《水土保持综合治理技术规范》（GB/T16453-2008）；</w:t>
      </w:r>
    </w:p>
    <w:p w14:paraId="289F685C">
      <w:pPr>
        <w:bidi w:val="0"/>
        <w:rPr>
          <w:rFonts w:hint="default"/>
        </w:rPr>
      </w:pPr>
      <w:r>
        <w:rPr>
          <w:rFonts w:hint="default"/>
        </w:rPr>
        <w:t>9）《水土保持综合治理规划通则》（GB/T15772-2008）；</w:t>
      </w:r>
    </w:p>
    <w:p w14:paraId="3F5B9455">
      <w:pPr>
        <w:bidi w:val="0"/>
        <w:rPr>
          <w:rFonts w:hint="default"/>
        </w:rPr>
      </w:pPr>
      <w:r>
        <w:rPr>
          <w:rFonts w:hint="default"/>
        </w:rPr>
        <w:t>10）《开发建设项目水土保持方案技术规范》（GB 50433-2008）；</w:t>
      </w:r>
    </w:p>
    <w:p w14:paraId="6145D1A0">
      <w:pPr>
        <w:bidi w:val="0"/>
        <w:rPr>
          <w:rFonts w:hint="default"/>
        </w:rPr>
      </w:pPr>
      <w:r>
        <w:rPr>
          <w:rFonts w:hint="default"/>
        </w:rPr>
        <w:t>11）《生态环境状况评价技术规范》（HJ/T 192-2015）；</w:t>
      </w:r>
    </w:p>
    <w:p w14:paraId="43DD3C2C">
      <w:pPr>
        <w:bidi w:val="0"/>
        <w:rPr>
          <w:rFonts w:hint="default"/>
        </w:rPr>
      </w:pPr>
      <w:r>
        <w:rPr>
          <w:rFonts w:hint="default"/>
        </w:rPr>
        <w:t>12）《财政部、国土资源部关于印发土地开发整理项目预算定额标准的通知》，财综〔2011〕128号；</w:t>
      </w:r>
    </w:p>
    <w:p w14:paraId="4A444AB5">
      <w:pPr>
        <w:bidi w:val="0"/>
        <w:rPr>
          <w:rFonts w:hint="default"/>
        </w:rPr>
      </w:pPr>
      <w:r>
        <w:rPr>
          <w:rFonts w:hint="default"/>
        </w:rPr>
        <w:t>13）《</w:t>
      </w:r>
      <w:r>
        <w:rPr>
          <w:rFonts w:hint="eastAsia"/>
          <w:lang w:eastAsia="zh-CN"/>
        </w:rPr>
        <w:t>新疆维吾尔自治区</w:t>
      </w:r>
      <w:r>
        <w:rPr>
          <w:rFonts w:hint="default"/>
        </w:rPr>
        <w:t>土地整治工程建设标准》（DB65/T 3722-2015）；</w:t>
      </w:r>
    </w:p>
    <w:p w14:paraId="619EA700">
      <w:pPr>
        <w:bidi w:val="0"/>
        <w:rPr>
          <w:rFonts w:hint="default"/>
        </w:rPr>
      </w:pPr>
      <w:r>
        <w:rPr>
          <w:rFonts w:hint="default"/>
        </w:rPr>
        <w:t>14）《生产项目土地复垦验收规程》（TD/T 1044-2014）；</w:t>
      </w:r>
      <w:bookmarkStart w:id="49" w:name="_Toc26988436"/>
    </w:p>
    <w:p w14:paraId="6782BE54">
      <w:pPr>
        <w:bidi w:val="0"/>
      </w:pPr>
      <w:r>
        <w:rPr>
          <w:rFonts w:hint="default"/>
        </w:rPr>
        <w:t>15）《土地整治项目规划设计规范》（TD/T1012-2016）</w:t>
      </w:r>
      <w:bookmarkEnd w:id="49"/>
      <w:r>
        <w:rPr>
          <w:rFonts w:hint="default"/>
        </w:rPr>
        <w:t>；</w:t>
      </w:r>
    </w:p>
    <w:p w14:paraId="27419FF8">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2.3.4 基础资料</w:t>
      </w:r>
      <w:bookmarkEnd w:id="47"/>
      <w:bookmarkEnd w:id="48"/>
    </w:p>
    <w:p w14:paraId="233C5DE0">
      <w:pPr>
        <w:numPr>
          <w:ilvl w:val="0"/>
          <w:numId w:val="0"/>
        </w:numPr>
        <w:tabs>
          <w:tab w:val="left" w:pos="0"/>
        </w:tabs>
        <w:adjustRightInd w:val="0"/>
        <w:snapToGrid w:val="0"/>
        <w:spacing w:line="360" w:lineRule="auto"/>
        <w:ind w:leftChars="200"/>
        <w:rPr>
          <w:rFonts w:hint="default" w:ascii="Times New Roman" w:hAnsi="Times New Roman" w:eastAsia="仿宋_GB2312" w:cs="Times New Roman"/>
          <w:color w:val="000000"/>
          <w:sz w:val="24"/>
          <w:szCs w:val="24"/>
        </w:rPr>
      </w:pPr>
      <w:bookmarkStart w:id="50" w:name="_Toc215496707"/>
      <w:bookmarkStart w:id="51" w:name="_Toc260918447"/>
      <w:bookmarkStart w:id="52" w:name="_Toc215548351"/>
      <w:bookmarkStart w:id="53" w:name="_Toc215548426"/>
      <w:bookmarkStart w:id="54" w:name="_Toc246340440"/>
      <w:bookmarkStart w:id="55" w:name="_Toc215496781"/>
      <w:r>
        <w:rPr>
          <w:rFonts w:hint="default" w:ascii="Times New Roman" w:hAnsi="Times New Roman" w:eastAsia="仿宋_GB2312" w:cs="Times New Roman"/>
          <w:color w:val="000000"/>
          <w:sz w:val="24"/>
          <w:szCs w:val="24"/>
        </w:rPr>
        <w:t>1）项目区临时面积数据以及勘测定界坐标；</w:t>
      </w:r>
    </w:p>
    <w:p w14:paraId="0148FEE0">
      <w:pPr>
        <w:numPr>
          <w:ilvl w:val="0"/>
          <w:numId w:val="0"/>
        </w:numPr>
        <w:tabs>
          <w:tab w:val="left" w:pos="0"/>
        </w:tabs>
        <w:adjustRightInd w:val="0"/>
        <w:snapToGrid w:val="0"/>
        <w:spacing w:line="360" w:lineRule="auto"/>
        <w:ind w:leftChars="20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2）项目区土地损毁现状实地踏勘、调查报告资料</w:t>
      </w:r>
      <w:bookmarkEnd w:id="50"/>
      <w:bookmarkEnd w:id="51"/>
      <w:bookmarkEnd w:id="52"/>
      <w:bookmarkEnd w:id="53"/>
      <w:bookmarkEnd w:id="54"/>
      <w:bookmarkEnd w:id="55"/>
      <w:r>
        <w:rPr>
          <w:rFonts w:hint="default" w:ascii="Times New Roman" w:hAnsi="Times New Roman" w:eastAsia="仿宋_GB2312" w:cs="Times New Roman"/>
          <w:color w:val="000000"/>
          <w:sz w:val="24"/>
          <w:szCs w:val="24"/>
        </w:rPr>
        <w:t>；</w:t>
      </w:r>
    </w:p>
    <w:p w14:paraId="7233DC4C">
      <w:pPr>
        <w:numPr>
          <w:ilvl w:val="0"/>
          <w:numId w:val="0"/>
        </w:numPr>
        <w:tabs>
          <w:tab w:val="left" w:pos="0"/>
        </w:tabs>
        <w:adjustRightInd w:val="0"/>
        <w:snapToGrid w:val="0"/>
        <w:spacing w:line="360" w:lineRule="auto"/>
        <w:ind w:leftChars="200"/>
        <w:rPr>
          <w:rFonts w:ascii="Times New Roman" w:hAnsi="Times New Roman" w:eastAsia="仿宋_GB2312" w:cs="Times New Roman"/>
          <w:color w:val="000000"/>
          <w:sz w:val="24"/>
          <w:szCs w:val="24"/>
        </w:rPr>
      </w:pPr>
      <w:r>
        <w:rPr>
          <w:rFonts w:hint="eastAsia" w:cs="Times New Roman"/>
          <w:color w:val="000000"/>
          <w:sz w:val="24"/>
          <w:szCs w:val="24"/>
          <w:lang w:val="en-US" w:eastAsia="zh-CN"/>
        </w:rPr>
        <w:t>3）</w:t>
      </w:r>
      <w:r>
        <w:rPr>
          <w:rFonts w:ascii="Times New Roman" w:hAnsi="Times New Roman" w:eastAsia="仿宋_GB2312" w:cs="Times New Roman"/>
          <w:color w:val="000000"/>
          <w:sz w:val="24"/>
          <w:szCs w:val="24"/>
        </w:rPr>
        <w:t>项目区涉及</w:t>
      </w:r>
      <w:r>
        <w:rPr>
          <w:rFonts w:hint="eastAsia" w:ascii="Times New Roman" w:hAnsi="Times New Roman" w:eastAsia="仿宋_GB2312" w:cs="Times New Roman"/>
          <w:color w:val="000000"/>
          <w:sz w:val="24"/>
          <w:szCs w:val="24"/>
          <w:lang w:eastAsia="zh-CN"/>
        </w:rPr>
        <w:t>哈密市</w:t>
      </w:r>
      <w:r>
        <w:rPr>
          <w:rFonts w:hint="eastAsia" w:cs="Times New Roman"/>
          <w:color w:val="000000"/>
          <w:sz w:val="24"/>
          <w:szCs w:val="24"/>
          <w:lang w:eastAsia="zh-CN"/>
        </w:rPr>
        <w:t>巴里坤县</w:t>
      </w:r>
      <w:r>
        <w:rPr>
          <w:rFonts w:hint="eastAsia" w:ascii="Times New Roman" w:hAnsi="Times New Roman" w:eastAsia="仿宋_GB2312" w:cs="Times New Roman"/>
          <w:color w:val="000000"/>
          <w:sz w:val="24"/>
          <w:szCs w:val="24"/>
        </w:rPr>
        <w:t>第三次国土调查数据库</w:t>
      </w:r>
      <w:r>
        <w:rPr>
          <w:rFonts w:ascii="Times New Roman" w:hAnsi="Times New Roman" w:eastAsia="仿宋_GB2312" w:cs="Times New Roman"/>
          <w:color w:val="000000"/>
          <w:sz w:val="24"/>
          <w:szCs w:val="24"/>
        </w:rPr>
        <w:t>。</w:t>
      </w:r>
    </w:p>
    <w:p w14:paraId="5E94EA8D">
      <w:pPr>
        <w:numPr>
          <w:ilvl w:val="0"/>
          <w:numId w:val="15"/>
        </w:numPr>
        <w:tabs>
          <w:tab w:val="left" w:pos="0"/>
        </w:tabs>
        <w:snapToGrid w:val="0"/>
        <w:spacing w:line="360" w:lineRule="auto"/>
        <w:ind w:firstLine="480" w:firstLineChars="200"/>
        <w:rPr>
          <w:rFonts w:ascii="Times New Roman" w:hAnsi="Times New Roman" w:eastAsia="仿宋_GB2312" w:cs="Times New Roman"/>
          <w:color w:val="000000"/>
          <w:sz w:val="24"/>
          <w:szCs w:val="24"/>
        </w:rPr>
        <w:sectPr>
          <w:footerReference r:id="rId16" w:type="default"/>
          <w:pgSz w:w="11906" w:h="16838"/>
          <w:pgMar w:top="1701" w:right="1418" w:bottom="1418" w:left="1418" w:header="720" w:footer="720" w:gutter="0"/>
          <w:pgNumType w:fmt="decimal"/>
          <w:cols w:space="720" w:num="1"/>
          <w:docGrid w:type="lines" w:linePitch="312" w:charSpace="0"/>
        </w:sectPr>
      </w:pPr>
      <w:bookmarkStart w:id="56" w:name="_Toc402958188"/>
    </w:p>
    <w:bookmarkEnd w:id="56"/>
    <w:p w14:paraId="209A1732">
      <w:pPr>
        <w:snapToGrid w:val="0"/>
        <w:spacing w:before="156" w:beforeLines="50" w:after="156" w:afterLines="50" w:line="360" w:lineRule="auto"/>
        <w:ind w:left="0" w:leftChars="0" w:firstLine="0" w:firstLineChars="0"/>
        <w:jc w:val="center"/>
        <w:outlineLvl w:val="0"/>
        <w:rPr>
          <w:rFonts w:ascii="Times New Roman" w:hAnsi="Times New Roman" w:eastAsia="黑体" w:cs="Times New Roman"/>
          <w:b/>
          <w:color w:val="000000"/>
          <w:sz w:val="32"/>
          <w:szCs w:val="32"/>
        </w:rPr>
      </w:pPr>
      <w:bookmarkStart w:id="57" w:name="_Toc11472"/>
      <w:r>
        <w:rPr>
          <w:rFonts w:ascii="Times New Roman" w:hAnsi="Times New Roman" w:eastAsia="黑体" w:cs="Times New Roman"/>
          <w:b/>
          <w:color w:val="000000"/>
          <w:sz w:val="32"/>
          <w:szCs w:val="32"/>
        </w:rPr>
        <w:t>3 项目概况</w:t>
      </w:r>
      <w:bookmarkEnd w:id="57"/>
    </w:p>
    <w:p w14:paraId="45AFA1EA">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58" w:name="_Toc29240"/>
      <w:bookmarkStart w:id="59" w:name="_Toc402958189"/>
      <w:r>
        <w:rPr>
          <w:rFonts w:ascii="Times New Roman" w:hAnsi="Times New Roman" w:eastAsia="黑体" w:cs="Times New Roman"/>
          <w:b/>
          <w:bCs/>
          <w:color w:val="000000"/>
          <w:kern w:val="0"/>
          <w:sz w:val="30"/>
          <w:szCs w:val="30"/>
        </w:rPr>
        <w:t>3.1 项目简介</w:t>
      </w:r>
      <w:bookmarkEnd w:id="58"/>
      <w:bookmarkEnd w:id="59"/>
    </w:p>
    <w:p w14:paraId="5276149D">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3.1.1 项目概况</w:t>
      </w:r>
    </w:p>
    <w:p w14:paraId="3A8B29D3">
      <w:pPr>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项目名称：</w:t>
      </w:r>
      <w:r>
        <w:rPr>
          <w:rFonts w:hint="eastAsia" w:cs="Times New Roman"/>
          <w:sz w:val="24"/>
          <w:szCs w:val="24"/>
          <w:lang w:eastAsia="zh-CN"/>
        </w:rPr>
        <w:t>中国石油吐哈油田三塘湖采油管理区马T101H井场等两口井压裂施工项目临时用地</w:t>
      </w:r>
      <w:r>
        <w:rPr>
          <w:rFonts w:ascii="Times New Roman" w:hAnsi="Times New Roman" w:eastAsia="仿宋_GB2312" w:cs="Times New Roman"/>
          <w:sz w:val="24"/>
          <w:szCs w:val="24"/>
        </w:rPr>
        <w:t>。</w:t>
      </w:r>
    </w:p>
    <w:p w14:paraId="3FE6F314">
      <w:pPr>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工程类型：新建能源类项目。</w:t>
      </w:r>
    </w:p>
    <w:p w14:paraId="3CFA269F">
      <w:pPr>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项目位置：项目位于</w:t>
      </w:r>
      <w:r>
        <w:rPr>
          <w:rFonts w:hint="eastAsia" w:cs="Times New Roman"/>
          <w:color w:val="000000"/>
          <w:sz w:val="24"/>
          <w:szCs w:val="28"/>
          <w:lang w:eastAsia="zh-CN"/>
        </w:rPr>
        <w:t>巴里坤县三塘湖镇</w:t>
      </w:r>
      <w:r>
        <w:rPr>
          <w:rFonts w:hint="eastAsia" w:ascii="Times New Roman" w:hAnsi="Times New Roman" w:eastAsia="仿宋_GB2312" w:cs="Times New Roman"/>
          <w:color w:val="000000"/>
          <w:sz w:val="24"/>
          <w:szCs w:val="28"/>
        </w:rPr>
        <w:t>境内</w:t>
      </w:r>
      <w:r>
        <w:rPr>
          <w:rFonts w:ascii="Times New Roman" w:hAnsi="Times New Roman" w:eastAsia="仿宋_GB2312" w:cs="Times New Roman"/>
          <w:color w:val="000000"/>
          <w:sz w:val="24"/>
          <w:szCs w:val="28"/>
        </w:rPr>
        <w:t>。</w:t>
      </w:r>
    </w:p>
    <w:p w14:paraId="062E8581">
      <w:pPr>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项目性质：</w:t>
      </w:r>
      <w:r>
        <w:rPr>
          <w:rFonts w:hint="eastAsia" w:cs="Times New Roman"/>
          <w:color w:val="000000"/>
          <w:sz w:val="24"/>
          <w:szCs w:val="24"/>
          <w:lang w:eastAsia="zh-CN"/>
        </w:rPr>
        <w:t>油气勘探开发项目</w:t>
      </w:r>
      <w:r>
        <w:rPr>
          <w:rFonts w:ascii="Times New Roman" w:hAnsi="Times New Roman" w:eastAsia="仿宋_GB2312" w:cs="Times New Roman"/>
          <w:color w:val="000000"/>
          <w:sz w:val="24"/>
          <w:szCs w:val="24"/>
        </w:rPr>
        <w:t>。</w:t>
      </w:r>
    </w:p>
    <w:p w14:paraId="6ED4CF98">
      <w:pPr>
        <w:snapToGrid w:val="0"/>
        <w:spacing w:line="360" w:lineRule="auto"/>
        <w:ind w:firstLine="480" w:firstLineChars="200"/>
        <w:rPr>
          <w:rFonts w:ascii="仿宋_GB2312" w:hAnsi="仿宋_GB2312" w:eastAsia="仿宋_GB2312" w:cs="仿宋_GB2312"/>
          <w:color w:val="000000"/>
          <w:sz w:val="24"/>
          <w:szCs w:val="28"/>
        </w:rPr>
      </w:pPr>
      <w:r>
        <w:rPr>
          <w:rFonts w:ascii="Times New Roman" w:hAnsi="Times New Roman" w:eastAsia="仿宋_GB2312" w:cs="Times New Roman"/>
          <w:color w:val="000000"/>
          <w:sz w:val="24"/>
          <w:szCs w:val="28"/>
        </w:rPr>
        <w:t>项目组成：</w:t>
      </w:r>
      <w:r>
        <w:rPr>
          <w:rFonts w:hint="eastAsia" w:ascii="仿宋_GB2312" w:hAnsi="仿宋_GB2312" w:eastAsia="仿宋_GB2312" w:cs="仿宋_GB2312"/>
          <w:color w:val="000000"/>
          <w:sz w:val="24"/>
          <w:szCs w:val="28"/>
        </w:rPr>
        <w:t>全部为临时用地，为</w:t>
      </w:r>
      <w:r>
        <w:rPr>
          <w:rFonts w:hint="eastAsia" w:cs="Times New Roman"/>
          <w:color w:val="auto"/>
          <w:lang w:val="en-US" w:eastAsia="zh-CN"/>
        </w:rPr>
        <w:t>马T101H井场等两口井压裂施工项目</w:t>
      </w:r>
      <w:r>
        <w:rPr>
          <w:rFonts w:hint="eastAsia" w:ascii="Times New Roman" w:hAnsi="Times New Roman" w:cs="Times New Roman"/>
          <w:color w:val="auto"/>
          <w:lang w:val="en-US" w:eastAsia="zh-CN"/>
        </w:rPr>
        <w:t>临时用地</w:t>
      </w:r>
      <w:r>
        <w:rPr>
          <w:rFonts w:hint="eastAsia" w:ascii="仿宋_GB2312" w:hAnsi="仿宋_GB2312" w:eastAsia="仿宋_GB2312" w:cs="仿宋_GB2312"/>
          <w:color w:val="000000"/>
          <w:sz w:val="24"/>
          <w:szCs w:val="28"/>
        </w:rPr>
        <w:t>。</w:t>
      </w:r>
    </w:p>
    <w:p w14:paraId="73A4216A">
      <w:pPr>
        <w:snapToGrid w:val="0"/>
        <w:spacing w:line="360" w:lineRule="auto"/>
        <w:ind w:firstLine="480" w:firstLineChars="200"/>
        <w:rPr>
          <w:rFonts w:ascii="Times New Roman" w:hAnsi="Times New Roman" w:eastAsia="仿宋_GB2312" w:cs="Times New Roman"/>
          <w:color w:val="000000"/>
          <w:sz w:val="24"/>
          <w:szCs w:val="28"/>
        </w:rPr>
      </w:pPr>
      <w:r>
        <w:rPr>
          <w:rFonts w:ascii="Times New Roman" w:hAnsi="Times New Roman" w:eastAsia="仿宋_GB2312" w:cs="Times New Roman"/>
          <w:color w:val="000000"/>
          <w:sz w:val="24"/>
          <w:szCs w:val="28"/>
        </w:rPr>
        <w:t>建设期限：</w:t>
      </w:r>
      <w:r>
        <w:rPr>
          <w:rFonts w:hint="eastAsia" w:cs="Times New Roman"/>
          <w:color w:val="000000"/>
          <w:sz w:val="24"/>
          <w:szCs w:val="28"/>
          <w:lang w:eastAsia="zh-CN"/>
        </w:rPr>
        <w:t>2025年1月</w:t>
      </w:r>
      <w:r>
        <w:rPr>
          <w:rFonts w:hint="eastAsia" w:ascii="Times New Roman" w:hAnsi="Times New Roman" w:eastAsia="仿宋_GB2312" w:cs="Times New Roman"/>
          <w:color w:val="000000"/>
          <w:sz w:val="24"/>
          <w:szCs w:val="28"/>
        </w:rPr>
        <w:t>至</w:t>
      </w:r>
      <w:r>
        <w:rPr>
          <w:rFonts w:hint="eastAsia" w:cs="Times New Roman"/>
          <w:color w:val="000000"/>
          <w:sz w:val="24"/>
          <w:szCs w:val="28"/>
          <w:lang w:eastAsia="zh-CN"/>
        </w:rPr>
        <w:t>2026年12月</w:t>
      </w:r>
      <w:r>
        <w:rPr>
          <w:rFonts w:hint="eastAsia" w:ascii="Times New Roman" w:hAnsi="Times New Roman" w:eastAsia="仿宋_GB2312" w:cs="Times New Roman"/>
          <w:color w:val="000000"/>
          <w:sz w:val="24"/>
          <w:szCs w:val="28"/>
        </w:rPr>
        <w:t>，建设工期</w:t>
      </w:r>
      <w:r>
        <w:rPr>
          <w:rFonts w:hint="eastAsia" w:cs="Times New Roman"/>
          <w:color w:val="000000"/>
          <w:sz w:val="24"/>
          <w:szCs w:val="28"/>
          <w:lang w:val="en-US" w:eastAsia="zh-CN"/>
        </w:rPr>
        <w:t>2年</w:t>
      </w:r>
      <w:r>
        <w:rPr>
          <w:rFonts w:hint="eastAsia" w:ascii="Times New Roman" w:hAnsi="Times New Roman" w:eastAsia="仿宋_GB2312" w:cs="Times New Roman"/>
          <w:color w:val="000000"/>
          <w:sz w:val="24"/>
          <w:szCs w:val="28"/>
        </w:rPr>
        <w:t>。</w:t>
      </w:r>
    </w:p>
    <w:p w14:paraId="7C0F4A4A">
      <w:pPr>
        <w:snapToGrid w:val="0"/>
        <w:spacing w:line="360" w:lineRule="auto"/>
        <w:ind w:firstLine="480" w:firstLineChars="200"/>
        <w:rPr>
          <w:rFonts w:ascii="Times New Roman" w:hAnsi="Times New Roman" w:eastAsia="楷体_GB2312" w:cs="Times New Roman"/>
          <w:color w:val="000000"/>
          <w:sz w:val="24"/>
          <w:szCs w:val="28"/>
        </w:rPr>
      </w:pPr>
      <w:r>
        <w:rPr>
          <w:rFonts w:ascii="Times New Roman" w:hAnsi="Times New Roman" w:eastAsia="仿宋_GB2312" w:cs="Times New Roman"/>
          <w:color w:val="000000"/>
          <w:sz w:val="24"/>
          <w:szCs w:val="28"/>
        </w:rPr>
        <w:t>用地规模：本项目用地总面积为</w:t>
      </w:r>
      <w:r>
        <w:rPr>
          <w:rFonts w:hint="eastAsia" w:eastAsia="楷体_GB2312" w:cs="Times New Roman"/>
          <w:color w:val="000000"/>
          <w:sz w:val="24"/>
          <w:szCs w:val="28"/>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ascii="Times New Roman" w:hAnsi="Times New Roman" w:eastAsia="仿宋_GB2312" w:cs="Times New Roman"/>
          <w:color w:val="000000"/>
          <w:sz w:val="24"/>
          <w:szCs w:val="28"/>
        </w:rPr>
        <w:t>，临时用地面积为</w:t>
      </w:r>
      <w:r>
        <w:rPr>
          <w:rFonts w:hint="eastAsia" w:eastAsia="楷体_GB2312" w:cs="Times New Roman"/>
          <w:color w:val="000000"/>
          <w:sz w:val="24"/>
          <w:szCs w:val="28"/>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ascii="Times New Roman" w:hAnsi="Times New Roman" w:eastAsia="仿宋_GB2312" w:cs="Times New Roman"/>
          <w:color w:val="000000"/>
          <w:sz w:val="24"/>
          <w:szCs w:val="28"/>
        </w:rPr>
        <w:t>。具体用地情况见表3</w:t>
      </w:r>
      <w:r>
        <w:rPr>
          <w:rFonts w:hint="eastAsia" w:ascii="Times New Roman" w:hAnsi="Times New Roman" w:eastAsia="楷体_GB2312" w:cs="Times New Roman"/>
          <w:color w:val="000000"/>
          <w:sz w:val="24"/>
          <w:szCs w:val="28"/>
        </w:rPr>
        <w:t>.1</w:t>
      </w:r>
      <w:r>
        <w:rPr>
          <w:rFonts w:ascii="Times New Roman" w:hAnsi="Times New Roman" w:eastAsia="仿宋_GB2312" w:cs="Times New Roman"/>
          <w:color w:val="000000"/>
          <w:sz w:val="24"/>
          <w:szCs w:val="28"/>
        </w:rPr>
        <w:t>-1。</w:t>
      </w:r>
    </w:p>
    <w:p w14:paraId="16B13938">
      <w:pPr>
        <w:pStyle w:val="22"/>
        <w:bidi w:val="0"/>
        <w:jc w:val="right"/>
      </w:pPr>
      <w:r>
        <w:t>表3</w:t>
      </w:r>
      <w:r>
        <w:rPr>
          <w:rFonts w:hint="eastAsia"/>
        </w:rPr>
        <w:t>.1-</w:t>
      </w:r>
      <w:r>
        <w:t>1  项目</w:t>
      </w:r>
      <w:r>
        <w:rPr>
          <w:rFonts w:hint="eastAsia"/>
        </w:rPr>
        <w:t>总</w:t>
      </w:r>
      <w:r>
        <w:t>用地</w:t>
      </w:r>
      <w:r>
        <w:rPr>
          <w:rFonts w:hint="eastAsia"/>
        </w:rPr>
        <w:t xml:space="preserve">权属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t>单位：</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tbl>
      <w:tblPr>
        <w:tblStyle w:val="88"/>
        <w:tblW w:w="919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95"/>
        <w:gridCol w:w="1642"/>
        <w:gridCol w:w="2861"/>
        <w:gridCol w:w="1126"/>
        <w:gridCol w:w="869"/>
      </w:tblGrid>
      <w:tr w14:paraId="634B0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B4BF">
            <w:pPr>
              <w:pStyle w:val="100"/>
              <w:bidi w:val="0"/>
            </w:pPr>
            <w:r>
              <w:rPr>
                <w:rFonts w:hint="default"/>
                <w:lang w:val="en-US" w:eastAsia="zh-CN"/>
              </w:rPr>
              <w:t>项目名</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EDF9">
            <w:pPr>
              <w:pStyle w:val="100"/>
              <w:bidi w:val="0"/>
              <w:rPr>
                <w:rFonts w:hint="default"/>
              </w:rPr>
            </w:pPr>
            <w:r>
              <w:rPr>
                <w:rFonts w:hint="default"/>
                <w:lang w:val="en-US" w:eastAsia="zh-CN"/>
              </w:rPr>
              <w:t>权属</w:t>
            </w:r>
          </w:p>
        </w:tc>
        <w:tc>
          <w:tcPr>
            <w:tcW w:w="2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3613">
            <w:pPr>
              <w:pStyle w:val="100"/>
              <w:bidi w:val="0"/>
              <w:rPr>
                <w:rFonts w:hint="default"/>
              </w:rPr>
            </w:pPr>
            <w:r>
              <w:rPr>
                <w:rFonts w:hint="default"/>
                <w:lang w:val="en-US" w:eastAsia="zh-CN"/>
              </w:rPr>
              <w:t>地块名称</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2B6A">
            <w:pPr>
              <w:pStyle w:val="100"/>
              <w:bidi w:val="0"/>
              <w:rPr>
                <w:rFonts w:hint="default"/>
              </w:rPr>
            </w:pPr>
            <w:r>
              <w:rPr>
                <w:rFonts w:hint="default"/>
                <w:lang w:val="en-US" w:eastAsia="zh-CN"/>
              </w:rPr>
              <w:t>权属性质</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EED5">
            <w:pPr>
              <w:pStyle w:val="100"/>
              <w:bidi w:val="0"/>
              <w:rPr>
                <w:rFonts w:hint="default"/>
              </w:rPr>
            </w:pPr>
            <w:r>
              <w:rPr>
                <w:rFonts w:hint="default"/>
                <w:lang w:val="en-US" w:eastAsia="zh-CN"/>
              </w:rPr>
              <w:t>面积</w:t>
            </w:r>
          </w:p>
        </w:tc>
      </w:tr>
      <w:tr w14:paraId="01640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92452">
            <w:pPr>
              <w:pStyle w:val="100"/>
              <w:bidi w:val="0"/>
              <w:rPr>
                <w:rFonts w:hint="default"/>
              </w:rPr>
            </w:pPr>
            <w:r>
              <w:rPr>
                <w:rFonts w:hint="eastAsia"/>
                <w:lang w:val="en-US" w:eastAsia="zh-CN"/>
              </w:rPr>
              <w:t>马T101H井场等两口井压裂施工项目</w:t>
            </w:r>
            <w:r>
              <w:rPr>
                <w:rFonts w:hint="default"/>
                <w:lang w:val="en-US" w:eastAsia="zh-CN"/>
              </w:rPr>
              <w:t>临时用地</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05F1">
            <w:pPr>
              <w:pStyle w:val="100"/>
              <w:bidi w:val="0"/>
              <w:rPr>
                <w:rFonts w:hint="default"/>
              </w:rPr>
            </w:pPr>
            <w:r>
              <w:rPr>
                <w:rFonts w:hint="default"/>
                <w:lang w:val="en-US" w:eastAsia="zh-CN"/>
              </w:rPr>
              <w:t>巴里坤县三塘湖镇</w:t>
            </w:r>
          </w:p>
        </w:tc>
        <w:tc>
          <w:tcPr>
            <w:tcW w:w="2861" w:type="dxa"/>
            <w:tcBorders>
              <w:top w:val="nil"/>
              <w:left w:val="nil"/>
              <w:bottom w:val="nil"/>
              <w:right w:val="nil"/>
            </w:tcBorders>
            <w:shd w:val="clear" w:color="auto" w:fill="auto"/>
            <w:noWrap/>
            <w:vAlign w:val="center"/>
          </w:tcPr>
          <w:p w14:paraId="2CEFB67D">
            <w:pPr>
              <w:pStyle w:val="100"/>
              <w:bidi w:val="0"/>
              <w:rPr>
                <w:rFonts w:hint="eastAsia"/>
              </w:rPr>
            </w:pPr>
            <w:r>
              <w:rPr>
                <w:rFonts w:hint="eastAsia"/>
                <w:lang w:val="en-US" w:eastAsia="zh-CN"/>
              </w:rPr>
              <w:t>马T101H井场、马T5-1H井场</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0059">
            <w:pPr>
              <w:pStyle w:val="100"/>
              <w:bidi w:val="0"/>
              <w:rPr>
                <w:rFonts w:hint="default"/>
              </w:rPr>
            </w:pPr>
            <w:r>
              <w:rPr>
                <w:rFonts w:hint="default"/>
                <w:lang w:val="en-US" w:eastAsia="zh-CN"/>
              </w:rPr>
              <w:t>国有</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E502">
            <w:pPr>
              <w:pStyle w:val="100"/>
              <w:bidi w:val="0"/>
              <w:rPr>
                <w:rFonts w:hint="default"/>
              </w:rPr>
            </w:pPr>
            <w:r>
              <w:rPr>
                <w:rFonts w:hint="eastAsia"/>
                <w:lang w:val="en-US" w:eastAsia="zh-CN"/>
              </w:rPr>
              <w:t>1.9648</w:t>
            </w:r>
          </w:p>
        </w:tc>
      </w:tr>
      <w:tr w14:paraId="5B12E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A7972">
            <w:pPr>
              <w:pStyle w:val="100"/>
              <w:bidi w:val="0"/>
              <w:rPr>
                <w:rFonts w:hint="default"/>
              </w:rPr>
            </w:pPr>
          </w:p>
        </w:tc>
        <w:tc>
          <w:tcPr>
            <w:tcW w:w="562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DAE2">
            <w:pPr>
              <w:pStyle w:val="100"/>
              <w:bidi w:val="0"/>
              <w:rPr>
                <w:rFonts w:hint="default"/>
              </w:rPr>
            </w:pPr>
            <w:r>
              <w:rPr>
                <w:rFonts w:hint="default"/>
                <w:lang w:val="en-US" w:eastAsia="zh-CN"/>
              </w:rPr>
              <w:t>小计</w:t>
            </w:r>
          </w:p>
        </w:tc>
        <w:tc>
          <w:tcPr>
            <w:tcW w:w="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9B71">
            <w:pPr>
              <w:pStyle w:val="100"/>
              <w:bidi w:val="0"/>
              <w:rPr>
                <w:rFonts w:hint="default"/>
              </w:rPr>
            </w:pPr>
            <w:r>
              <w:rPr>
                <w:rFonts w:hint="eastAsia"/>
                <w:lang w:val="en-US" w:eastAsia="zh-CN"/>
              </w:rPr>
              <w:t>1.9648</w:t>
            </w:r>
          </w:p>
        </w:tc>
      </w:tr>
    </w:tbl>
    <w:p w14:paraId="4929A7A9">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3.1.2 项目构成与规模</w:t>
      </w:r>
    </w:p>
    <w:p w14:paraId="164610C9">
      <w:pPr>
        <w:bidi w:val="0"/>
      </w:pPr>
      <w:r>
        <w:t>本项目不涉及永久用地，</w:t>
      </w:r>
      <w:r>
        <w:rPr>
          <w:rFonts w:hint="eastAsia"/>
          <w:lang w:val="en-US" w:eastAsia="zh-CN"/>
        </w:rPr>
        <w:t>全部为临时用地</w:t>
      </w:r>
      <w:r>
        <w:rPr>
          <w:rFonts w:hint="eastAsia"/>
        </w:rPr>
        <w:t>，</w:t>
      </w:r>
      <w:r>
        <w:t>临时用地由</w:t>
      </w:r>
      <w:r>
        <w:rPr>
          <w:rFonts w:hint="eastAsia"/>
          <w:lang w:val="en-US" w:eastAsia="zh-CN"/>
        </w:rPr>
        <w:t>马T101H井场等两口井压裂施工项目临时用地</w:t>
      </w:r>
      <w:r>
        <w:t>构成</w:t>
      </w:r>
      <w:r>
        <w:rPr>
          <w:rFonts w:hint="eastAsia"/>
          <w:lang w:eastAsia="zh-CN"/>
        </w:rPr>
        <w:t>，损毁土地利用类型为</w:t>
      </w:r>
      <w:r>
        <w:rPr>
          <w:rFonts w:hint="eastAsia"/>
          <w:lang w:val="en-US" w:eastAsia="zh-CN"/>
        </w:rPr>
        <w:t>工业用地、采矿用地及裸岩石砾地，</w:t>
      </w:r>
      <w:r>
        <w:t>占地</w:t>
      </w:r>
      <w:r>
        <w:rPr>
          <w:rFonts w:hint="eastAsia"/>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t>。</w:t>
      </w:r>
    </w:p>
    <w:p w14:paraId="5ECD25AC">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bookmarkStart w:id="60" w:name="_Toc402958190"/>
      <w:r>
        <w:rPr>
          <w:rFonts w:ascii="Times New Roman" w:hAnsi="Times New Roman" w:eastAsia="黑体" w:cs="Times New Roman"/>
          <w:bCs/>
          <w:color w:val="000000"/>
          <w:sz w:val="28"/>
          <w:szCs w:val="28"/>
        </w:rPr>
        <w:t>3.1.3 本复垦项目特点</w:t>
      </w:r>
    </w:p>
    <w:p w14:paraId="58FE3255">
      <w:pPr>
        <w:overflowPunct w:val="0"/>
        <w:adjustRightInd w:val="0"/>
        <w:snapToGrid w:val="0"/>
        <w:spacing w:line="360" w:lineRule="auto"/>
        <w:ind w:firstLine="480" w:firstLineChars="200"/>
        <w:rPr>
          <w:bCs/>
          <w:snapToGrid w:val="0"/>
          <w:color w:val="auto"/>
        </w:rPr>
      </w:pPr>
      <w:r>
        <w:rPr>
          <w:rFonts w:hint="eastAsia"/>
          <w:bCs/>
          <w:snapToGrid w:val="0"/>
          <w:color w:val="auto"/>
        </w:rPr>
        <w:t>通过对设计资料及现场调查分析发现，本复垦方案存在以下三个方面的特点：</w:t>
      </w:r>
    </w:p>
    <w:p w14:paraId="4103A2C6">
      <w:pPr>
        <w:overflowPunct w:val="0"/>
        <w:adjustRightInd w:val="0"/>
        <w:snapToGrid w:val="0"/>
        <w:spacing w:line="360" w:lineRule="auto"/>
        <w:ind w:firstLine="480" w:firstLineChars="200"/>
        <w:rPr>
          <w:bCs/>
          <w:snapToGrid w:val="0"/>
          <w:color w:val="auto"/>
        </w:rPr>
      </w:pPr>
      <w:r>
        <w:rPr>
          <w:bCs/>
          <w:snapToGrid w:val="0"/>
          <w:color w:val="auto"/>
        </w:rPr>
        <w:t>a）占地时间短、占地面积小与</w:t>
      </w:r>
      <w:r>
        <w:rPr>
          <w:rFonts w:hint="eastAsia"/>
          <w:bCs/>
          <w:snapToGrid w:val="0"/>
          <w:color w:val="auto"/>
          <w:lang w:val="en-US" w:eastAsia="zh-CN"/>
        </w:rPr>
        <w:t>其他项目</w:t>
      </w:r>
      <w:r>
        <w:rPr>
          <w:bCs/>
          <w:snapToGrid w:val="0"/>
          <w:color w:val="auto"/>
        </w:rPr>
        <w:t>相比，</w:t>
      </w:r>
      <w:r>
        <w:rPr>
          <w:rFonts w:hint="eastAsia"/>
          <w:bCs/>
          <w:snapToGrid w:val="0"/>
          <w:color w:val="auto"/>
          <w:lang w:val="en-US" w:eastAsia="zh-CN"/>
        </w:rPr>
        <w:t>大修施工项目</w:t>
      </w:r>
      <w:r>
        <w:rPr>
          <w:bCs/>
          <w:snapToGrid w:val="0"/>
          <w:color w:val="auto"/>
        </w:rPr>
        <w:t>建设期存在较多临时用地，如</w:t>
      </w:r>
      <w:r>
        <w:rPr>
          <w:rFonts w:hint="eastAsia"/>
          <w:bCs/>
          <w:snapToGrid w:val="0"/>
          <w:color w:val="auto"/>
          <w:lang w:val="en-US" w:eastAsia="zh-CN"/>
        </w:rPr>
        <w:t>临时道路、材料堆放</w:t>
      </w:r>
      <w:r>
        <w:rPr>
          <w:rFonts w:hint="eastAsia"/>
          <w:bCs/>
          <w:snapToGrid w:val="0"/>
          <w:color w:val="auto"/>
          <w:lang w:eastAsia="zh-CN"/>
        </w:rPr>
        <w:t>、</w:t>
      </w:r>
      <w:r>
        <w:rPr>
          <w:rFonts w:hint="eastAsia"/>
          <w:bCs/>
          <w:snapToGrid w:val="0"/>
          <w:color w:val="auto"/>
          <w:lang w:val="en-US" w:eastAsia="zh-CN"/>
        </w:rPr>
        <w:t>项目</w:t>
      </w:r>
      <w:r>
        <w:rPr>
          <w:bCs/>
          <w:snapToGrid w:val="0"/>
          <w:color w:val="auto"/>
        </w:rPr>
        <w:t>建设期占用较多的土地，使用完成后可实施复垦，并交还原土地使用者使用。</w:t>
      </w:r>
    </w:p>
    <w:p w14:paraId="38CE4DB6">
      <w:pPr>
        <w:overflowPunct w:val="0"/>
        <w:adjustRightInd w:val="0"/>
        <w:snapToGrid w:val="0"/>
        <w:spacing w:line="360" w:lineRule="auto"/>
        <w:ind w:firstLine="480" w:firstLineChars="200"/>
        <w:rPr>
          <w:bCs/>
          <w:snapToGrid w:val="0"/>
          <w:color w:val="auto"/>
        </w:rPr>
      </w:pPr>
      <w:r>
        <w:rPr>
          <w:bCs/>
          <w:snapToGrid w:val="0"/>
          <w:color w:val="auto"/>
        </w:rPr>
        <w:t>b）损毁土地程度较轻</w:t>
      </w:r>
    </w:p>
    <w:p w14:paraId="64856484">
      <w:pPr>
        <w:overflowPunct w:val="0"/>
        <w:adjustRightInd w:val="0"/>
        <w:snapToGrid w:val="0"/>
        <w:spacing w:line="360" w:lineRule="auto"/>
        <w:ind w:firstLine="480" w:firstLineChars="200"/>
        <w:rPr>
          <w:bCs/>
          <w:snapToGrid w:val="0"/>
          <w:color w:val="auto"/>
        </w:rPr>
      </w:pPr>
      <w:r>
        <w:rPr>
          <w:rFonts w:hint="eastAsia"/>
          <w:bCs/>
          <w:snapToGrid w:val="0"/>
          <w:color w:val="auto"/>
          <w:lang w:val="en-US" w:eastAsia="zh-CN"/>
        </w:rPr>
        <w:t>大修施工项目</w:t>
      </w:r>
      <w:r>
        <w:rPr>
          <w:bCs/>
          <w:snapToGrid w:val="0"/>
          <w:color w:val="auto"/>
        </w:rPr>
        <w:t>对地表基本无污染，且压占地表的区域较少，其中</w:t>
      </w:r>
      <w:r>
        <w:rPr>
          <w:rFonts w:hint="eastAsia"/>
          <w:bCs/>
          <w:snapToGrid w:val="0"/>
          <w:color w:val="auto"/>
          <w:lang w:val="en-US" w:eastAsia="zh-CN"/>
        </w:rPr>
        <w:t>施工</w:t>
      </w:r>
      <w:r>
        <w:rPr>
          <w:bCs/>
          <w:snapToGrid w:val="0"/>
          <w:color w:val="auto"/>
        </w:rPr>
        <w:t>区域土壤仅物理性质发生改变，土壤质地等未发生改变，且</w:t>
      </w:r>
      <w:r>
        <w:rPr>
          <w:rFonts w:hint="eastAsia"/>
          <w:bCs/>
          <w:snapToGrid w:val="0"/>
          <w:color w:val="auto"/>
          <w:lang w:val="en-US" w:eastAsia="zh-CN"/>
        </w:rPr>
        <w:t>施工</w:t>
      </w:r>
      <w:r>
        <w:rPr>
          <w:bCs/>
          <w:snapToGrid w:val="0"/>
          <w:color w:val="auto"/>
        </w:rPr>
        <w:t>区域地表设施简单，不修建房屋等建（构）筑物，基本不对</w:t>
      </w:r>
      <w:r>
        <w:rPr>
          <w:rFonts w:hint="eastAsia"/>
          <w:bCs/>
          <w:snapToGrid w:val="0"/>
          <w:color w:val="auto"/>
          <w:lang w:val="en-US" w:eastAsia="zh-CN"/>
        </w:rPr>
        <w:t>项目</w:t>
      </w:r>
      <w:r>
        <w:rPr>
          <w:bCs/>
          <w:snapToGrid w:val="0"/>
          <w:color w:val="auto"/>
        </w:rPr>
        <w:t>用地进行地表硬化。</w:t>
      </w:r>
    </w:p>
    <w:p w14:paraId="7768D4E3">
      <w:pPr>
        <w:overflowPunct w:val="0"/>
        <w:adjustRightInd w:val="0"/>
        <w:snapToGrid w:val="0"/>
        <w:spacing w:line="360" w:lineRule="auto"/>
        <w:ind w:firstLine="480" w:firstLineChars="200"/>
        <w:rPr>
          <w:bCs/>
          <w:snapToGrid w:val="0"/>
          <w:color w:val="auto"/>
        </w:rPr>
      </w:pPr>
      <w:r>
        <w:rPr>
          <w:bCs/>
          <w:snapToGrid w:val="0"/>
          <w:color w:val="auto"/>
        </w:rPr>
        <w:t>c）复垦工程措施简单</w:t>
      </w:r>
    </w:p>
    <w:p w14:paraId="6E4FC96F">
      <w:pPr>
        <w:overflowPunct w:val="0"/>
        <w:adjustRightInd w:val="0"/>
        <w:snapToGrid w:val="0"/>
        <w:spacing w:line="360" w:lineRule="auto"/>
        <w:ind w:firstLine="480" w:firstLineChars="200"/>
        <w:rPr>
          <w:rFonts w:ascii="Times New Roman" w:hAnsi="Times New Roman" w:eastAsia="仿宋_GB2312" w:cs="Times New Roman"/>
          <w:bCs/>
          <w:snapToGrid w:val="0"/>
          <w:color w:val="000000"/>
          <w:sz w:val="24"/>
          <w:szCs w:val="24"/>
        </w:rPr>
      </w:pPr>
      <w:r>
        <w:rPr>
          <w:bCs/>
          <w:snapToGrid w:val="0"/>
          <w:color w:val="auto"/>
        </w:rPr>
        <w:t>项目工程所在地地表以</w:t>
      </w:r>
      <w:r>
        <w:rPr>
          <w:rFonts w:hint="eastAsia"/>
          <w:bCs/>
          <w:snapToGrid w:val="0"/>
          <w:color w:val="auto"/>
          <w:lang w:val="en-US" w:eastAsia="zh-CN"/>
        </w:rPr>
        <w:t>工业用地、采矿用地及裸岩石砾地</w:t>
      </w:r>
      <w:r>
        <w:rPr>
          <w:bCs/>
          <w:snapToGrid w:val="0"/>
          <w:color w:val="auto"/>
        </w:rPr>
        <w:t>为主，地表现状</w:t>
      </w:r>
      <w:r>
        <w:rPr>
          <w:rFonts w:hint="eastAsia"/>
          <w:bCs/>
          <w:snapToGrid w:val="0"/>
          <w:color w:val="auto"/>
          <w:lang w:val="en-US" w:eastAsia="zh-CN"/>
        </w:rPr>
        <w:t>植物生长稀少</w:t>
      </w:r>
      <w:r>
        <w:rPr>
          <w:bCs/>
          <w:snapToGrid w:val="0"/>
          <w:color w:val="auto"/>
        </w:rPr>
        <w:t>，地区少雨、缺水，综合考虑多种因素，</w:t>
      </w:r>
      <w:r>
        <w:rPr>
          <w:rFonts w:hint="eastAsia"/>
          <w:bCs/>
          <w:snapToGrid w:val="0"/>
          <w:color w:val="auto"/>
          <w:lang w:val="en-US" w:eastAsia="zh-CN"/>
        </w:rPr>
        <w:t>复垦工程主要为土地平整</w:t>
      </w:r>
      <w:r>
        <w:rPr>
          <w:bCs/>
          <w:snapToGrid w:val="0"/>
          <w:color w:val="auto"/>
        </w:rPr>
        <w:t>。</w:t>
      </w:r>
    </w:p>
    <w:p w14:paraId="45E8D3B0">
      <w:pPr>
        <w:keepNext/>
        <w:keepLines/>
        <w:snapToGrid w:val="0"/>
        <w:spacing w:before="156" w:beforeLines="50" w:after="156" w:afterLines="50" w:line="500" w:lineRule="exact"/>
        <w:ind w:firstLine="600"/>
        <w:jc w:val="left"/>
        <w:outlineLvl w:val="1"/>
        <w:rPr>
          <w:rFonts w:ascii="Times New Roman" w:hAnsi="Times New Roman" w:eastAsia="黑体" w:cs="Times New Roman"/>
          <w:bCs/>
          <w:color w:val="auto"/>
          <w:kern w:val="0"/>
          <w:sz w:val="30"/>
          <w:szCs w:val="30"/>
          <w:highlight w:val="none"/>
        </w:rPr>
      </w:pPr>
      <w:bookmarkStart w:id="61" w:name="_Toc24245"/>
      <w:r>
        <w:rPr>
          <w:rFonts w:ascii="Times New Roman" w:hAnsi="Times New Roman" w:eastAsia="黑体" w:cs="Times New Roman"/>
          <w:bCs/>
          <w:color w:val="auto"/>
          <w:kern w:val="0"/>
          <w:sz w:val="30"/>
          <w:szCs w:val="30"/>
          <w:highlight w:val="none"/>
        </w:rPr>
        <w:t>3.2 项目区自然概况</w:t>
      </w:r>
      <w:bookmarkEnd w:id="60"/>
      <w:bookmarkEnd w:id="61"/>
    </w:p>
    <w:p w14:paraId="568043C1">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3.2.1 地理位置</w:t>
      </w:r>
    </w:p>
    <w:p w14:paraId="772AECBE">
      <w:pPr>
        <w:overflowPunct w:val="0"/>
        <w:adjustRightInd w:val="0"/>
        <w:snapToGrid w:val="0"/>
        <w:spacing w:line="360" w:lineRule="auto"/>
        <w:ind w:firstLine="480" w:firstLineChars="200"/>
        <w:rPr>
          <w:rFonts w:hint="eastAsia"/>
        </w:rPr>
      </w:pPr>
      <w:r>
        <w:rPr>
          <w:rFonts w:hint="eastAsia"/>
        </w:rPr>
        <w:t>巴里坤哈萨克自治县地处新疆东北部，东邻伊吾县，南接哈密市，西毗昌吉州木垒哈萨克自治县，北与蒙古国接壤，是全国三个哈萨克自治县之一，是新疆典型的边境县、高寒县、易灾县，2006年被国家确定为五类地区。境内中蒙边界线长313.4公里，设有国家一类常年开放口岸——老爷庙口岸，是新疆与蒙古国发展边贸的重要开放口岸之一。</w:t>
      </w:r>
    </w:p>
    <w:p w14:paraId="3721E400">
      <w:pPr>
        <w:overflowPunct w:val="0"/>
        <w:adjustRightInd w:val="0"/>
        <w:snapToGrid w:val="0"/>
        <w:spacing w:line="360" w:lineRule="auto"/>
        <w:ind w:firstLine="480" w:firstLineChars="200"/>
        <w:rPr>
          <w:rFonts w:hint="eastAsia"/>
        </w:rPr>
      </w:pPr>
      <w:r>
        <w:rPr>
          <w:rFonts w:hint="eastAsia"/>
        </w:rPr>
        <w:t>巴里坤行政区划总面积3.84万平方公里，其中山地、戈壁2.55万平方公里，占全县总面积的66%。</w:t>
      </w:r>
    </w:p>
    <w:p w14:paraId="2A79B665">
      <w:pPr>
        <w:overflowPunct w:val="0"/>
        <w:adjustRightInd w:val="0"/>
        <w:snapToGrid w:val="0"/>
        <w:spacing w:line="360" w:lineRule="auto"/>
        <w:ind w:firstLine="480" w:firstLineChars="200"/>
        <w:rPr>
          <w:rFonts w:hint="eastAsia"/>
        </w:rPr>
      </w:pPr>
      <w:r>
        <w:rPr>
          <w:rFonts w:hint="eastAsia"/>
        </w:rPr>
        <w:t>巴里坤地形特征为“三山夹两盆”，有“新疆缩影”之称。巴里坤属温带大陆性冷凉干旱气候区，平均海拔1650米，冬季严寒，夏季凉爽，光照充足，四季不分明。年均气温1℃，极端最高气温35℃，极端最低气温-43.6℃。无霜期98—104天。年降水量仅200毫米左右，蒸发量1638毫米。</w:t>
      </w:r>
    </w:p>
    <w:p w14:paraId="6737B69C">
      <w:pPr>
        <w:overflowPunct w:val="0"/>
        <w:adjustRightInd w:val="0"/>
        <w:snapToGrid w:val="0"/>
        <w:spacing w:line="360" w:lineRule="auto"/>
        <w:ind w:firstLine="480" w:firstLineChars="200"/>
        <w:rPr>
          <w:rFonts w:ascii="Times New Roman" w:hAnsi="Times New Roman" w:eastAsia="仿宋_GB2312" w:cs="Times New Roman"/>
          <w:bCs/>
          <w:snapToGrid w:val="0"/>
          <w:sz w:val="24"/>
          <w:szCs w:val="24"/>
        </w:rPr>
      </w:pPr>
      <w:r>
        <w:rPr>
          <w:rFonts w:hint="eastAsia"/>
        </w:rPr>
        <w:t>项目所在的位置属新疆</w:t>
      </w:r>
      <w:r>
        <w:rPr>
          <w:rFonts w:hint="eastAsia"/>
          <w:lang w:val="en-US" w:eastAsia="zh-CN"/>
        </w:rPr>
        <w:t>哈密市</w:t>
      </w:r>
      <w:r>
        <w:rPr>
          <w:rFonts w:hint="default"/>
          <w:lang w:val="en-US" w:eastAsia="zh-CN"/>
        </w:rPr>
        <w:t>巴里坤县三塘湖乡</w:t>
      </w:r>
      <w:r>
        <w:rPr>
          <w:rFonts w:hint="eastAsia"/>
        </w:rPr>
        <w:t>管辖。工区地面较平坦</w:t>
      </w:r>
      <w:bookmarkStart w:id="62" w:name="_Hlk124073244"/>
      <w:r>
        <w:rPr>
          <w:rFonts w:hint="eastAsia"/>
          <w:lang w:eastAsia="zh-CN"/>
        </w:rPr>
        <w:t>，</w:t>
      </w:r>
      <w:r>
        <w:rPr>
          <w:rFonts w:hint="eastAsia"/>
          <w:color w:val="auto"/>
          <w:lang w:val="en-US" w:eastAsia="zh-CN"/>
        </w:rPr>
        <w:t>临时用地</w:t>
      </w:r>
      <w:r>
        <w:rPr>
          <w:rFonts w:hint="eastAsia"/>
          <w:color w:val="auto"/>
        </w:rPr>
        <w:t>距离</w:t>
      </w:r>
      <w:r>
        <w:rPr>
          <w:rFonts w:hint="eastAsia"/>
          <w:color w:val="auto"/>
          <w:lang w:val="en-US" w:eastAsia="zh-CN"/>
        </w:rPr>
        <w:t>三塘湖镇</w:t>
      </w:r>
      <w:r>
        <w:rPr>
          <w:rFonts w:hint="eastAsia"/>
          <w:color w:val="auto"/>
        </w:rPr>
        <w:t>的交通距离约</w:t>
      </w:r>
      <w:r>
        <w:rPr>
          <w:rFonts w:hint="eastAsia"/>
          <w:color w:val="auto"/>
          <w:highlight w:val="none"/>
          <w:lang w:val="en-US" w:eastAsia="zh-CN"/>
        </w:rPr>
        <w:t>80</w:t>
      </w:r>
      <w:r>
        <w:rPr>
          <w:rFonts w:hint="eastAsia"/>
          <w:color w:val="auto"/>
          <w:highlight w:val="none"/>
        </w:rPr>
        <w:t>km</w:t>
      </w:r>
      <w:r>
        <w:rPr>
          <w:rFonts w:hint="eastAsia"/>
        </w:rPr>
        <w:t>。</w:t>
      </w:r>
      <w:bookmarkEnd w:id="62"/>
      <w:r>
        <w:rPr>
          <w:rFonts w:hint="eastAsia" w:ascii="Times New Roman" w:hAnsi="Times New Roman" w:eastAsia="仿宋_GB2312" w:cs="Times New Roman"/>
          <w:bCs/>
          <w:snapToGrid w:val="0"/>
          <w:sz w:val="24"/>
          <w:szCs w:val="24"/>
        </w:rPr>
        <w:t>地理位置见图3.2-1</w:t>
      </w:r>
      <w:r>
        <w:rPr>
          <w:rFonts w:ascii="Times New Roman" w:hAnsi="Times New Roman" w:eastAsia="仿宋_GB2312" w:cs="Times New Roman"/>
          <w:bCs/>
          <w:snapToGrid w:val="0"/>
          <w:sz w:val="24"/>
          <w:szCs w:val="24"/>
        </w:rPr>
        <w:t>。</w:t>
      </w:r>
    </w:p>
    <w:p w14:paraId="41F5EC05">
      <w:pPr>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仿宋_GB2312" w:cs="Times New Roman"/>
          <w:bCs/>
          <w:snapToGrid w:val="0"/>
          <w:color w:val="000000"/>
          <w:sz w:val="24"/>
          <w:szCs w:val="24"/>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2465705</wp:posOffset>
                </wp:positionH>
                <wp:positionV relativeFrom="paragraph">
                  <wp:posOffset>418465</wp:posOffset>
                </wp:positionV>
                <wp:extent cx="223520" cy="229870"/>
                <wp:effectExtent l="0" t="0" r="5080" b="17780"/>
                <wp:wrapNone/>
                <wp:docPr id="12" name="五角星 12"/>
                <wp:cNvGraphicFramePr/>
                <a:graphic xmlns:a="http://schemas.openxmlformats.org/drawingml/2006/main">
                  <a:graphicData uri="http://schemas.microsoft.com/office/word/2010/wordprocessingShape">
                    <wps:wsp>
                      <wps:cNvSpPr/>
                      <wps:spPr>
                        <a:xfrm>
                          <a:off x="0" y="0"/>
                          <a:ext cx="223520" cy="229870"/>
                        </a:xfrm>
                        <a:prstGeom prst="star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4.15pt;margin-top:32.95pt;height:18.1pt;width:17.6pt;z-index:251663360;v-text-anchor:middle;mso-width-relative:page;mso-height-relative:page;" fillcolor="#FF0000" filled="t" stroked="f" coordsize="223520,229870" o:gfxdata="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S0jT2QAAAAoBAAAPAAAAAAAAAAEAIAAAACIAAABkcnMvZG93bnJldi54bWxQSwEC&#10;FAAUAAAACACHTuJA5p4ULGUCAAC5BAAADgAAAAAAAAABACAAAAAoAQAAZHJzL2Uyb0RvYy54bWxQ&#10;SwUGAAAAAAYABgBZAQAA/wUAAAAA&#10;" path="m0,87802l85377,87802,111760,0,138142,87802,223519,87802,154447,142066,180831,229869,111760,175603,42688,229869,69072,142066xe">
                <v:path o:connectlocs="111760,0;0,87802;42688,229869;180831,229869;223519,87802" o:connectangles="247,164,82,82,0"/>
                <v:fill on="t" focussize="0,0"/>
                <v:stroke on="f" weight="2pt"/>
                <v:imagedata o:title=""/>
                <o:lock v:ext="edit" aspectratio="f"/>
              </v:shape>
            </w:pict>
          </mc:Fallback>
        </mc:AlternateContent>
      </w:r>
      <w:r>
        <w:rPr>
          <w:rFonts w:hint="eastAsia" w:ascii="Times New Roman" w:hAnsi="Times New Roman" w:eastAsia="仿宋_GB2312" w:cs="Times New Roman"/>
          <w:bCs/>
          <w:snapToGrid w:val="0"/>
          <w:color w:val="000000"/>
          <w:sz w:val="24"/>
          <w:szCs w:val="24"/>
          <w:lang w:eastAsia="zh-CN"/>
        </w:rPr>
        <w:drawing>
          <wp:inline distT="0" distB="0" distL="114300" distR="114300">
            <wp:extent cx="5487670" cy="3004185"/>
            <wp:effectExtent l="0" t="0" r="17780"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487670" cy="3004185"/>
                    </a:xfrm>
                    <a:prstGeom prst="rect">
                      <a:avLst/>
                    </a:prstGeom>
                    <a:noFill/>
                    <a:ln>
                      <a:noFill/>
                    </a:ln>
                  </pic:spPr>
                </pic:pic>
              </a:graphicData>
            </a:graphic>
          </wp:inline>
        </w:drawing>
      </w:r>
    </w:p>
    <w:p w14:paraId="62A0E658">
      <w:pPr>
        <w:pStyle w:val="22"/>
        <w:bidi w:val="0"/>
      </w:pPr>
      <w:r>
        <w:rPr>
          <w:rFonts w:hint="eastAsia"/>
        </w:rPr>
        <w:t>图 3.2-1 项目区位置示意图</w:t>
      </w:r>
    </w:p>
    <w:p w14:paraId="72A16AB8">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3.2.2 地形地貌</w:t>
      </w:r>
    </w:p>
    <w:p w14:paraId="2ADF4533">
      <w:pPr>
        <w:keepNext w:val="0"/>
        <w:keepLines w:val="0"/>
        <w:pageBreakBefore w:val="0"/>
        <w:widowControl/>
        <w:tabs>
          <w:tab w:val="left" w:pos="4529"/>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snapToGrid w:val="0"/>
          <w:color w:val="000000"/>
          <w:sz w:val="24"/>
          <w:szCs w:val="24"/>
        </w:rPr>
      </w:pPr>
      <w:r>
        <w:rPr>
          <w:rFonts w:hint="eastAsia" w:ascii="Times New Roman" w:hAnsi="Times New Roman" w:eastAsia="仿宋_GB2312" w:cs="Times New Roman"/>
          <w:snapToGrid w:val="0"/>
          <w:color w:val="000000"/>
          <w:sz w:val="24"/>
          <w:szCs w:val="24"/>
          <w:lang w:eastAsia="zh-CN"/>
        </w:rPr>
        <w:t>巴里坤地形特征为“三山夹两盆”，有“新疆缩影”之称。巴里坤属温带大陆性冷凉干旱气候区，平均海拔1650米，冬季严寒，夏季凉爽，光照充足，四季不分明。年均气温1℃，极端气温35℃，极端气温-43.6℃。无霜期98—104天。年降水量仅200毫米左右，蒸发量1638毫米。本项目地貌类型主要位于平原区域，地势平坦开阔，地形坡度较小，冲沟不发育，水动力条件较弱，切割不明显</w:t>
      </w:r>
      <w:r>
        <w:rPr>
          <w:rFonts w:hint="eastAsia" w:ascii="Times New Roman" w:hAnsi="Times New Roman" w:eastAsia="仿宋_GB2312" w:cs="Times New Roman"/>
          <w:snapToGrid w:val="0"/>
          <w:color w:val="000000"/>
          <w:sz w:val="24"/>
          <w:szCs w:val="24"/>
        </w:rPr>
        <w:t>。</w:t>
      </w:r>
    </w:p>
    <w:p w14:paraId="129DF2DA">
      <w:pPr>
        <w:widowControl/>
        <w:tabs>
          <w:tab w:val="left" w:pos="4529"/>
        </w:tabs>
        <w:adjustRightInd w:val="0"/>
        <w:snapToGrid w:val="0"/>
        <w:spacing w:line="360" w:lineRule="auto"/>
        <w:ind w:left="0" w:leftChars="0" w:firstLine="0" w:firstLineChars="0"/>
        <w:jc w:val="center"/>
        <w:rPr>
          <w:rFonts w:hint="eastAsia" w:ascii="Times New Roman" w:hAnsi="Times New Roman" w:eastAsia="仿宋_GB2312" w:cs="Times New Roman"/>
          <w:snapToGrid w:val="0"/>
          <w:color w:val="000000"/>
          <w:sz w:val="24"/>
          <w:szCs w:val="24"/>
          <w:lang w:eastAsia="zh-CN"/>
        </w:rPr>
      </w:pPr>
      <w:r>
        <w:rPr>
          <w:rFonts w:hint="eastAsia" w:ascii="Times New Roman" w:hAnsi="Times New Roman" w:eastAsia="仿宋_GB2312" w:cs="Times New Roman"/>
          <w:snapToGrid w:val="0"/>
          <w:color w:val="000000"/>
          <w:sz w:val="24"/>
          <w:szCs w:val="24"/>
          <w:lang w:eastAsia="zh-CN"/>
        </w:rPr>
        <w:drawing>
          <wp:inline distT="0" distB="0" distL="114300" distR="114300">
            <wp:extent cx="5407025" cy="3087370"/>
            <wp:effectExtent l="0" t="0" r="317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407025" cy="3087370"/>
                    </a:xfrm>
                    <a:prstGeom prst="rect">
                      <a:avLst/>
                    </a:prstGeom>
                    <a:noFill/>
                    <a:ln>
                      <a:noFill/>
                    </a:ln>
                  </pic:spPr>
                </pic:pic>
              </a:graphicData>
            </a:graphic>
          </wp:inline>
        </w:drawing>
      </w:r>
    </w:p>
    <w:p w14:paraId="4233DE71">
      <w:pPr>
        <w:pStyle w:val="22"/>
        <w:bidi w:val="0"/>
      </w:pPr>
      <w:r>
        <w:rPr>
          <w:rFonts w:hint="eastAsia"/>
        </w:rPr>
        <w:t>图 3.2-2 项目区现场地貌</w:t>
      </w:r>
    </w:p>
    <w:p w14:paraId="424C6299">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3.2.3 气候</w:t>
      </w:r>
    </w:p>
    <w:p w14:paraId="79E595FD">
      <w:pPr>
        <w:bidi w:val="0"/>
        <w:rPr>
          <w:rFonts w:hint="eastAsia"/>
          <w:lang w:eastAsia="zh-CN"/>
        </w:rPr>
      </w:pPr>
      <w:r>
        <w:rPr>
          <w:rFonts w:hint="eastAsia"/>
          <w:lang w:eastAsia="zh-CN"/>
        </w:rPr>
        <w:t>巴里坤县，地处亚欧大陆腹地，平均海拔1650米（县城海拔1680米），属温带大陆性冷凉干旱气候区，冬季严寒，夏季凉爽，光照充足，四季不分明。年均气温1℃，极端最高气温35℃，极端最低气温-43.6℃。年均日照3210—3269小时。无霜期98—104天。年降水量仅202毫米左右，蒸发量1638毫米。2006年被国家确定为五类地区。2008年，总降水量229.1毫米，较07年（342.4毫米）偏少113.3毫米；平均气温4.0℃，较07年偏低0.3℃。</w:t>
      </w:r>
    </w:p>
    <w:p w14:paraId="62D9F631">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3.2.4 土壤</w:t>
      </w:r>
    </w:p>
    <w:p w14:paraId="2DA85D65">
      <w:pPr>
        <w:keepNext w:val="0"/>
        <w:keepLines w:val="0"/>
        <w:pageBreakBefore w:val="0"/>
        <w:widowControl/>
        <w:tabs>
          <w:tab w:val="left" w:pos="4529"/>
        </w:tabs>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snapToGrid w:val="0"/>
          <w:color w:val="000000"/>
          <w:sz w:val="24"/>
          <w:szCs w:val="24"/>
        </w:rPr>
      </w:pPr>
      <w:r>
        <w:rPr>
          <w:rFonts w:hint="eastAsia" w:ascii="仿宋_GB2312" w:hAnsi="仿宋_GB2312" w:eastAsia="仿宋_GB2312" w:cs="仿宋_GB2312"/>
          <w:snapToGrid w:val="0"/>
          <w:color w:val="000000"/>
          <w:sz w:val="24"/>
          <w:szCs w:val="24"/>
        </w:rPr>
        <w:t>根据实地调查，项目区受地貌、气候、植被等诸多因素的影响，结合当地土壤普查报告，项目区所在地土壤类型主要为灰棕漠土。</w:t>
      </w:r>
    </w:p>
    <w:p w14:paraId="46C56DBC">
      <w:pPr>
        <w:keepNext w:val="0"/>
        <w:keepLines w:val="0"/>
        <w:pageBreakBefore w:val="0"/>
        <w:widowControl/>
        <w:tabs>
          <w:tab w:val="left" w:pos="4529"/>
        </w:tabs>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sz w:val="24"/>
          <w:szCs w:val="24"/>
        </w:rPr>
        <w:t>灰棕漠土属于该区域的地带性土壤。灰棕漠土，也称灰棕色荒漠土，是温带荒漠区形成的干旱土，是温带漠境气候条件下粗骨母质上发育的地带性土壤，</w:t>
      </w:r>
      <w:r>
        <w:rPr>
          <w:rFonts w:hint="eastAsia"/>
        </w:rPr>
        <w:t>其土壤类型理化性质具体如下：灰棕漠土砾石含量多，占土重的20%~</w:t>
      </w:r>
      <w:r>
        <w:rPr>
          <w:rFonts w:hint="eastAsia"/>
          <w:lang w:val="en-US" w:eastAsia="zh-CN"/>
        </w:rPr>
        <w:t>5</w:t>
      </w:r>
      <w:r>
        <w:rPr>
          <w:rFonts w:hint="eastAsia"/>
        </w:rPr>
        <w:t>0%不等。地表</w:t>
      </w:r>
      <w:r>
        <w:rPr>
          <w:rFonts w:hint="eastAsia"/>
          <w:lang w:val="en-US" w:eastAsia="zh-CN"/>
        </w:rPr>
        <w:t>有植被</w:t>
      </w:r>
      <w:r>
        <w:rPr>
          <w:rFonts w:hint="eastAsia"/>
        </w:rPr>
        <w:t>。土壤中碳酸钙含量较高，约为45-200g/kg不等。土壤呈碱性反应，pH为</w:t>
      </w:r>
      <w:r>
        <w:rPr>
          <w:rFonts w:hint="eastAsia"/>
          <w:lang w:val="en-US" w:eastAsia="zh-CN"/>
        </w:rPr>
        <w:t>7.50-</w:t>
      </w:r>
      <w:r>
        <w:rPr>
          <w:rFonts w:hint="eastAsia"/>
        </w:rPr>
        <w:t>8.</w:t>
      </w:r>
      <w:r>
        <w:rPr>
          <w:rFonts w:hint="eastAsia"/>
          <w:lang w:val="en-US" w:eastAsia="zh-CN"/>
        </w:rPr>
        <w:t>5</w:t>
      </w:r>
      <w:r>
        <w:rPr>
          <w:rFonts w:hint="eastAsia"/>
        </w:rPr>
        <w:t>左右，土壤有机质含量≥0.6%，全磷含量平均为0.5g/kg，全钾含量在20g/kg。速效养分含量一般。具体如下：砾幕层厚2-3cm，由砾径1-3cm的砾石镶嵌所覆盖，其隙间被小砾石和沙砾充填。砾石表面光洁，多呈黑褐色。表土层厚度3-</w:t>
      </w:r>
      <w:r>
        <w:rPr>
          <w:rFonts w:hint="eastAsia"/>
          <w:lang w:val="en-US" w:eastAsia="zh-CN"/>
        </w:rPr>
        <w:t>3</w:t>
      </w:r>
      <w:r>
        <w:rPr>
          <w:rFonts w:hint="eastAsia"/>
        </w:rPr>
        <w:t>0cm，质地砾质性强，结构性差，根系少，疏松多孔。母质层，为风化或半风化的母质层，厚度变幅较大，10-30cm不等，夹有大量岩屑体</w:t>
      </w:r>
      <w:r>
        <w:t>。</w:t>
      </w:r>
    </w:p>
    <w:p w14:paraId="7E910CD6">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 xml:space="preserve">3.2.5 </w:t>
      </w:r>
      <w:r>
        <w:rPr>
          <w:rFonts w:hint="eastAsia" w:ascii="Times New Roman" w:hAnsi="Times New Roman" w:eastAsia="黑体" w:cs="Times New Roman"/>
          <w:bCs/>
          <w:color w:val="000000"/>
          <w:sz w:val="28"/>
          <w:szCs w:val="28"/>
        </w:rPr>
        <w:t>植被</w:t>
      </w:r>
    </w:p>
    <w:p w14:paraId="36D30200">
      <w:pPr>
        <w:adjustRightInd w:val="0"/>
        <w:snapToGrid w:val="0"/>
        <w:spacing w:line="360" w:lineRule="auto"/>
        <w:ind w:firstLine="480" w:firstLineChars="200"/>
        <w:textAlignment w:val="center"/>
        <w:rPr>
          <w:rFonts w:hint="eastAsia" w:ascii="Times New Roman" w:hAnsi="Times New Roman" w:eastAsia="仿宋_GB2312" w:cs="Times New Roman"/>
          <w:color w:val="000000"/>
          <w:sz w:val="24"/>
          <w:szCs w:val="24"/>
        </w:rPr>
      </w:pPr>
      <w:bookmarkStart w:id="63" w:name="_Toc301513372"/>
      <w:r>
        <w:rPr>
          <w:rFonts w:hint="eastAsia" w:ascii="Times New Roman" w:hAnsi="Times New Roman" w:eastAsia="仿宋_GB2312" w:cs="Times New Roman"/>
          <w:color w:val="000000"/>
          <w:sz w:val="24"/>
          <w:szCs w:val="24"/>
        </w:rPr>
        <w:t>本项目所在区域大部分为荒漠戈壁地区，以荒漠植被为主，植被稀疏，</w:t>
      </w:r>
      <w:r>
        <w:rPr>
          <w:rFonts w:hint="eastAsia" w:ascii="Times New Roman" w:hAnsi="Times New Roman" w:eastAsia="仿宋_GB2312" w:cs="Times New Roman"/>
          <w:color w:val="000000"/>
          <w:sz w:val="24"/>
          <w:szCs w:val="24"/>
          <w:lang w:val="en-US" w:eastAsia="zh-CN"/>
        </w:rPr>
        <w:t>大部分</w:t>
      </w:r>
      <w:r>
        <w:rPr>
          <w:rFonts w:hint="eastAsia" w:ascii="Times New Roman" w:hAnsi="Times New Roman" w:eastAsia="仿宋_GB2312" w:cs="Times New Roman"/>
          <w:color w:val="000000"/>
          <w:sz w:val="24"/>
          <w:szCs w:val="24"/>
        </w:rPr>
        <w:t>属于裸</w:t>
      </w:r>
      <w:r>
        <w:rPr>
          <w:rFonts w:hint="eastAsia" w:ascii="Times New Roman" w:hAnsi="Times New Roman" w:eastAsia="仿宋_GB2312" w:cs="Times New Roman"/>
          <w:color w:val="000000"/>
          <w:sz w:val="24"/>
          <w:szCs w:val="24"/>
          <w:lang w:val="en-US" w:eastAsia="zh-CN"/>
        </w:rPr>
        <w:t>岩石砾</w:t>
      </w:r>
      <w:r>
        <w:rPr>
          <w:rFonts w:hint="eastAsia" w:ascii="Times New Roman" w:hAnsi="Times New Roman" w:eastAsia="仿宋_GB2312" w:cs="Times New Roman"/>
          <w:color w:val="000000"/>
          <w:sz w:val="24"/>
          <w:szCs w:val="24"/>
        </w:rPr>
        <w:t>地。总体特点是种类贫乏，群落结果简单，覆盖度低，生长植被适应于极端干旱的气候条件。自然植被具有抗寒、抗旱、耐盐和抗风沙的特性，并具有适应性强、分布广、面积大的特点，在防止土地遭受风沙侵蚀方面具有非常重要的作用。</w:t>
      </w:r>
      <w:r>
        <w:rPr>
          <w:rFonts w:hint="eastAsia" w:eastAsia="仿宋_GB2312" w:cs="Times New Roman"/>
          <w:color w:val="000000"/>
          <w:sz w:val="24"/>
          <w:szCs w:val="24"/>
          <w:lang w:val="en-US" w:eastAsia="zh-CN"/>
        </w:rPr>
        <w:t>巴里坤县</w:t>
      </w:r>
      <w:r>
        <w:rPr>
          <w:rFonts w:hint="eastAsia" w:ascii="Times New Roman" w:hAnsi="Times New Roman" w:eastAsia="仿宋_GB2312" w:cs="Times New Roman"/>
          <w:color w:val="000000"/>
          <w:sz w:val="24"/>
          <w:szCs w:val="24"/>
        </w:rPr>
        <w:t>，野生植物有500多种，中草药有百余种，主要有肉苁蓉、甘草、麻黄、薄荷、益母草、黑枸杞、麻仁等，尤以雪莲为珍贵。雪莲、蘑菇、益母草被称为草原“三宝”。本项目主要地类包括</w:t>
      </w:r>
      <w:r>
        <w:rPr>
          <w:rFonts w:hint="eastAsia" w:ascii="Times New Roman" w:hAnsi="Times New Roman" w:eastAsia="仿宋_GB2312" w:cs="Times New Roman"/>
          <w:color w:val="000000"/>
          <w:sz w:val="24"/>
          <w:szCs w:val="24"/>
          <w:lang w:val="en-US" w:eastAsia="zh-CN"/>
        </w:rPr>
        <w:t>采矿用地</w:t>
      </w:r>
      <w:r>
        <w:rPr>
          <w:rFonts w:hint="eastAsia" w:ascii="Times New Roman" w:hAnsi="Times New Roman" w:eastAsia="仿宋_GB2312" w:cs="Times New Roman"/>
          <w:color w:val="000000"/>
          <w:sz w:val="24"/>
          <w:szCs w:val="24"/>
          <w:lang w:eastAsia="zh-CN"/>
        </w:rPr>
        <w:t>、</w:t>
      </w:r>
      <w:r>
        <w:rPr>
          <w:rFonts w:hint="eastAsia" w:ascii="Times New Roman" w:hAnsi="Times New Roman" w:eastAsia="仿宋_GB2312" w:cs="Times New Roman"/>
          <w:color w:val="000000"/>
          <w:sz w:val="24"/>
          <w:szCs w:val="24"/>
          <w:lang w:val="en-US" w:eastAsia="zh-CN"/>
        </w:rPr>
        <w:t>裸岩石砾地</w:t>
      </w:r>
      <w:r>
        <w:rPr>
          <w:rFonts w:hint="eastAsia" w:ascii="Times New Roman" w:hAnsi="Times New Roman" w:eastAsia="仿宋_GB2312" w:cs="Times New Roman"/>
          <w:color w:val="000000"/>
          <w:sz w:val="24"/>
          <w:szCs w:val="24"/>
        </w:rPr>
        <w:t>，经现场调查，项目区内基本无植被，偶有小灌木、草本出现。</w:t>
      </w:r>
    </w:p>
    <w:p w14:paraId="5379D102">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3.2.6 水文</w:t>
      </w:r>
      <w:bookmarkEnd w:id="63"/>
    </w:p>
    <w:p w14:paraId="53321649">
      <w:pPr>
        <w:tabs>
          <w:tab w:val="left" w:pos="0"/>
        </w:tabs>
        <w:adjustRightInd w:val="0"/>
        <w:snapToGrid w:val="0"/>
        <w:spacing w:line="360" w:lineRule="auto"/>
        <w:ind w:firstLine="480" w:firstLineChars="200"/>
        <w:rPr>
          <w:rFonts w:hint="eastAsia" w:ascii="Times New Roman" w:hAnsi="Times New Roman" w:eastAsia="仿宋_GB2312" w:cs="Times New Roman"/>
          <w:color w:val="000000"/>
          <w:sz w:val="24"/>
          <w:szCs w:val="24"/>
        </w:rPr>
      </w:pPr>
      <w:bookmarkStart w:id="64" w:name="_Toc402958191"/>
      <w:r>
        <w:rPr>
          <w:rFonts w:hint="eastAsia" w:ascii="Times New Roman" w:hAnsi="Times New Roman" w:eastAsia="仿宋_GB2312" w:cs="Times New Roman"/>
          <w:color w:val="000000"/>
          <w:sz w:val="24"/>
          <w:szCs w:val="24"/>
        </w:rPr>
        <w:t>哈密市境内大小河流主要分布在天山及其支脉的南北坡，呈梳状排列，按其形成、补给、径流组成及其分布情况分为：北坡为巴里库湖水系，哈尔里克山南坡为疏纳诺尔湖水系，东天山南坡河流向南低洼处汇集。每一条河沟是1个自然水分循环系统，表现出水资源在流域水循环过程中的形成和转化。大多数河流为季节性河流，主要靠冰川融雪水和大气降水所补给，其次是基岩裂隙水，径流年际变化不大，但年内变化较大。地下水位一般1-3m，深者达5m以上，以春季水位最高，地下水矿化度低，土体中含易溶盐也不高。</w:t>
      </w:r>
    </w:p>
    <w:p w14:paraId="66BBFF9A">
      <w:pPr>
        <w:tabs>
          <w:tab w:val="left" w:pos="0"/>
        </w:tabs>
        <w:adjustRightInd w:val="0"/>
        <w:snapToGrid w:val="0"/>
        <w:spacing w:line="360" w:lineRule="auto"/>
        <w:ind w:firstLine="480" w:firstLineChars="200"/>
        <w:rPr>
          <w:rFonts w:hint="eastAsia" w:ascii="Times New Roman" w:hAnsi="Times New Roman" w:eastAsia="仿宋_GB2312" w:cs="Times New Roman"/>
          <w:color w:val="000000"/>
          <w:sz w:val="24"/>
          <w:szCs w:val="24"/>
        </w:rPr>
      </w:pPr>
      <w:r>
        <w:rPr>
          <w:rFonts w:hint="eastAsia" w:eastAsia="仿宋_GB2312" w:cs="Times New Roman"/>
          <w:color w:val="000000"/>
          <w:sz w:val="24"/>
          <w:szCs w:val="24"/>
          <w:lang w:val="en-US" w:eastAsia="zh-CN"/>
        </w:rPr>
        <w:t>巴里坤</w:t>
      </w:r>
      <w:r>
        <w:rPr>
          <w:rFonts w:hint="eastAsia" w:ascii="Times New Roman" w:hAnsi="Times New Roman" w:eastAsia="仿宋_GB2312" w:cs="Times New Roman"/>
          <w:color w:val="000000"/>
          <w:sz w:val="24"/>
          <w:szCs w:val="24"/>
        </w:rPr>
        <w:t>县域内水资源总量60139万立方米，其中：地表水径流量30827万立方米；地下水资源量29312万立方米。从六十年代起，陆续修建水库19座，其中中型1座，小I型5座，小II型水库13座。同时，修建引水渠首14座，小塘坝35座。</w:t>
      </w:r>
    </w:p>
    <w:p w14:paraId="02E23C74">
      <w:pPr>
        <w:tabs>
          <w:tab w:val="left" w:pos="0"/>
        </w:tabs>
        <w:adjustRightInd w:val="0"/>
        <w:snapToGrid w:val="0"/>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全县建成干渠28条，支渠74条，斗渠523条，农渠841条，渠道总长3913.95公里，其中已防渗1603.08公里。干渠570.65公里，其中已防渗323.42公里。支渠737.20公里，其中已防渗710.35公里。斗渠927.06公里，其中已防渗489.60公里。农渠1679.04公里，其中已防渗76.86公里。</w:t>
      </w:r>
    </w:p>
    <w:p w14:paraId="7F1ADADE">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hint="eastAsia" w:ascii="Times New Roman" w:hAnsi="Times New Roman" w:eastAsia="黑体" w:cs="Times New Roman"/>
          <w:bCs/>
          <w:color w:val="000000"/>
          <w:sz w:val="28"/>
          <w:szCs w:val="28"/>
        </w:rPr>
        <w:t>3.2.7 地质</w:t>
      </w:r>
    </w:p>
    <w:p w14:paraId="47EFE856">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哈密盆地是哈密市颇为重要的构造单元。吐哈盆地南缘的觉罗塔格山和南湖戈壁一带是中石炭世末，准—吐板块与塔里木板块沿康古尔大断裂相碰撞而形成的一个褶皱山地，它长期隆升不仅为以后中新生代盆地沉积提供了重要物源，同时也决定了盆地南隆北坳的基本布局，南湖隆起和北部坳陷区呈斜坡过渡。北部坳陷区因后期构造、沉积演化的差异，自西向东可分为托克逊、台北（火焰山—七克台北部）和哈密三个凹陷区。</w:t>
      </w:r>
    </w:p>
    <w:p w14:paraId="5089D4DE">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哈密盆地北部的巴里坤—哈尔里克山于石炭纪末形成，而七角井以西的天山（博格达山）于早二叠世褶皱回返，但降升的规模并未造成吐哈与准噶尔两盆地的分隔，博格达山体相当一部分在中侏罗世以后才形成。所以石炭系沉积后，海水开始退出吐哈盆地，早二叠世盆地为滨浅海型的海相沉积（碳酸盐岩及火山岩建造）。晚二叠世海水全部退出吐哈，自此盆地全部转入陆相沉积的新阶段，结束了海浸历史。当时吐—哈盆地的坳陷区主要在北部，而哈密盆地的西山—天山乡的山前地带和大南湖是两个凹陷最深、沉积最厚的地方。在上二叠统和上三叠统，伊州区西部从四道沟经火石泉和三堡再到五堡一带。形成了当时吐—哈盆地中面积最大的深水湖，这个大型湖盆，接受了厚达千余米的暗色泥岩沉积。当时喜玛拉雅山未形成，受南部特提斯海风影响，新疆气候温暖而湿润，湖中大量的浮游生物造就了丰富的生油物质基础，因而提供了在四道沟找到三叠系工业油流和在火石泉凹陷钻探的上二叠统油气构造的可能条件。其演变过程：早三叠世由于气候向干热转化，湖水水位降低，沉积了一套冲积—河流相为主的红色碎屑岩。中三叠世由于气候又转变为暖湿，生物繁茂，湖水不断扩大加深，滨浅湖逐渐向浅—半深湖过渡，进而水面上升到最大，湖盆发育最广，形成了较深湖相发育最好的时期。晚三叠世初期，湖水又逐渐退缩，后期水体又迅速扩大加深至半深—深湖的沉积多次反复，三叠纪末，印支运动使地层发生强烈褶皱，区域抬升幅度较大。侏罗世湖水缩小，以低水位和湖退体系交替发育为特征。此后湖盆淤浅而沼泽遍布，哈密盆地的西部和南部长满了茂密的森林。哈密坳陷呈北陡南缓、北深南浅的箕状，沉积则北厚南薄，主要沉积物源来自北天山（巴里坤—哈尔里克山）。这和二、三叠纪南深北浅、沉积南厚北薄、填充物源来自南部的中山天（觉罗塔格—嘎顺戈壁）正好相反。侏罗系哈密盆地发育了面积大、厚度大良好的煤系地层，而吐鲁番盆地的台北凹陷、中下侏罗系却是煤成烃源岩类型的主要生油气地层。所以从侏罗系来看，吐—哈盆地自西向东可分为吐鲁番坳陷、墩隆起和哈密坳陷三大构造单元，吐鲁番坳陷又可分为三凹三凸，而哈密坳陷则呈两凹一凸构造格局，即三堡凹陷、火石泉凹陷和黄田凸起三个2级构造单元。白垩纪北天山全面隆升，哈密盆地受到大面积剥蚀，故白垩系沉积面积厚度都较小，且南厚北薄。到了早第三纪的后期，盆地又一次全面沉降，周围山系几乎被夷平。晚第三纪的中新世末强烈的喜玛拉雅运动改变了全盆地的格局，北天山再度断裂上升，作为湖盆的吐哈盆地已消亡而开始了接近现状的山间封闭盆地历史。</w:t>
      </w:r>
    </w:p>
    <w:p w14:paraId="7C909E4D">
      <w:pPr>
        <w:keepNext/>
        <w:keepLines/>
        <w:snapToGrid w:val="0"/>
        <w:spacing w:before="156" w:beforeLines="50" w:after="156" w:afterLines="50" w:line="500" w:lineRule="exact"/>
        <w:ind w:firstLine="600"/>
        <w:jc w:val="left"/>
        <w:outlineLvl w:val="1"/>
        <w:rPr>
          <w:rFonts w:ascii="Times New Roman" w:hAnsi="Times New Roman" w:eastAsia="黑体" w:cs="Times New Roman"/>
          <w:b/>
          <w:bCs/>
          <w:color w:val="000000"/>
          <w:kern w:val="0"/>
          <w:sz w:val="30"/>
          <w:szCs w:val="30"/>
        </w:rPr>
      </w:pPr>
      <w:bookmarkStart w:id="65" w:name="_Toc3087"/>
      <w:r>
        <w:rPr>
          <w:rFonts w:ascii="Times New Roman" w:hAnsi="Times New Roman" w:eastAsia="黑体" w:cs="Times New Roman"/>
          <w:b/>
          <w:bCs/>
          <w:color w:val="000000"/>
          <w:kern w:val="0"/>
          <w:sz w:val="30"/>
          <w:szCs w:val="30"/>
        </w:rPr>
        <w:t>3.3 项目区社会经济概况</w:t>
      </w:r>
      <w:bookmarkEnd w:id="64"/>
      <w:bookmarkEnd w:id="65"/>
    </w:p>
    <w:p w14:paraId="58554045">
      <w:pPr>
        <w:bidi w:val="0"/>
        <w:rPr>
          <w:rFonts w:hint="eastAsia"/>
          <w:lang w:val="en-US" w:eastAsia="zh-CN"/>
        </w:rPr>
      </w:pPr>
      <w:bookmarkStart w:id="66" w:name="_Toc402958192"/>
      <w:r>
        <w:rPr>
          <w:rFonts w:hint="eastAsia"/>
          <w:lang w:val="en-US" w:eastAsia="zh-CN"/>
        </w:rPr>
        <w:t>项目位于新疆哈密市巴里坤县境内。项目区社会经济概况具体如下：</w:t>
      </w:r>
    </w:p>
    <w:p w14:paraId="7ACAFC90">
      <w:pPr>
        <w:bidi w:val="0"/>
        <w:rPr>
          <w:rFonts w:hint="eastAsia"/>
          <w:lang w:val="en-US" w:eastAsia="zh-CN"/>
        </w:rPr>
      </w:pPr>
      <w:r>
        <w:rPr>
          <w:rFonts w:hint="eastAsia"/>
          <w:lang w:val="en-US" w:eastAsia="zh-CN"/>
        </w:rPr>
        <w:t>巴里坤县总面积3.84万平方公里，占全地区总面积的25%，辖15个乡镇场区、45个行政村、11个自然村（牧业村16个），129个村民小组，6个居民委员会（城镇4个、博尔羌吉镇2个）。</w:t>
      </w:r>
    </w:p>
    <w:p w14:paraId="2BE552D1">
      <w:pPr>
        <w:bidi w:val="0"/>
        <w:rPr>
          <w:rFonts w:hint="eastAsia"/>
          <w:lang w:val="en-US" w:eastAsia="zh-CN"/>
        </w:rPr>
      </w:pPr>
      <w:r>
        <w:rPr>
          <w:rFonts w:hint="eastAsia"/>
          <w:lang w:val="en-US" w:eastAsia="zh-CN"/>
        </w:rPr>
        <w:t>2023年，巴里坤县消费市场规模不断扩大，商品零售稳定发展，服务消费加快复苏。全年实现社会消费品零售总额同比增长42.9%，增幅高于全疆（18.8%）24.1个百分点，高于全市（16.0%）26.9个百分点，位列全市第一位。</w:t>
      </w:r>
    </w:p>
    <w:p w14:paraId="1A7546FE">
      <w:pPr>
        <w:bidi w:val="0"/>
        <w:rPr>
          <w:rFonts w:hint="eastAsia"/>
          <w:lang w:val="en-US" w:eastAsia="zh-CN"/>
        </w:rPr>
      </w:pPr>
      <w:r>
        <w:rPr>
          <w:rFonts w:hint="eastAsia"/>
          <w:lang w:val="en-US" w:eastAsia="zh-CN"/>
        </w:rPr>
        <w:t>（一）批发、零售业较快增长。批发和零售业呈较快发展态势,在拉动经济增长、扩大内需、促进消费结构升级、提供就业中发挥着重要的作用。批发业同比增长42.1%；零售业同比增长44.1%。</w:t>
      </w:r>
    </w:p>
    <w:p w14:paraId="047C1555">
      <w:pPr>
        <w:bidi w:val="0"/>
        <w:rPr>
          <w:rFonts w:hint="eastAsia"/>
          <w:lang w:val="en-US" w:eastAsia="zh-CN"/>
        </w:rPr>
      </w:pPr>
      <w:r>
        <w:rPr>
          <w:rFonts w:hint="eastAsia"/>
          <w:lang w:val="en-US" w:eastAsia="zh-CN"/>
        </w:rPr>
        <w:t>（二）住宿餐饮业稳中向好。住宿餐饮消费市场逐渐回暖，星级酒店、快捷商务酒店客房入住率大幅提高。全年住宿业同比增长30.1%；餐饮业同比增长44.9%。</w:t>
      </w:r>
    </w:p>
    <w:p w14:paraId="077E3590">
      <w:pPr>
        <w:bidi w:val="0"/>
        <w:rPr>
          <w:rFonts w:hint="eastAsia"/>
          <w:lang w:val="en-US" w:eastAsia="zh-CN"/>
        </w:rPr>
      </w:pPr>
      <w:r>
        <w:rPr>
          <w:rFonts w:hint="eastAsia"/>
          <w:lang w:val="en-US" w:eastAsia="zh-CN"/>
        </w:rPr>
        <w:t>（三）限上限下消费持续回暖。全年，限额以上单位实现消费品零售额0.28亿元（占比3.1%），增长58.0%。限额以下单位实现消费品零售额8.8亿元（占比97%）,增长42.5%。</w:t>
      </w:r>
    </w:p>
    <w:p w14:paraId="7E3A008B">
      <w:pPr>
        <w:keepNext/>
        <w:keepLines/>
        <w:snapToGrid w:val="0"/>
        <w:spacing w:before="156" w:beforeLines="50" w:after="156" w:afterLines="50" w:line="500" w:lineRule="exact"/>
        <w:ind w:firstLine="600"/>
        <w:jc w:val="left"/>
        <w:outlineLvl w:val="1"/>
        <w:rPr>
          <w:rFonts w:ascii="Times New Roman" w:hAnsi="Times New Roman" w:eastAsia="黑体" w:cs="Times New Roman"/>
          <w:bCs/>
          <w:color w:val="000000"/>
          <w:kern w:val="0"/>
          <w:sz w:val="30"/>
          <w:szCs w:val="30"/>
        </w:rPr>
      </w:pPr>
      <w:bookmarkStart w:id="67" w:name="_Toc28866"/>
      <w:r>
        <w:rPr>
          <w:rFonts w:ascii="Times New Roman" w:hAnsi="Times New Roman" w:eastAsia="黑体" w:cs="Times New Roman"/>
          <w:bCs/>
          <w:color w:val="000000"/>
          <w:kern w:val="0"/>
          <w:sz w:val="30"/>
          <w:szCs w:val="30"/>
        </w:rPr>
        <w:t>3.4 项目区土地利用现状</w:t>
      </w:r>
      <w:bookmarkEnd w:id="66"/>
      <w:bookmarkEnd w:id="67"/>
    </w:p>
    <w:p w14:paraId="72BC6105">
      <w:pPr>
        <w:keepNext/>
        <w:keepLines/>
        <w:tabs>
          <w:tab w:val="left" w:pos="5640"/>
        </w:tabs>
        <w:adjustRightInd w:val="0"/>
        <w:snapToGrid w:val="0"/>
        <w:spacing w:before="156" w:beforeLines="50" w:after="156"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3.4.1 项目区土地利用情况</w:t>
      </w:r>
      <w:r>
        <w:rPr>
          <w:rFonts w:ascii="Times New Roman" w:hAnsi="Times New Roman" w:eastAsia="黑体" w:cs="Times New Roman"/>
          <w:bCs/>
          <w:color w:val="000000"/>
          <w:sz w:val="28"/>
          <w:szCs w:val="28"/>
        </w:rPr>
        <w:tab/>
      </w:r>
    </w:p>
    <w:p w14:paraId="22E95AA3">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参照《土地利用现状分类》（GB/T21010-2017），以</w:t>
      </w:r>
      <w:r>
        <w:rPr>
          <w:rFonts w:hint="eastAsia" w:eastAsia="仿宋_GB2312" w:cs="Times New Roman"/>
          <w:color w:val="000000"/>
          <w:sz w:val="24"/>
          <w:szCs w:val="24"/>
          <w:lang w:eastAsia="zh-CN"/>
        </w:rPr>
        <w:t>哈密市巴里坤县</w:t>
      </w:r>
      <w:r>
        <w:rPr>
          <w:rFonts w:hint="eastAsia" w:ascii="Times New Roman" w:hAnsi="Times New Roman" w:eastAsia="仿宋_GB2312" w:cs="Times New Roman"/>
          <w:color w:val="000000"/>
          <w:sz w:val="24"/>
          <w:szCs w:val="24"/>
        </w:rPr>
        <w:t>第三次国土调查数据为底图，结合外业调查和内业面积量算，最终获得项目区土地利用数据。项目区土地利用现状见下表（表3.4-1）。</w:t>
      </w:r>
    </w:p>
    <w:p w14:paraId="35F6701A">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1）项目区总面积为</w:t>
      </w:r>
      <w:r>
        <w:rPr>
          <w:rFonts w:hint="eastAsia" w:cs="Times New Roman"/>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w:t>
      </w:r>
    </w:p>
    <w:p w14:paraId="47308319">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2）从项目区所涉及的地类来看，为</w:t>
      </w:r>
      <w:r>
        <w:rPr>
          <w:rFonts w:hint="eastAsia" w:cs="Times New Roman"/>
          <w:color w:val="000000"/>
          <w:sz w:val="24"/>
          <w:szCs w:val="24"/>
          <w:lang w:val="en-US" w:eastAsia="zh-CN"/>
        </w:rPr>
        <w:t>工业用地、采矿用地及裸岩石砾地</w:t>
      </w:r>
      <w:r>
        <w:rPr>
          <w:rFonts w:hint="eastAsia" w:ascii="Times New Roman" w:hAnsi="Times New Roman" w:eastAsia="仿宋_GB2312" w:cs="Times New Roman"/>
          <w:color w:val="000000"/>
          <w:sz w:val="24"/>
          <w:szCs w:val="24"/>
        </w:rPr>
        <w:t>；</w:t>
      </w:r>
    </w:p>
    <w:p w14:paraId="372776A2">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3）项目未占用耕地，不涉及永久基本农田面积。</w:t>
      </w:r>
    </w:p>
    <w:p w14:paraId="241E4576">
      <w:pPr>
        <w:pStyle w:val="22"/>
        <w:bidi w:val="0"/>
        <w:jc w:val="right"/>
      </w:pPr>
      <w:r>
        <w:t>表3.4-1  项目区土地利用现状表</w:t>
      </w:r>
      <w:r>
        <w:rPr>
          <w:rFonts w:hint="eastAsia"/>
        </w:rPr>
        <w:t xml:space="preserve">     </w:t>
      </w:r>
      <w:r>
        <w:rPr>
          <w:rFonts w:hint="eastAsia"/>
          <w:lang w:val="en-US" w:eastAsia="zh-CN"/>
        </w:rPr>
        <w:t xml:space="preserve">  </w:t>
      </w:r>
      <w:r>
        <w:rPr>
          <w:rFonts w:hint="eastAsia"/>
        </w:rPr>
        <w:t xml:space="preserve">          </w:t>
      </w:r>
      <w:r>
        <w:t>单位：</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t>、%</w:t>
      </w:r>
    </w:p>
    <w:tbl>
      <w:tblPr>
        <w:tblStyle w:val="8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71"/>
        <w:gridCol w:w="3329"/>
        <w:gridCol w:w="1161"/>
        <w:gridCol w:w="1419"/>
      </w:tblGrid>
      <w:tr w14:paraId="0CA0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034F">
            <w:pPr>
              <w:pStyle w:val="100"/>
              <w:bidi w:val="0"/>
              <w:rPr>
                <w:rFonts w:hint="eastAsia"/>
                <w:lang w:eastAsia="zh-CN"/>
              </w:rPr>
            </w:pPr>
            <w:r>
              <w:rPr>
                <w:rFonts w:hint="eastAsia"/>
                <w:lang w:val="en-US" w:eastAsia="zh-CN"/>
              </w:rPr>
              <w:t>一级类（编码）</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95B7">
            <w:pPr>
              <w:pStyle w:val="100"/>
              <w:bidi w:val="0"/>
              <w:rPr>
                <w:rFonts w:hint="eastAsia"/>
                <w:lang w:eastAsia="zh-CN"/>
              </w:rPr>
            </w:pPr>
            <w:r>
              <w:rPr>
                <w:rFonts w:hint="eastAsia"/>
                <w:lang w:val="en-US" w:eastAsia="zh-CN"/>
              </w:rPr>
              <w:t>二级类（编码）</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216F1">
            <w:pPr>
              <w:pStyle w:val="100"/>
              <w:bidi w:val="0"/>
              <w:rPr>
                <w:rFonts w:hint="eastAsia"/>
                <w:lang w:eastAsia="zh-CN"/>
              </w:rPr>
            </w:pPr>
            <w:r>
              <w:rPr>
                <w:rFonts w:hint="eastAsia"/>
                <w:lang w:val="en-US" w:eastAsia="zh-CN"/>
              </w:rPr>
              <w:t>合计</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C07EE">
            <w:pPr>
              <w:pStyle w:val="100"/>
              <w:bidi w:val="0"/>
              <w:rPr>
                <w:rFonts w:hint="eastAsia"/>
                <w:lang w:eastAsia="zh-CN"/>
              </w:rPr>
            </w:pPr>
            <w:r>
              <w:rPr>
                <w:rFonts w:hint="eastAsia"/>
                <w:lang w:val="en-US" w:eastAsia="zh-CN"/>
              </w:rPr>
              <w:t>百分比</w:t>
            </w:r>
          </w:p>
        </w:tc>
      </w:tr>
      <w:tr w14:paraId="42F0E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A8A9F">
            <w:pPr>
              <w:pStyle w:val="100"/>
              <w:bidi w:val="0"/>
              <w:rPr>
                <w:rFonts w:hint="eastAsia"/>
                <w:lang w:eastAsia="zh-CN"/>
              </w:rPr>
            </w:pPr>
            <w:r>
              <w:rPr>
                <w:rFonts w:hint="eastAsia"/>
                <w:lang w:val="en-US" w:eastAsia="zh-CN"/>
              </w:rPr>
              <w:t>工矿仓储用地（06）</w:t>
            </w:r>
          </w:p>
        </w:tc>
        <w:tc>
          <w:tcPr>
            <w:tcW w:w="1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DACD">
            <w:pPr>
              <w:pStyle w:val="100"/>
              <w:bidi w:val="0"/>
              <w:rPr>
                <w:rFonts w:hint="eastAsia"/>
                <w:lang w:eastAsia="zh-CN"/>
              </w:rPr>
            </w:pPr>
            <w:r>
              <w:rPr>
                <w:rFonts w:hint="eastAsia"/>
                <w:lang w:val="en-US" w:eastAsia="zh-CN"/>
              </w:rPr>
              <w:t>工业用地（0601）</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620A">
            <w:pPr>
              <w:pStyle w:val="100"/>
              <w:bidi w:val="0"/>
              <w:rPr>
                <w:rFonts w:hint="eastAsia"/>
                <w:lang w:eastAsia="zh-CN"/>
              </w:rPr>
            </w:pPr>
            <w:r>
              <w:rPr>
                <w:rFonts w:hint="default"/>
                <w:lang w:val="en-US" w:eastAsia="zh-CN"/>
              </w:rPr>
              <w:t xml:space="preserve">0.0280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FEC9">
            <w:pPr>
              <w:pStyle w:val="100"/>
              <w:bidi w:val="0"/>
              <w:rPr>
                <w:rFonts w:hint="eastAsia"/>
                <w:lang w:eastAsia="zh-CN"/>
              </w:rPr>
            </w:pPr>
            <w:r>
              <w:rPr>
                <w:rFonts w:hint="default"/>
                <w:lang w:val="en-US" w:eastAsia="zh-CN"/>
              </w:rPr>
              <w:t>1.43%</w:t>
            </w:r>
          </w:p>
        </w:tc>
      </w:tr>
      <w:tr w14:paraId="6F82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8118">
            <w:pPr>
              <w:pStyle w:val="100"/>
              <w:bidi w:val="0"/>
              <w:rPr>
                <w:rFonts w:hint="eastAsia"/>
                <w:lang w:eastAsia="zh-CN"/>
              </w:rPr>
            </w:pPr>
          </w:p>
        </w:tc>
        <w:tc>
          <w:tcPr>
            <w:tcW w:w="1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71C2D">
            <w:pPr>
              <w:pStyle w:val="100"/>
              <w:bidi w:val="0"/>
              <w:rPr>
                <w:rFonts w:hint="eastAsia"/>
                <w:lang w:eastAsia="zh-CN"/>
              </w:rPr>
            </w:pPr>
            <w:r>
              <w:rPr>
                <w:rFonts w:hint="eastAsia"/>
                <w:lang w:val="en-US" w:eastAsia="zh-CN"/>
              </w:rPr>
              <w:t>采矿用地（0602）</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1E30">
            <w:pPr>
              <w:pStyle w:val="100"/>
              <w:bidi w:val="0"/>
              <w:rPr>
                <w:rFonts w:hint="eastAsia"/>
                <w:lang w:eastAsia="zh-CN"/>
              </w:rPr>
            </w:pPr>
            <w:r>
              <w:rPr>
                <w:rFonts w:hint="default"/>
                <w:lang w:val="en-US" w:eastAsia="zh-CN"/>
              </w:rPr>
              <w:t xml:space="preserve">0.0685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3A39">
            <w:pPr>
              <w:pStyle w:val="100"/>
              <w:bidi w:val="0"/>
              <w:rPr>
                <w:rFonts w:hint="eastAsia"/>
                <w:lang w:eastAsia="zh-CN"/>
              </w:rPr>
            </w:pPr>
            <w:r>
              <w:rPr>
                <w:rFonts w:hint="default"/>
                <w:lang w:val="en-US" w:eastAsia="zh-CN"/>
              </w:rPr>
              <w:t>3.49%</w:t>
            </w:r>
          </w:p>
        </w:tc>
      </w:tr>
      <w:tr w14:paraId="4B863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E0C77">
            <w:pPr>
              <w:pStyle w:val="100"/>
              <w:bidi w:val="0"/>
              <w:rPr>
                <w:rFonts w:hint="eastAsia"/>
                <w:lang w:eastAsia="zh-CN"/>
              </w:rPr>
            </w:pPr>
            <w:r>
              <w:rPr>
                <w:rFonts w:hint="eastAsia"/>
                <w:lang w:val="en-US" w:eastAsia="zh-CN"/>
              </w:rPr>
              <w:t>其他土地（12）</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7282">
            <w:pPr>
              <w:pStyle w:val="100"/>
              <w:bidi w:val="0"/>
              <w:rPr>
                <w:rFonts w:hint="eastAsia"/>
                <w:lang w:eastAsia="zh-CN"/>
              </w:rPr>
            </w:pPr>
            <w:r>
              <w:rPr>
                <w:rFonts w:hint="eastAsia"/>
                <w:lang w:val="en-US" w:eastAsia="zh-CN"/>
              </w:rPr>
              <w:t>裸岩石砾地（1207）</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0014">
            <w:pPr>
              <w:pStyle w:val="100"/>
              <w:bidi w:val="0"/>
              <w:rPr>
                <w:rFonts w:hint="eastAsia"/>
                <w:lang w:eastAsia="zh-CN"/>
              </w:rPr>
            </w:pPr>
            <w:r>
              <w:rPr>
                <w:rFonts w:hint="default"/>
                <w:lang w:val="en-US" w:eastAsia="zh-CN"/>
              </w:rPr>
              <w:t xml:space="preserve">1.8683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8C46">
            <w:pPr>
              <w:pStyle w:val="100"/>
              <w:bidi w:val="0"/>
              <w:rPr>
                <w:rFonts w:hint="eastAsia"/>
                <w:lang w:eastAsia="zh-CN"/>
              </w:rPr>
            </w:pPr>
            <w:r>
              <w:rPr>
                <w:rFonts w:hint="default"/>
                <w:lang w:val="en-US" w:eastAsia="zh-CN"/>
              </w:rPr>
              <w:t>95.09%</w:t>
            </w:r>
          </w:p>
        </w:tc>
      </w:tr>
      <w:tr w14:paraId="2A611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AC28">
            <w:pPr>
              <w:pStyle w:val="100"/>
              <w:bidi w:val="0"/>
              <w:rPr>
                <w:rFonts w:hint="eastAsia"/>
                <w:lang w:eastAsia="zh-CN"/>
              </w:rPr>
            </w:pPr>
            <w:r>
              <w:rPr>
                <w:rFonts w:hint="eastAsia"/>
                <w:lang w:val="en-US" w:eastAsia="zh-CN"/>
              </w:rPr>
              <w:t>合计</w:t>
            </w:r>
          </w:p>
        </w:tc>
        <w:tc>
          <w:tcPr>
            <w:tcW w:w="1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79C9">
            <w:pPr>
              <w:pStyle w:val="100"/>
              <w:bidi w:val="0"/>
              <w:rPr>
                <w:rFonts w:hint="eastAsia"/>
                <w:lang w:eastAsia="zh-CN"/>
              </w:rPr>
            </w:pPr>
            <w:r>
              <w:rPr>
                <w:rFonts w:hint="default"/>
                <w:lang w:val="en-US" w:eastAsia="zh-CN"/>
              </w:rPr>
              <w:t xml:space="preserve">1.9648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C917">
            <w:pPr>
              <w:pStyle w:val="100"/>
              <w:bidi w:val="0"/>
              <w:rPr>
                <w:rFonts w:hint="eastAsia"/>
                <w:lang w:eastAsia="zh-CN"/>
              </w:rPr>
            </w:pPr>
            <w:r>
              <w:rPr>
                <w:rFonts w:hint="default"/>
                <w:lang w:val="en-US" w:eastAsia="zh-CN"/>
              </w:rPr>
              <w:t>100.00%</w:t>
            </w:r>
          </w:p>
        </w:tc>
      </w:tr>
    </w:tbl>
    <w:p w14:paraId="5D4BB895">
      <w:pPr>
        <w:keepNext w:val="0"/>
        <w:keepLines w:val="0"/>
        <w:pageBreakBefore w:val="0"/>
        <w:widowControl w:val="0"/>
        <w:kinsoku/>
        <w:wordWrap/>
        <w:overflowPunct w:val="0"/>
        <w:topLinePunct w:val="0"/>
        <w:autoSpaceDE/>
        <w:autoSpaceDN/>
        <w:bidi w:val="0"/>
        <w:adjustRightInd w:val="0"/>
        <w:snapToGrid w:val="0"/>
        <w:spacing w:line="360" w:lineRule="auto"/>
        <w:jc w:val="center"/>
        <w:textAlignment w:val="auto"/>
        <w:rPr>
          <w:rFonts w:hint="eastAsia" w:ascii="Times New Roman" w:hAnsi="Times New Roman" w:eastAsia="仿宋_GB2312" w:cs="Times New Roman"/>
          <w:snapToGrid w:val="0"/>
          <w:color w:val="000000"/>
          <w:sz w:val="24"/>
          <w:szCs w:val="24"/>
          <w:lang w:eastAsia="zh-CN"/>
        </w:rPr>
      </w:pPr>
    </w:p>
    <w:p w14:paraId="3B9F71CB">
      <w:pPr>
        <w:overflowPunct w:val="0"/>
        <w:adjustRightInd w:val="0"/>
        <w:snapToGrid w:val="0"/>
        <w:spacing w:line="360" w:lineRule="auto"/>
        <w:ind w:left="0" w:leftChars="0" w:firstLine="0" w:firstLineChars="0"/>
        <w:jc w:val="center"/>
        <w:rPr>
          <w:rFonts w:ascii="Times New Roman" w:hAnsi="Times New Roman" w:eastAsia="黑体" w:cs="Times New Roman"/>
          <w:color w:val="000000"/>
          <w:szCs w:val="21"/>
        </w:rPr>
      </w:pPr>
    </w:p>
    <w:p w14:paraId="32C48DBD">
      <w:pPr>
        <w:overflowPunct w:val="0"/>
        <w:adjustRightInd w:val="0"/>
        <w:snapToGrid w:val="0"/>
        <w:spacing w:line="360" w:lineRule="auto"/>
        <w:ind w:firstLine="720" w:firstLineChars="300"/>
        <w:rPr>
          <w:rFonts w:ascii="Times New Roman" w:hAnsi="Times New Roman" w:eastAsia="黑体" w:cs="Times New Roman"/>
          <w:color w:val="000000"/>
          <w:szCs w:val="21"/>
        </w:rPr>
        <w:sectPr>
          <w:pgSz w:w="11906" w:h="16838"/>
          <w:pgMar w:top="1701" w:right="1418" w:bottom="1418" w:left="1418" w:header="720" w:footer="720" w:gutter="0"/>
          <w:pgNumType w:fmt="decimal"/>
          <w:cols w:space="720" w:num="1"/>
          <w:docGrid w:type="lines" w:linePitch="312" w:charSpace="0"/>
        </w:sectPr>
      </w:pPr>
    </w:p>
    <w:p w14:paraId="19CD5E99">
      <w:pPr>
        <w:spacing w:line="500" w:lineRule="exact"/>
        <w:jc w:val="right"/>
        <w:rPr>
          <w:rStyle w:val="788"/>
        </w:rPr>
      </w:pPr>
      <w:r>
        <w:rPr>
          <w:rFonts w:hint="eastAsia" w:ascii="Times New Roman" w:hAnsi="Times New Roman" w:eastAsia="黑体" w:cs="Times New Roman"/>
          <w:bCs/>
          <w:color w:val="000000"/>
          <w:szCs w:val="21"/>
        </w:rPr>
        <w:t xml:space="preserve"> </w:t>
      </w:r>
      <w:r>
        <w:rPr>
          <w:rStyle w:val="788"/>
          <w:rFonts w:hint="eastAsia"/>
        </w:rPr>
        <w:t xml:space="preserve">  </w:t>
      </w:r>
      <w:r>
        <w:rPr>
          <w:rStyle w:val="788"/>
        </w:rPr>
        <w:t>表3.4-2  各类用地土地利用现状表</w:t>
      </w:r>
      <w:r>
        <w:rPr>
          <w:rStyle w:val="788"/>
          <w:rFonts w:hint="eastAsia"/>
        </w:rPr>
        <w:t xml:space="preserve">           </w:t>
      </w:r>
      <w:r>
        <w:rPr>
          <w:rStyle w:val="788"/>
          <w:rFonts w:hint="eastAsia"/>
          <w:lang w:val="en-US" w:eastAsia="zh-CN"/>
        </w:rPr>
        <w:t xml:space="preserve">    </w:t>
      </w:r>
      <w:r>
        <w:rPr>
          <w:rStyle w:val="788"/>
          <w:rFonts w:hint="eastAsia"/>
        </w:rPr>
        <w:t xml:space="preserve">    </w:t>
      </w:r>
      <w:r>
        <w:rPr>
          <w:rStyle w:val="788"/>
        </w:rPr>
        <w:t xml:space="preserve"> 单位：</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0"/>
        <w:gridCol w:w="1532"/>
        <w:gridCol w:w="1096"/>
        <w:gridCol w:w="1096"/>
        <w:gridCol w:w="1096"/>
        <w:gridCol w:w="1316"/>
        <w:gridCol w:w="1536"/>
      </w:tblGrid>
      <w:tr w14:paraId="58EAC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2EB7">
            <w:pPr>
              <w:pStyle w:val="100"/>
              <w:bidi w:val="0"/>
            </w:pPr>
            <w:r>
              <w:rPr>
                <w:rFonts w:hint="eastAsia"/>
                <w:lang w:val="en-US" w:eastAsia="zh-CN"/>
              </w:rPr>
              <w:t>地块</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2980">
            <w:pPr>
              <w:pStyle w:val="100"/>
              <w:bidi w:val="0"/>
              <w:rPr>
                <w:rFonts w:hint="eastAsia"/>
              </w:rPr>
            </w:pPr>
            <w:r>
              <w:rPr>
                <w:rFonts w:hint="eastAsia"/>
                <w:lang w:val="en-US" w:eastAsia="zh-CN"/>
              </w:rPr>
              <w:t>行政区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751A">
            <w:pPr>
              <w:pStyle w:val="100"/>
              <w:bidi w:val="0"/>
              <w:rPr>
                <w:rFonts w:hint="eastAsia"/>
              </w:rPr>
            </w:pPr>
            <w:r>
              <w:rPr>
                <w:rFonts w:hint="eastAsia"/>
                <w:lang w:val="en-US" w:eastAsia="zh-CN"/>
              </w:rPr>
              <w:t>用地类型</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6218">
            <w:pPr>
              <w:pStyle w:val="100"/>
              <w:bidi w:val="0"/>
              <w:rPr>
                <w:rFonts w:hint="eastAsia"/>
              </w:rPr>
            </w:pPr>
            <w:r>
              <w:rPr>
                <w:rFonts w:hint="eastAsia"/>
                <w:lang w:val="en-US" w:eastAsia="zh-CN"/>
              </w:rPr>
              <w:t>权属性质</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F011">
            <w:pPr>
              <w:pStyle w:val="100"/>
              <w:bidi w:val="0"/>
              <w:rPr>
                <w:rFonts w:hint="eastAsia"/>
              </w:rPr>
            </w:pPr>
            <w:r>
              <w:rPr>
                <w:rFonts w:hint="eastAsia"/>
                <w:lang w:val="en-US" w:eastAsia="zh-CN"/>
              </w:rPr>
              <w:t>地类编码</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7B37">
            <w:pPr>
              <w:pStyle w:val="100"/>
              <w:bidi w:val="0"/>
              <w:rPr>
                <w:rFonts w:hint="eastAsia"/>
              </w:rPr>
            </w:pPr>
            <w:r>
              <w:rPr>
                <w:rFonts w:hint="eastAsia"/>
                <w:lang w:val="en-US" w:eastAsia="zh-CN"/>
              </w:rPr>
              <w:t>地类名称</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0FA3">
            <w:pPr>
              <w:pStyle w:val="100"/>
              <w:bidi w:val="0"/>
              <w:rPr>
                <w:rFonts w:hint="eastAsia"/>
              </w:rPr>
            </w:pPr>
            <w:r>
              <w:rPr>
                <w:rFonts w:hint="eastAsia"/>
                <w:lang w:val="en-US" w:eastAsia="zh-CN"/>
              </w:rPr>
              <w:t>面积（公顷）</w:t>
            </w:r>
          </w:p>
        </w:tc>
      </w:tr>
      <w:tr w14:paraId="1708F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862" w:type="pct"/>
            <w:tcBorders>
              <w:top w:val="single" w:color="000000" w:sz="4" w:space="0"/>
              <w:left w:val="single" w:color="000000" w:sz="4" w:space="0"/>
              <w:bottom w:val="nil"/>
              <w:right w:val="single" w:color="000000" w:sz="4" w:space="0"/>
            </w:tcBorders>
            <w:shd w:val="clear" w:color="auto" w:fill="auto"/>
            <w:noWrap/>
            <w:vAlign w:val="center"/>
          </w:tcPr>
          <w:p w14:paraId="10565DC8">
            <w:pPr>
              <w:pStyle w:val="100"/>
              <w:bidi w:val="0"/>
              <w:rPr>
                <w:rFonts w:hint="default"/>
              </w:rPr>
            </w:pPr>
            <w:r>
              <w:rPr>
                <w:lang w:val="en-US" w:eastAsia="zh-CN"/>
              </w:rPr>
              <w:t>马</w:t>
            </w:r>
            <w:r>
              <w:rPr>
                <w:rFonts w:hint="default"/>
                <w:lang w:val="en-US" w:eastAsia="zh-CN"/>
              </w:rPr>
              <w:t>T5-1H</w:t>
            </w:r>
            <w:r>
              <w:rPr>
                <w:lang w:val="en-US" w:eastAsia="zh-CN"/>
              </w:rPr>
              <w:t>井场</w:t>
            </w:r>
          </w:p>
        </w:tc>
        <w:tc>
          <w:tcPr>
            <w:tcW w:w="9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8CCAE">
            <w:pPr>
              <w:pStyle w:val="100"/>
              <w:bidi w:val="0"/>
              <w:rPr>
                <w:rFonts w:hint="eastAsia"/>
              </w:rPr>
            </w:pPr>
            <w:r>
              <w:rPr>
                <w:rFonts w:hint="eastAsia"/>
                <w:lang w:val="en-US" w:eastAsia="zh-CN"/>
              </w:rPr>
              <w:t>巴里坤县三塘湖镇</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3359">
            <w:pPr>
              <w:pStyle w:val="100"/>
              <w:bidi w:val="0"/>
              <w:rPr>
                <w:rFonts w:hint="eastAsia"/>
              </w:rPr>
            </w:pPr>
            <w:r>
              <w:rPr>
                <w:rFonts w:hint="eastAsia"/>
                <w:lang w:val="en-US" w:eastAsia="zh-CN"/>
              </w:rPr>
              <w:t>临时用地</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5879">
            <w:pPr>
              <w:pStyle w:val="100"/>
              <w:bidi w:val="0"/>
              <w:rPr>
                <w:rFonts w:hint="eastAsia"/>
              </w:rPr>
            </w:pPr>
            <w:r>
              <w:rPr>
                <w:rFonts w:hint="eastAsia"/>
                <w:lang w:val="en-US" w:eastAsia="zh-CN"/>
              </w:rPr>
              <w:t>国有</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3CFA">
            <w:pPr>
              <w:pStyle w:val="100"/>
              <w:bidi w:val="0"/>
              <w:rPr>
                <w:rFonts w:hint="default"/>
              </w:rPr>
            </w:pPr>
            <w:r>
              <w:rPr>
                <w:rFonts w:hint="default"/>
                <w:lang w:val="en-US" w:eastAsia="zh-CN"/>
              </w:rPr>
              <w:t>1207</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FF966">
            <w:pPr>
              <w:pStyle w:val="100"/>
              <w:bidi w:val="0"/>
              <w:rPr>
                <w:rFonts w:hint="eastAsia"/>
              </w:rPr>
            </w:pPr>
            <w:r>
              <w:rPr>
                <w:rFonts w:hint="eastAsia"/>
                <w:lang w:val="en-US" w:eastAsia="zh-CN"/>
              </w:rPr>
              <w:t>裸岩石砾地</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B253">
            <w:pPr>
              <w:pStyle w:val="100"/>
              <w:bidi w:val="0"/>
              <w:rPr>
                <w:rFonts w:hint="default"/>
              </w:rPr>
            </w:pPr>
            <w:r>
              <w:rPr>
                <w:rFonts w:hint="default"/>
                <w:lang w:val="en-US" w:eastAsia="zh-CN"/>
              </w:rPr>
              <w:t xml:space="preserve">1.0211 </w:t>
            </w:r>
          </w:p>
        </w:tc>
      </w:tr>
      <w:tr w14:paraId="3C1FB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6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44CFE">
            <w:pPr>
              <w:pStyle w:val="100"/>
              <w:bidi w:val="0"/>
              <w:rPr>
                <w:rFonts w:hint="default"/>
              </w:rPr>
            </w:pPr>
            <w:r>
              <w:rPr>
                <w:lang w:val="en-US" w:eastAsia="zh-CN"/>
              </w:rPr>
              <w:t>马</w:t>
            </w:r>
            <w:r>
              <w:rPr>
                <w:rFonts w:hint="default"/>
                <w:lang w:val="en-US" w:eastAsia="zh-CN"/>
              </w:rPr>
              <w:t>T101H</w:t>
            </w:r>
            <w:r>
              <w:rPr>
                <w:lang w:val="en-US" w:eastAsia="zh-CN"/>
              </w:rPr>
              <w:t>井场</w:t>
            </w:r>
          </w:p>
        </w:tc>
        <w:tc>
          <w:tcPr>
            <w:tcW w:w="9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A5FC0">
            <w:pPr>
              <w:pStyle w:val="100"/>
              <w:bidi w:val="0"/>
              <w:rPr>
                <w:rFonts w:hint="eastAsia"/>
              </w:rPr>
            </w:pPr>
            <w:r>
              <w:rPr>
                <w:rFonts w:hint="eastAsia"/>
                <w:lang w:val="en-US" w:eastAsia="zh-CN"/>
              </w:rPr>
              <w:t>巴里坤县三塘湖镇</w:t>
            </w:r>
          </w:p>
        </w:tc>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52E2">
            <w:pPr>
              <w:pStyle w:val="100"/>
              <w:bidi w:val="0"/>
              <w:rPr>
                <w:rFonts w:hint="eastAsia"/>
              </w:rPr>
            </w:pPr>
            <w:r>
              <w:rPr>
                <w:rFonts w:hint="eastAsia"/>
                <w:lang w:val="en-US" w:eastAsia="zh-CN"/>
              </w:rPr>
              <w:t>临时用地</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37DA">
            <w:pPr>
              <w:pStyle w:val="100"/>
              <w:bidi w:val="0"/>
              <w:rPr>
                <w:rFonts w:hint="eastAsia"/>
              </w:rPr>
            </w:pPr>
            <w:r>
              <w:rPr>
                <w:rFonts w:hint="eastAsia"/>
                <w:lang w:val="en-US" w:eastAsia="zh-CN"/>
              </w:rPr>
              <w:t>国有</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2F8C">
            <w:pPr>
              <w:pStyle w:val="100"/>
              <w:bidi w:val="0"/>
              <w:rPr>
                <w:rFonts w:hint="default"/>
              </w:rPr>
            </w:pPr>
            <w:r>
              <w:rPr>
                <w:rFonts w:hint="default"/>
                <w:lang w:val="en-US" w:eastAsia="zh-CN"/>
              </w:rPr>
              <w:t>0601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BA9A">
            <w:pPr>
              <w:pStyle w:val="100"/>
              <w:bidi w:val="0"/>
              <w:rPr>
                <w:rFonts w:hint="eastAsia"/>
              </w:rPr>
            </w:pPr>
            <w:r>
              <w:rPr>
                <w:rFonts w:hint="eastAsia"/>
                <w:lang w:val="en-US" w:eastAsia="zh-CN"/>
              </w:rPr>
              <w:t>工业用地</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5D1F">
            <w:pPr>
              <w:pStyle w:val="100"/>
              <w:bidi w:val="0"/>
              <w:rPr>
                <w:rFonts w:hint="default"/>
              </w:rPr>
            </w:pPr>
            <w:r>
              <w:rPr>
                <w:rFonts w:hint="default"/>
                <w:lang w:val="en-US" w:eastAsia="zh-CN"/>
              </w:rPr>
              <w:t xml:space="preserve">0.0280 </w:t>
            </w:r>
          </w:p>
        </w:tc>
      </w:tr>
      <w:tr w14:paraId="22037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2CFF">
            <w:pPr>
              <w:pStyle w:val="100"/>
              <w:bidi w:val="0"/>
              <w:rPr>
                <w:rFonts w:hint="default"/>
              </w:rPr>
            </w:pPr>
          </w:p>
        </w:tc>
        <w:tc>
          <w:tcPr>
            <w:tcW w:w="9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3703">
            <w:pPr>
              <w:pStyle w:val="100"/>
              <w:bidi w:val="0"/>
              <w:rPr>
                <w:rFonts w:hint="eastAsia"/>
              </w:rPr>
            </w:pP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024E">
            <w:pPr>
              <w:pStyle w:val="100"/>
              <w:bidi w:val="0"/>
              <w:rPr>
                <w:rFonts w:hint="eastAsia"/>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B964">
            <w:pPr>
              <w:pStyle w:val="100"/>
              <w:bidi w:val="0"/>
              <w:rPr>
                <w:rFonts w:hint="eastAsia"/>
              </w:rPr>
            </w:pPr>
            <w:r>
              <w:rPr>
                <w:rFonts w:hint="eastAsia"/>
                <w:lang w:val="en-US" w:eastAsia="zh-CN"/>
              </w:rPr>
              <w:t>国有</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C76E">
            <w:pPr>
              <w:pStyle w:val="100"/>
              <w:bidi w:val="0"/>
              <w:rPr>
                <w:rFonts w:hint="default"/>
              </w:rPr>
            </w:pPr>
            <w:r>
              <w:rPr>
                <w:rFonts w:hint="default"/>
                <w:lang w:val="en-US" w:eastAsia="zh-CN"/>
              </w:rPr>
              <w:t>0602</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7037C">
            <w:pPr>
              <w:pStyle w:val="100"/>
              <w:bidi w:val="0"/>
              <w:rPr>
                <w:rFonts w:hint="eastAsia"/>
              </w:rPr>
            </w:pPr>
            <w:r>
              <w:rPr>
                <w:rFonts w:hint="eastAsia"/>
                <w:lang w:val="en-US" w:eastAsia="zh-CN"/>
              </w:rPr>
              <w:t>采矿用地</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AD089">
            <w:pPr>
              <w:pStyle w:val="100"/>
              <w:bidi w:val="0"/>
              <w:rPr>
                <w:rFonts w:hint="default"/>
              </w:rPr>
            </w:pPr>
            <w:r>
              <w:rPr>
                <w:rFonts w:hint="default"/>
                <w:lang w:val="en-US" w:eastAsia="zh-CN"/>
              </w:rPr>
              <w:t xml:space="preserve">0.0685 </w:t>
            </w:r>
          </w:p>
        </w:tc>
      </w:tr>
      <w:tr w14:paraId="2370C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027A">
            <w:pPr>
              <w:pStyle w:val="100"/>
              <w:bidi w:val="0"/>
              <w:rPr>
                <w:rFonts w:hint="default"/>
              </w:rPr>
            </w:pPr>
          </w:p>
        </w:tc>
        <w:tc>
          <w:tcPr>
            <w:tcW w:w="9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5EA9">
            <w:pPr>
              <w:pStyle w:val="100"/>
              <w:bidi w:val="0"/>
              <w:rPr>
                <w:rFonts w:hint="eastAsia"/>
              </w:rPr>
            </w:pP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A4A5">
            <w:pPr>
              <w:pStyle w:val="100"/>
              <w:bidi w:val="0"/>
              <w:rPr>
                <w:rFonts w:hint="eastAsia"/>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960D">
            <w:pPr>
              <w:pStyle w:val="100"/>
              <w:bidi w:val="0"/>
              <w:rPr>
                <w:rFonts w:hint="eastAsia"/>
              </w:rPr>
            </w:pPr>
            <w:r>
              <w:rPr>
                <w:rFonts w:hint="eastAsia"/>
                <w:lang w:val="en-US" w:eastAsia="zh-CN"/>
              </w:rPr>
              <w:t>国有</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411E">
            <w:pPr>
              <w:pStyle w:val="100"/>
              <w:bidi w:val="0"/>
              <w:rPr>
                <w:rFonts w:hint="default"/>
              </w:rPr>
            </w:pPr>
            <w:r>
              <w:rPr>
                <w:rFonts w:hint="default"/>
                <w:lang w:val="en-US" w:eastAsia="zh-CN"/>
              </w:rPr>
              <w:t>1207</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CB32">
            <w:pPr>
              <w:pStyle w:val="100"/>
              <w:bidi w:val="0"/>
              <w:rPr>
                <w:rFonts w:hint="eastAsia"/>
              </w:rPr>
            </w:pPr>
            <w:r>
              <w:rPr>
                <w:rFonts w:hint="eastAsia"/>
                <w:lang w:val="en-US" w:eastAsia="zh-CN"/>
              </w:rPr>
              <w:t>裸岩石砾地</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D95C">
            <w:pPr>
              <w:pStyle w:val="100"/>
              <w:bidi w:val="0"/>
              <w:rPr>
                <w:rFonts w:hint="default"/>
              </w:rPr>
            </w:pPr>
            <w:r>
              <w:rPr>
                <w:rFonts w:hint="default"/>
                <w:lang w:val="en-US" w:eastAsia="zh-CN"/>
              </w:rPr>
              <w:t xml:space="preserve">0.8472 </w:t>
            </w:r>
          </w:p>
        </w:tc>
      </w:tr>
      <w:tr w14:paraId="009D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20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78CB">
            <w:pPr>
              <w:pStyle w:val="100"/>
              <w:bidi w:val="0"/>
              <w:rPr>
                <w:rFonts w:hint="eastAsia"/>
              </w:rPr>
            </w:pPr>
            <w:r>
              <w:rPr>
                <w:rFonts w:hint="eastAsia"/>
                <w:lang w:val="en-US" w:eastAsia="zh-CN"/>
              </w:rPr>
              <w:t>小计</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F194">
            <w:pPr>
              <w:pStyle w:val="100"/>
              <w:bidi w:val="0"/>
              <w:rPr>
                <w:rFonts w:hint="default"/>
              </w:rPr>
            </w:pPr>
            <w:r>
              <w:rPr>
                <w:rFonts w:hint="default"/>
                <w:lang w:val="en-US" w:eastAsia="zh-CN"/>
              </w:rPr>
              <w:t xml:space="preserve">1.9648 </w:t>
            </w:r>
          </w:p>
        </w:tc>
      </w:tr>
    </w:tbl>
    <w:p w14:paraId="625C2B4A">
      <w:pPr>
        <w:keepNext/>
        <w:keepLines/>
        <w:tabs>
          <w:tab w:val="left" w:pos="5640"/>
        </w:tabs>
        <w:adjustRightInd w:val="0"/>
        <w:snapToGrid w:val="0"/>
        <w:spacing w:before="120" w:beforeLines="50" w:after="240" w:afterLines="100" w:line="500" w:lineRule="exact"/>
        <w:ind w:firstLine="561"/>
        <w:jc w:val="left"/>
        <w:outlineLvl w:val="2"/>
        <w:rPr>
          <w:rFonts w:ascii="Times New Roman" w:hAnsi="Times New Roman" w:eastAsia="黑体" w:cs="Times New Roman"/>
          <w:bCs/>
          <w:color w:val="auto"/>
          <w:sz w:val="28"/>
          <w:szCs w:val="28"/>
        </w:rPr>
      </w:pPr>
      <w:r>
        <w:rPr>
          <w:rFonts w:ascii="Times New Roman" w:hAnsi="Times New Roman" w:eastAsia="黑体" w:cs="Times New Roman"/>
          <w:bCs/>
          <w:color w:val="auto"/>
          <w:sz w:val="28"/>
          <w:szCs w:val="28"/>
        </w:rPr>
        <w:t>3.4.</w:t>
      </w:r>
      <w:r>
        <w:rPr>
          <w:rFonts w:hint="eastAsia" w:ascii="Times New Roman" w:hAnsi="Times New Roman" w:eastAsia="黑体" w:cs="Times New Roman"/>
          <w:bCs/>
          <w:color w:val="auto"/>
          <w:sz w:val="28"/>
          <w:szCs w:val="28"/>
        </w:rPr>
        <w:t>2 项目区土壤质量状况</w:t>
      </w:r>
    </w:p>
    <w:p w14:paraId="5CF75FB2">
      <w:pPr>
        <w:bidi w:val="0"/>
        <w:rPr>
          <w:rFonts w:ascii="Times New Roman" w:hAnsi="Times New Roman" w:eastAsia="仿宋_GB2312" w:cs="Times New Roman"/>
          <w:color w:val="000000"/>
        </w:rPr>
      </w:pPr>
      <w:r>
        <w:rPr>
          <w:rFonts w:hint="eastAsia"/>
        </w:rPr>
        <w:t>项目区域内土壤类型主要为灰棕漠土，其土壤类型理化性质具体如下：灰棕漠土砾石含量多，占土重的20%~</w:t>
      </w:r>
      <w:r>
        <w:rPr>
          <w:rFonts w:hint="eastAsia"/>
          <w:lang w:val="en-US" w:eastAsia="zh-CN"/>
        </w:rPr>
        <w:t>5</w:t>
      </w:r>
      <w:r>
        <w:rPr>
          <w:rFonts w:hint="eastAsia"/>
        </w:rPr>
        <w:t>0%不等。地表</w:t>
      </w:r>
      <w:r>
        <w:rPr>
          <w:rFonts w:hint="eastAsia"/>
          <w:lang w:val="en-US" w:eastAsia="zh-CN"/>
        </w:rPr>
        <w:t>有植被</w:t>
      </w:r>
      <w:r>
        <w:rPr>
          <w:rFonts w:hint="eastAsia"/>
        </w:rPr>
        <w:t>。土壤中碳酸钙含量较高，约为45-200g/kg不等。土壤呈碱性反应，pH为</w:t>
      </w:r>
      <w:r>
        <w:rPr>
          <w:rFonts w:hint="eastAsia"/>
          <w:lang w:val="en-US" w:eastAsia="zh-CN"/>
        </w:rPr>
        <w:t>7.50-</w:t>
      </w:r>
      <w:r>
        <w:rPr>
          <w:rFonts w:hint="eastAsia"/>
        </w:rPr>
        <w:t>8.</w:t>
      </w:r>
      <w:r>
        <w:rPr>
          <w:rFonts w:hint="eastAsia"/>
          <w:lang w:val="en-US" w:eastAsia="zh-CN"/>
        </w:rPr>
        <w:t>5</w:t>
      </w:r>
      <w:r>
        <w:rPr>
          <w:rFonts w:hint="eastAsia"/>
        </w:rPr>
        <w:t>左右，土壤有机质含量≥0.6%，全磷含量平均为0.5g/kg，全钾含量在20g/kg。速效养分含量一般。具体如下：砾幕层厚2-3cm，由砾径1-3cm的砾石镶嵌所覆盖，其隙间被小砾石和沙砾充填。砾石表面光洁，多呈黑褐色。表土层厚度3-</w:t>
      </w:r>
      <w:r>
        <w:rPr>
          <w:rFonts w:hint="eastAsia"/>
          <w:lang w:val="en-US" w:eastAsia="zh-CN"/>
        </w:rPr>
        <w:t>3</w:t>
      </w:r>
      <w:r>
        <w:rPr>
          <w:rFonts w:hint="eastAsia"/>
        </w:rPr>
        <w:t>0cm，质地砾质性强，结构性差，根系少，疏松多孔。母质层，为风化或半风化的母质层，厚度变幅较大，10-30cm不等，夹有大量岩屑体</w:t>
      </w:r>
      <w:r>
        <w:t>。</w:t>
      </w:r>
    </w:p>
    <w:p w14:paraId="5C8C2511">
      <w:pPr>
        <w:keepNext/>
        <w:keepLines/>
        <w:tabs>
          <w:tab w:val="left" w:pos="5640"/>
        </w:tabs>
        <w:adjustRightInd w:val="0"/>
        <w:snapToGrid w:val="0"/>
        <w:spacing w:before="120" w:beforeLines="50" w:after="240" w:afterLines="100" w:line="500" w:lineRule="exact"/>
        <w:ind w:firstLine="561"/>
        <w:jc w:val="left"/>
        <w:outlineLvl w:val="2"/>
        <w:rPr>
          <w:rFonts w:ascii="Times New Roman" w:hAnsi="Times New Roman" w:eastAsia="黑体" w:cs="Times New Roman"/>
          <w:bCs/>
          <w:color w:val="000000"/>
          <w:sz w:val="28"/>
          <w:szCs w:val="28"/>
        </w:rPr>
      </w:pPr>
      <w:r>
        <w:rPr>
          <w:rFonts w:hint="eastAsia" w:ascii="Times New Roman" w:hAnsi="Times New Roman" w:eastAsia="黑体" w:cs="Times New Roman"/>
          <w:bCs/>
          <w:color w:val="000000"/>
          <w:sz w:val="28"/>
          <w:szCs w:val="28"/>
        </w:rPr>
        <w:t>3.4.3 项目区土地权属情况</w:t>
      </w:r>
    </w:p>
    <w:p w14:paraId="56C859EE">
      <w:pPr>
        <w:tabs>
          <w:tab w:val="left" w:pos="5640"/>
        </w:tabs>
        <w:adjustRightInd w:val="0"/>
        <w:snapToGrid w:val="0"/>
        <w:spacing w:line="360" w:lineRule="auto"/>
        <w:ind w:firstLine="480" w:firstLineChars="200"/>
        <w:jc w:val="left"/>
        <w:rPr>
          <w:rFonts w:hint="eastAsia" w:ascii="Times New Roman" w:hAnsi="Times New Roman" w:eastAsia="仿宋_GB2312" w:cs="Times New Roman"/>
          <w:color w:val="000000"/>
          <w:sz w:val="24"/>
          <w:lang w:val="en-US" w:eastAsia="zh-CN"/>
        </w:rPr>
      </w:pPr>
      <w:r>
        <w:rPr>
          <w:rFonts w:hint="eastAsia" w:ascii="Times New Roman" w:hAnsi="Times New Roman" w:eastAsia="仿宋_GB2312" w:cs="Times New Roman"/>
          <w:color w:val="000000"/>
          <w:sz w:val="24"/>
        </w:rPr>
        <w:t>本项目用地面积</w:t>
      </w:r>
      <w:r>
        <w:rPr>
          <w:rFonts w:hint="eastAsia" w:cs="Times New Roman"/>
          <w:color w:val="000000"/>
          <w:sz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rPr>
        <w:t>，均为国有土地，本项目采取签订临时使用土地方式，按照合同约定支付临时使用土地补偿费，临时用地使用期满后，由项目建设单位进行复垦并交回原土地权利人。本项目不涉及移民搬迁安置，无移民安置和专项设施改建面积。</w:t>
      </w:r>
    </w:p>
    <w:p w14:paraId="026D1609">
      <w:pPr>
        <w:tabs>
          <w:tab w:val="left" w:pos="1956"/>
        </w:tabs>
        <w:spacing w:line="360" w:lineRule="auto"/>
        <w:rPr>
          <w:rFonts w:ascii="Times New Roman" w:hAnsi="Times New Roman" w:eastAsia="黑体" w:cs="Times New Roman"/>
          <w:color w:val="000000"/>
          <w:szCs w:val="21"/>
        </w:rPr>
        <w:sectPr>
          <w:pgSz w:w="11906" w:h="16838"/>
          <w:pgMar w:top="1418" w:right="1418" w:bottom="1701" w:left="1418" w:header="720" w:footer="720" w:gutter="0"/>
          <w:pgNumType w:fmt="decimal"/>
          <w:cols w:space="720" w:num="1"/>
          <w:docGrid w:linePitch="326" w:charSpace="0"/>
        </w:sectPr>
      </w:pPr>
      <w:bookmarkStart w:id="68" w:name="_Toc402958193"/>
      <w:bookmarkStart w:id="69" w:name="_Toc384129331"/>
      <w:r>
        <w:rPr>
          <w:rFonts w:ascii="Times New Roman" w:hAnsi="Times New Roman" w:eastAsia="黑体" w:cs="Times New Roman"/>
          <w:color w:val="000000"/>
          <w:szCs w:val="21"/>
        </w:rPr>
        <w:tab/>
      </w:r>
    </w:p>
    <w:p w14:paraId="1D30D124">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70" w:name="_Toc27861"/>
      <w:r>
        <w:rPr>
          <w:rFonts w:ascii="Times New Roman" w:hAnsi="Times New Roman" w:eastAsia="黑体" w:cs="Times New Roman"/>
          <w:color w:val="000000"/>
          <w:sz w:val="32"/>
          <w:szCs w:val="32"/>
        </w:rPr>
        <w:t>4 土地复垦方向及可行性分析</w:t>
      </w:r>
      <w:bookmarkEnd w:id="68"/>
      <w:bookmarkEnd w:id="70"/>
    </w:p>
    <w:p w14:paraId="5256A654">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71" w:name="_Toc384129332"/>
      <w:bookmarkStart w:id="72" w:name="_Toc26824"/>
      <w:bookmarkStart w:id="73" w:name="_Toc402958194"/>
      <w:r>
        <w:rPr>
          <w:rFonts w:ascii="Times New Roman" w:hAnsi="Times New Roman" w:eastAsia="黑体" w:cs="Times New Roman"/>
          <w:bCs/>
          <w:color w:val="000000"/>
          <w:kern w:val="0"/>
          <w:sz w:val="30"/>
          <w:szCs w:val="30"/>
        </w:rPr>
        <w:t>4.1 土地损毁分析与</w:t>
      </w:r>
      <w:bookmarkEnd w:id="71"/>
      <w:r>
        <w:rPr>
          <w:rFonts w:ascii="Times New Roman" w:hAnsi="Times New Roman" w:eastAsia="黑体" w:cs="Times New Roman"/>
          <w:bCs/>
          <w:color w:val="000000"/>
          <w:kern w:val="0"/>
          <w:sz w:val="30"/>
          <w:szCs w:val="30"/>
        </w:rPr>
        <w:t>预测</w:t>
      </w:r>
      <w:bookmarkEnd w:id="72"/>
      <w:bookmarkEnd w:id="73"/>
    </w:p>
    <w:p w14:paraId="32071296">
      <w:pPr>
        <w:ind w:firstLine="480"/>
        <w:rPr>
          <w:color w:val="auto"/>
        </w:rPr>
      </w:pPr>
      <w:bookmarkStart w:id="74" w:name="_Toc384127029"/>
      <w:r>
        <w:rPr>
          <w:color w:val="auto"/>
        </w:rPr>
        <w:t>在土地损毁分析过程中，项目的生产建设工艺流程是分析和明确土地损毁环节和形式的主要依据。本项目属于新建能源类项目（石油、天然气），该类项目建设一般包括钻井、</w:t>
      </w:r>
      <w:r>
        <w:rPr>
          <w:rFonts w:hint="eastAsia"/>
          <w:color w:val="auto"/>
        </w:rPr>
        <w:t>井场</w:t>
      </w:r>
      <w:r>
        <w:rPr>
          <w:color w:val="auto"/>
        </w:rPr>
        <w:t>道路等基础设施的建设和生活营地以及其它配套工程建设。本方案在土地损毁环节与时序分析过程中，针对本项目的主要施工工艺及流程进行具体说明。</w:t>
      </w:r>
    </w:p>
    <w:p w14:paraId="27A912A2">
      <w:pPr>
        <w:ind w:firstLine="480"/>
        <w:rPr>
          <w:color w:val="auto"/>
        </w:rPr>
      </w:pPr>
      <w:r>
        <w:rPr>
          <w:color w:val="auto"/>
        </w:rPr>
        <w:t>油田开发工程是一项从地下到地面的系统工程，它包括钻井准备、钻井、固井、完井、测井、井下作业、采油、油气集输及辅助配套工程。油田开发采用边开发、边建设、边投产的滚动开发方式。</w:t>
      </w:r>
    </w:p>
    <w:p w14:paraId="0B4A41FF">
      <w:pPr>
        <w:spacing w:line="240" w:lineRule="auto"/>
        <w:ind w:firstLine="0" w:firstLineChars="0"/>
        <w:jc w:val="center"/>
        <w:rPr>
          <w:rFonts w:eastAsia="宋体"/>
          <w:color w:val="auto"/>
          <w:sz w:val="21"/>
        </w:rPr>
      </w:pPr>
      <w:r>
        <w:rPr>
          <w:rFonts w:eastAsia="宋体"/>
          <w:color w:val="auto"/>
          <w:sz w:val="21"/>
        </w:rPr>
        <w:drawing>
          <wp:inline distT="0" distB="0" distL="114300" distR="114300">
            <wp:extent cx="2807970" cy="2087880"/>
            <wp:effectExtent l="9525" t="9525" r="17145" b="20955"/>
            <wp:docPr id="1" name="图片 1" descr="照片 173"/>
            <wp:cNvGraphicFramePr/>
            <a:graphic xmlns:a="http://schemas.openxmlformats.org/drawingml/2006/main">
              <a:graphicData uri="http://schemas.openxmlformats.org/drawingml/2006/picture">
                <pic:pic xmlns:pic="http://schemas.openxmlformats.org/drawingml/2006/picture">
                  <pic:nvPicPr>
                    <pic:cNvPr id="1" name="图片 1" descr="照片 173"/>
                    <pic:cNvPicPr preferRelativeResize="0"/>
                  </pic:nvPicPr>
                  <pic:blipFill>
                    <a:blip r:embed="rId27"/>
                    <a:stretch>
                      <a:fillRect/>
                    </a:stretch>
                  </pic:blipFill>
                  <pic:spPr>
                    <a:xfrm>
                      <a:off x="0" y="0"/>
                      <a:ext cx="2807970" cy="20878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eastAsia="宋体"/>
          <w:color w:val="auto"/>
          <w:sz w:val="21"/>
        </w:rPr>
        <w:t xml:space="preserve"> </w:t>
      </w:r>
      <w:r>
        <w:rPr>
          <w:rFonts w:eastAsia="宋体"/>
          <w:color w:val="auto"/>
          <w:sz w:val="21"/>
        </w:rPr>
        <w:drawing>
          <wp:inline distT="0" distB="0" distL="114300" distR="114300">
            <wp:extent cx="2807970" cy="2087880"/>
            <wp:effectExtent l="9525" t="9525" r="17145" b="20955"/>
            <wp:docPr id="4" name="图片 2" descr="IMG_0138"/>
            <wp:cNvGraphicFramePr/>
            <a:graphic xmlns:a="http://schemas.openxmlformats.org/drawingml/2006/main">
              <a:graphicData uri="http://schemas.openxmlformats.org/drawingml/2006/picture">
                <pic:pic xmlns:pic="http://schemas.openxmlformats.org/drawingml/2006/picture">
                  <pic:nvPicPr>
                    <pic:cNvPr id="4" name="图片 2" descr="IMG_0138"/>
                    <pic:cNvPicPr preferRelativeResize="0"/>
                  </pic:nvPicPr>
                  <pic:blipFill>
                    <a:blip r:embed="rId28"/>
                    <a:stretch>
                      <a:fillRect/>
                    </a:stretch>
                  </pic:blipFill>
                  <pic:spPr>
                    <a:xfrm>
                      <a:off x="0" y="0"/>
                      <a:ext cx="2807970" cy="20878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938DA54">
      <w:pPr>
        <w:spacing w:line="240" w:lineRule="auto"/>
        <w:ind w:firstLine="0" w:firstLineChars="0"/>
        <w:jc w:val="center"/>
        <w:textAlignment w:val="center"/>
        <w:rPr>
          <w:rFonts w:hint="eastAsia" w:eastAsia="黑体"/>
          <w:color w:val="auto"/>
        </w:rPr>
      </w:pPr>
      <w:r>
        <w:rPr>
          <w:rFonts w:eastAsia="黑体"/>
          <w:color w:val="auto"/>
          <w:sz w:val="21"/>
          <w:szCs w:val="21"/>
        </w:rPr>
        <w:t>图4.1-1</w:t>
      </w:r>
      <w:r>
        <w:rPr>
          <w:rFonts w:hint="eastAsia" w:eastAsia="黑体"/>
          <w:color w:val="auto"/>
          <w:sz w:val="21"/>
          <w:szCs w:val="21"/>
        </w:rPr>
        <w:t xml:space="preserve"> </w:t>
      </w:r>
      <w:r>
        <w:rPr>
          <w:rFonts w:eastAsia="黑体"/>
          <w:color w:val="auto"/>
          <w:sz w:val="21"/>
          <w:szCs w:val="21"/>
        </w:rPr>
        <w:t>钻井</w:t>
      </w:r>
      <w:r>
        <w:rPr>
          <w:rFonts w:hint="eastAsia" w:eastAsia="黑体"/>
          <w:color w:val="auto"/>
          <w:sz w:val="21"/>
          <w:szCs w:val="21"/>
        </w:rPr>
        <w:t>（周边项目参考图）</w:t>
      </w:r>
    </w:p>
    <w:p w14:paraId="29F3305B">
      <w:pPr>
        <w:ind w:firstLine="0" w:firstLineChars="0"/>
        <w:jc w:val="center"/>
        <w:rPr>
          <w:rFonts w:eastAsia="宋体"/>
          <w:color w:val="auto"/>
          <w:sz w:val="21"/>
        </w:rPr>
      </w:pPr>
      <w:r>
        <w:rPr>
          <w:rFonts w:eastAsia="宋体"/>
          <w:color w:val="auto"/>
          <w:sz w:val="21"/>
        </w:rPr>
        <w:drawing>
          <wp:inline distT="0" distB="0" distL="114300" distR="114300">
            <wp:extent cx="3462655" cy="2239010"/>
            <wp:effectExtent l="0" t="0" r="12065" b="1270"/>
            <wp:docPr id="5"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2"/>
                    <pic:cNvPicPr>
                      <a:picLocks noChangeAspect="1"/>
                    </pic:cNvPicPr>
                  </pic:nvPicPr>
                  <pic:blipFill>
                    <a:blip r:embed="rId29"/>
                    <a:stretch>
                      <a:fillRect/>
                    </a:stretch>
                  </pic:blipFill>
                  <pic:spPr>
                    <a:xfrm>
                      <a:off x="0" y="0"/>
                      <a:ext cx="3462655" cy="2239010"/>
                    </a:xfrm>
                    <a:prstGeom prst="rect">
                      <a:avLst/>
                    </a:prstGeom>
                    <a:noFill/>
                    <a:ln>
                      <a:noFill/>
                    </a:ln>
                  </pic:spPr>
                </pic:pic>
              </a:graphicData>
            </a:graphic>
          </wp:inline>
        </w:drawing>
      </w:r>
    </w:p>
    <w:p w14:paraId="37CABCCD">
      <w:pPr>
        <w:spacing w:line="240" w:lineRule="auto"/>
        <w:ind w:firstLine="0" w:firstLineChars="0"/>
        <w:jc w:val="center"/>
        <w:textAlignment w:val="center"/>
        <w:rPr>
          <w:rFonts w:eastAsia="黑体"/>
          <w:color w:val="auto"/>
          <w:sz w:val="21"/>
          <w:szCs w:val="21"/>
        </w:rPr>
      </w:pPr>
      <w:r>
        <w:rPr>
          <w:rFonts w:eastAsia="黑体"/>
          <w:color w:val="auto"/>
          <w:sz w:val="21"/>
          <w:szCs w:val="21"/>
        </w:rPr>
        <w:t>图4.1-2</w:t>
      </w:r>
      <w:r>
        <w:rPr>
          <w:rFonts w:hint="eastAsia" w:eastAsia="黑体"/>
          <w:color w:val="auto"/>
          <w:sz w:val="21"/>
          <w:szCs w:val="21"/>
        </w:rPr>
        <w:t xml:space="preserve"> </w:t>
      </w:r>
      <w:r>
        <w:rPr>
          <w:rFonts w:eastAsia="黑体"/>
          <w:color w:val="auto"/>
          <w:sz w:val="21"/>
          <w:szCs w:val="21"/>
        </w:rPr>
        <w:t>钻井过程示意图</w:t>
      </w:r>
    </w:p>
    <w:p w14:paraId="316FF294">
      <w:pPr>
        <w:ind w:firstLine="480"/>
        <w:rPr>
          <w:color w:val="auto"/>
        </w:rPr>
      </w:pPr>
    </w:p>
    <w:p w14:paraId="30987A34">
      <w:pPr>
        <w:ind w:firstLine="480"/>
        <w:rPr>
          <w:color w:val="auto"/>
        </w:rPr>
      </w:pPr>
      <w:r>
        <w:rPr>
          <w:color w:val="auto"/>
        </w:rPr>
        <w:t>a）钻井施工</w:t>
      </w:r>
    </w:p>
    <w:p w14:paraId="0FBBFA78">
      <w:pPr>
        <w:ind w:firstLine="480"/>
        <w:textAlignment w:val="center"/>
        <w:rPr>
          <w:color w:val="auto"/>
        </w:rPr>
      </w:pPr>
      <w:r>
        <w:rPr>
          <w:color w:val="auto"/>
        </w:rPr>
        <w:t>钻井是指利用专门设备、建立地面与地下油井通道的工程，以便于将地下的油气沿着输送油管道采集到地面，加以利用。钻井是勘探与开采石油及天然气资源的一个重要环节，是勘探和开发石油的重要手段。石油钻井是利用钻井装置和工具以及特殊的工艺技术，钻穿几百米到数千米地层岩石，使地层流体与地面形成通道，钻井的工艺过程主要包括钻前工程、钻进工程和完井工程三部分。</w:t>
      </w:r>
    </w:p>
    <w:p w14:paraId="7347F99E">
      <w:pPr>
        <w:ind w:firstLine="480"/>
        <w:rPr>
          <w:color w:val="auto"/>
        </w:rPr>
      </w:pPr>
      <w:r>
        <w:rPr>
          <w:rFonts w:hint="eastAsia"/>
          <w:color w:val="auto"/>
        </w:rPr>
        <w:t>第一部分：</w:t>
      </w:r>
      <w:r>
        <w:rPr>
          <w:color w:val="auto"/>
        </w:rPr>
        <w:t>钻前工程是钻进工程前的准备工作，包括修井场生产区和道路；修建设备基础；安装井架和钻机设备；架设电路和通讯设施等。</w:t>
      </w:r>
    </w:p>
    <w:p w14:paraId="260CA3A8">
      <w:pPr>
        <w:ind w:firstLine="480"/>
        <w:rPr>
          <w:color w:val="auto"/>
        </w:rPr>
      </w:pPr>
      <w:r>
        <w:rPr>
          <w:rFonts w:hint="eastAsia"/>
          <w:color w:val="auto"/>
        </w:rPr>
        <w:t>第二部分：</w:t>
      </w:r>
      <w:r>
        <w:rPr>
          <w:color w:val="auto"/>
        </w:rPr>
        <w:t>钻进工程是钻井施工的最重要程序，包括从开钻到完钻的全过程。钻进工程要按照设计组合钻具、选择钻头、配置泥浆，确保安全、快速、优质钻进。</w:t>
      </w:r>
    </w:p>
    <w:p w14:paraId="041F4094">
      <w:pPr>
        <w:ind w:firstLine="480"/>
        <w:rPr>
          <w:color w:val="auto"/>
        </w:rPr>
      </w:pPr>
      <w:r>
        <w:rPr>
          <w:rFonts w:hint="eastAsia"/>
          <w:color w:val="auto"/>
        </w:rPr>
        <w:t>第三部分：</w:t>
      </w:r>
      <w:r>
        <w:rPr>
          <w:color w:val="auto"/>
        </w:rPr>
        <w:t>完井工程是钻达目的层井深之后，对井眼作完成处理的工程。包括电测、井壁取芯、下套管、注水泥、监测固井质量等作业。</w:t>
      </w:r>
    </w:p>
    <w:p w14:paraId="603664C2">
      <w:pPr>
        <w:ind w:firstLine="480"/>
        <w:rPr>
          <w:color w:val="auto"/>
        </w:rPr>
      </w:pPr>
      <w:r>
        <w:rPr>
          <w:rFonts w:hint="eastAsia" w:ascii="宋体" w:hAnsi="宋体" w:eastAsia="宋体" w:cs="宋体"/>
          <w:color w:val="auto"/>
        </w:rPr>
        <w:t>1）</w:t>
      </w:r>
      <w:r>
        <w:rPr>
          <w:color w:val="auto"/>
        </w:rPr>
        <w:t>钻井准备</w:t>
      </w:r>
    </w:p>
    <w:p w14:paraId="0296459A">
      <w:pPr>
        <w:ind w:firstLine="480"/>
        <w:textAlignment w:val="center"/>
        <w:rPr>
          <w:color w:val="auto"/>
        </w:rPr>
      </w:pPr>
      <w:r>
        <w:rPr>
          <w:color w:val="auto"/>
        </w:rPr>
        <w:t>钻井是确认地下含油构造、油气储量以及进行采油生产的手段，一般包括钻前准备、钻进、录井（取芯）、测井、固井以及井口安装等工程活动。</w:t>
      </w:r>
    </w:p>
    <w:p w14:paraId="4D1D708C">
      <w:pPr>
        <w:ind w:firstLine="480"/>
        <w:textAlignment w:val="center"/>
        <w:rPr>
          <w:color w:val="auto"/>
        </w:rPr>
      </w:pPr>
      <w:r>
        <w:rPr>
          <w:color w:val="auto"/>
        </w:rPr>
        <w:t>本工程井场井身结构设计是依据开发井的《钻井地质设计》和实钻资料确定的，有严格的安全与环境保护措施，严格执行《吐哈油田钻</w:t>
      </w:r>
      <w:r>
        <w:rPr>
          <w:rFonts w:hint="eastAsia"/>
          <w:color w:val="auto"/>
        </w:rPr>
        <w:t>井</w:t>
      </w:r>
      <w:r>
        <w:rPr>
          <w:color w:val="auto"/>
        </w:rPr>
        <w:t>控实施细则》。根据钻井工程项目设计，钻前准备主要是钻机搬安（整体/拆散搬安）、井口准备是指钻机安装到位后在井口旁边钻一定斜度的大鼠洞和小鼠洞，开钻时大尺寸钻头清水作为钻井液，地表地层很软容易坍塌，故采用快速钻进强行通过，迅速下入套管封隔地层，清水从井口返出</w:t>
      </w:r>
      <w:r>
        <w:rPr>
          <w:rFonts w:hint="eastAsia"/>
          <w:color w:val="auto"/>
          <w:lang w:eastAsia="zh-CN"/>
        </w:rPr>
        <w:t>，</w:t>
      </w:r>
      <w:r>
        <w:rPr>
          <w:rFonts w:hint="eastAsia"/>
          <w:color w:val="auto"/>
          <w:lang w:val="en-US" w:eastAsia="zh-CN"/>
        </w:rPr>
        <w:t>一</w:t>
      </w:r>
      <w:r>
        <w:rPr>
          <w:rFonts w:hint="eastAsia"/>
          <w:color w:val="auto"/>
        </w:rPr>
        <w:t>开钻井液采固液分离</w:t>
      </w:r>
      <w:r>
        <w:rPr>
          <w:rFonts w:hint="eastAsia"/>
          <w:color w:val="auto"/>
          <w:lang w:val="en-US" w:eastAsia="zh-CN"/>
        </w:rPr>
        <w:t>后</w:t>
      </w:r>
      <w:r>
        <w:rPr>
          <w:rFonts w:hint="eastAsia"/>
          <w:color w:val="auto"/>
        </w:rPr>
        <w:t>，液相循环利用，固相按环评批复要求综合利用</w:t>
      </w:r>
      <w:r>
        <w:rPr>
          <w:color w:val="auto"/>
        </w:rPr>
        <w:t>。</w:t>
      </w:r>
    </w:p>
    <w:p w14:paraId="177919CA">
      <w:pPr>
        <w:ind w:firstLine="480"/>
        <w:rPr>
          <w:color w:val="auto"/>
        </w:rPr>
      </w:pPr>
      <w:r>
        <w:rPr>
          <w:rFonts w:hint="eastAsia" w:ascii="宋体" w:hAnsi="宋体" w:eastAsia="宋体" w:cs="宋体"/>
          <w:color w:val="auto"/>
        </w:rPr>
        <w:t>2）</w:t>
      </w:r>
      <w:r>
        <w:rPr>
          <w:color w:val="auto"/>
        </w:rPr>
        <w:t>钻进</w:t>
      </w:r>
    </w:p>
    <w:p w14:paraId="64818950">
      <w:pPr>
        <w:ind w:firstLine="480"/>
        <w:textAlignment w:val="center"/>
        <w:rPr>
          <w:color w:val="auto"/>
        </w:rPr>
      </w:pPr>
      <w:r>
        <w:rPr>
          <w:color w:val="auto"/>
        </w:rPr>
        <w:t>钻进是以一定压力作用在钻头上，并带动钻头旋转使之破碎地层岩石，井底岩石被破碎后所产生的岩屑通过循环钻井液被携带到地面上来。钻井过程中，井眼不断加深，所形成井眼的井壁应当稳定，不断发生复杂情况以保证继续钻进。</w:t>
      </w:r>
    </w:p>
    <w:p w14:paraId="3B8759FE">
      <w:pPr>
        <w:ind w:firstLine="480"/>
        <w:textAlignment w:val="center"/>
        <w:rPr>
          <w:color w:val="auto"/>
        </w:rPr>
      </w:pPr>
      <w:r>
        <w:rPr>
          <w:color w:val="auto"/>
        </w:rPr>
        <w:t>钻进包括下钻（拆卸或连接钻柱，三根组成一个立柱，暂时存放在钻杆盒内，下钻时直接从井架上拉出来节省时间）、接单根、钻进等作业组成。在钻进中要钻穿各种地层，而各地层的特点不同，其岩石强度有高有低，有的地层含高压水、油、气等流体，有的含有盐、石膏、芒硝等成分，这些对钻井液都有不良影响。强度低的地层会发生坍塌，或被密度大的钻井液压裂等复杂情况，妨碍继续钻进，这需要下入套管并注入水泥予以封固。然后用较小的钻头继续钻出新的井段。每改变一次钻头尺寸（井眼尺寸），开始钻新的井段的工艺叫开钻。一般情况下，一口井的钻进过程中应有几次开钻，井深和地层情况不同，则开钻次数也不同。</w:t>
      </w:r>
    </w:p>
    <w:p w14:paraId="38850CFA">
      <w:pPr>
        <w:ind w:firstLine="480"/>
        <w:textAlignment w:val="center"/>
        <w:rPr>
          <w:color w:val="auto"/>
        </w:rPr>
      </w:pPr>
      <w:r>
        <w:rPr>
          <w:color w:val="auto"/>
        </w:rPr>
        <w:t>第一次开钻（一开）：从地面钻出较大井眼，到一定设计深度后下表层套管。</w:t>
      </w:r>
    </w:p>
    <w:p w14:paraId="3F3B3AE1">
      <w:pPr>
        <w:ind w:firstLine="480"/>
        <w:textAlignment w:val="center"/>
        <w:rPr>
          <w:color w:val="auto"/>
        </w:rPr>
      </w:pPr>
      <w:r>
        <w:rPr>
          <w:color w:val="auto"/>
        </w:rPr>
        <w:t>第二次开钻（二开）：从表层套管内用较小一些的钻头继续钻进，若地层不复杂，则可直接钻到目的层后下油层套管完井。如果地层复杂，很难用钻井液控制时，则要下入技术套管。</w:t>
      </w:r>
    </w:p>
    <w:p w14:paraId="7EB7F465">
      <w:pPr>
        <w:ind w:firstLine="480"/>
        <w:rPr>
          <w:color w:val="auto"/>
        </w:rPr>
      </w:pPr>
      <w:r>
        <w:rPr>
          <w:rFonts w:hint="eastAsia" w:ascii="宋体" w:hAnsi="宋体" w:eastAsia="宋体" w:cs="宋体"/>
          <w:color w:val="auto"/>
        </w:rPr>
        <w:t>3）</w:t>
      </w:r>
      <w:r>
        <w:rPr>
          <w:color w:val="auto"/>
        </w:rPr>
        <w:t>固井</w:t>
      </w:r>
    </w:p>
    <w:p w14:paraId="66176613">
      <w:pPr>
        <w:ind w:firstLine="480"/>
        <w:rPr>
          <w:color w:val="auto"/>
        </w:rPr>
      </w:pPr>
      <w:r>
        <w:rPr>
          <w:color w:val="auto"/>
        </w:rPr>
        <w:t>固井工程包括包括下套管和注水泥两个生产过程，即在已经钻成的井眼内下入套管柱，并在套管与井壁之间的环形空间内注入水泥浆。水泥浆套管柱与井壁岩石牢固地固结在一起，可以将油气水层及复杂层位封固起来以利于进一步地钻进或开采。通常的注水泥方法是：用水泥车把按计算混合好的水泥浆经地面管汇注入套管内，再注入一定数量的顶替液（一般用泥浆），把水泥浆替到套管外的环形空间。依封固井段的长度和施工要求,可一次注入或分级注入，为保证封固质量，套管柱的下部应装有一定数量的套管扶正器。</w:t>
      </w:r>
    </w:p>
    <w:p w14:paraId="7FFA22DB">
      <w:pPr>
        <w:ind w:firstLine="480"/>
        <w:rPr>
          <w:color w:val="auto"/>
        </w:rPr>
      </w:pPr>
      <w:r>
        <w:rPr>
          <w:rFonts w:hint="eastAsia" w:ascii="宋体" w:hAnsi="宋体" w:eastAsia="宋体" w:cs="宋体"/>
          <w:color w:val="auto"/>
        </w:rPr>
        <w:t>4）</w:t>
      </w:r>
      <w:r>
        <w:rPr>
          <w:color w:val="auto"/>
        </w:rPr>
        <w:t>完井</w:t>
      </w:r>
    </w:p>
    <w:p w14:paraId="5EE051C6">
      <w:pPr>
        <w:ind w:firstLine="480"/>
        <w:rPr>
          <w:color w:val="auto"/>
        </w:rPr>
      </w:pPr>
      <w:r>
        <w:rPr>
          <w:color w:val="auto"/>
        </w:rPr>
        <w:t>完井是钻井的最后一个重要环节，又是采油工程的开端，具体指裸眼井钻达设计井深后，使井底和油层以一定结构连通起来的工艺。根据地层的不同性质，确定完井的方法，使油气与井底连通，安装井底与井口装置。作业过程包括射孔（最后一次固井后）、下油管（试油、酸化压裂），装采油树（悬挂采油注并密封油管与套管间的环形空间）等作业。</w:t>
      </w:r>
    </w:p>
    <w:p w14:paraId="005B82F8">
      <w:pPr>
        <w:ind w:firstLine="480"/>
        <w:rPr>
          <w:color w:val="auto"/>
        </w:rPr>
      </w:pPr>
      <w:r>
        <w:rPr>
          <w:rFonts w:hint="eastAsia" w:ascii="宋体" w:hAnsi="宋体" w:eastAsia="宋体" w:cs="宋体"/>
          <w:color w:val="auto"/>
        </w:rPr>
        <w:t>5）</w:t>
      </w:r>
      <w:r>
        <w:rPr>
          <w:color w:val="auto"/>
        </w:rPr>
        <w:t>测井</w:t>
      </w:r>
    </w:p>
    <w:p w14:paraId="3A6148C6">
      <w:pPr>
        <w:ind w:firstLine="480"/>
        <w:rPr>
          <w:color w:val="auto"/>
        </w:rPr>
      </w:pPr>
      <w:r>
        <w:rPr>
          <w:color w:val="auto"/>
        </w:rPr>
        <w:t>测井是在钻井过程中及钻井完成以后，利用测量地层电阻、自然电位、声波、声幅及放射性等方式确定含油层位，检查固井质量并确定射孔层位。石油钻井时，在钻到设计井深深度后都必须进行测井，又称完井电测，以获得各种石油地质及工程技术资料，作为完井和开发油田的原始资料。这种测井习惯上称为裸眼测井。而在油井下完套管后所进行的二系列测井，习惯上称为生产测井或开发测井。</w:t>
      </w:r>
    </w:p>
    <w:p w14:paraId="1D2730C5">
      <w:pPr>
        <w:ind w:firstLine="480"/>
        <w:rPr>
          <w:color w:val="auto"/>
        </w:rPr>
      </w:pPr>
      <w:r>
        <w:rPr>
          <w:rFonts w:hint="eastAsia" w:ascii="宋体" w:hAnsi="宋体" w:eastAsia="宋体" w:cs="宋体"/>
          <w:color w:val="auto"/>
        </w:rPr>
        <w:t>6）</w:t>
      </w:r>
      <w:r>
        <w:rPr>
          <w:color w:val="auto"/>
        </w:rPr>
        <w:t>井下作业</w:t>
      </w:r>
    </w:p>
    <w:p w14:paraId="5C761DB9">
      <w:pPr>
        <w:ind w:firstLine="480"/>
        <w:rPr>
          <w:color w:val="auto"/>
        </w:rPr>
      </w:pPr>
      <w:r>
        <w:rPr>
          <w:color w:val="auto"/>
        </w:rPr>
        <w:t>井下作业一般在油井投产前及投产一段时间后进行，包括射孔、压裂、酸化、下泵验泵、试油、洗井、修井、清蜡、防蜡、除砂等工艺，辅助配套工程包括供水、供电、道路、通讯、排水及消防工程等。对环境产生影响的主要是在修井（采油井）和洗井（回注井）作业过程中，会产生</w:t>
      </w:r>
      <w:r>
        <w:rPr>
          <w:rFonts w:hint="eastAsia"/>
          <w:color w:val="auto"/>
          <w:lang w:val="en-US" w:eastAsia="zh-CN"/>
        </w:rPr>
        <w:t>作业</w:t>
      </w:r>
      <w:r>
        <w:rPr>
          <w:color w:val="auto"/>
        </w:rPr>
        <w:t>废水等。</w:t>
      </w:r>
    </w:p>
    <w:p w14:paraId="05741CF7">
      <w:pPr>
        <w:ind w:firstLine="480"/>
        <w:rPr>
          <w:color w:val="auto"/>
        </w:rPr>
      </w:pPr>
      <w:r>
        <w:rPr>
          <w:rFonts w:hint="eastAsia"/>
          <w:color w:val="auto"/>
          <w:lang w:val="en-US" w:eastAsia="zh-CN"/>
        </w:rPr>
        <w:t>b</w:t>
      </w:r>
      <w:r>
        <w:rPr>
          <w:color w:val="auto"/>
        </w:rPr>
        <w:t>）临时工程布置</w:t>
      </w:r>
    </w:p>
    <w:p w14:paraId="52465BB3">
      <w:pPr>
        <w:ind w:firstLine="480"/>
        <w:rPr>
          <w:color w:val="auto"/>
        </w:rPr>
      </w:pPr>
      <w:r>
        <w:rPr>
          <w:color w:val="auto"/>
        </w:rPr>
        <w:t>1）井场</w:t>
      </w:r>
    </w:p>
    <w:p w14:paraId="755B9C34">
      <w:pPr>
        <w:ind w:firstLine="480"/>
        <w:textAlignment w:val="center"/>
        <w:rPr>
          <w:color w:val="auto"/>
        </w:rPr>
      </w:pPr>
      <w:r>
        <w:rPr>
          <w:color w:val="auto"/>
        </w:rPr>
        <w:t>井场是指辅助设施、生产用房所占地面积。井场土方施工都是在钻井钻前准备阶段进行的，施工前先进行测量，制定合理的机械施工方案，先进行清表，然后推平原地面，然后再洒水、刮平、压实。根据井队钻井施工布置图、工勘报告，进行基础放线、开挖。基槽开挖采用机械为主人工开挖为辅的方式，人工开挖主要对基槽进行修边和堆土清理。对基槽基础持力层进行夯实处理，确保地基坚硬，预防基础下沉。等基础施工完成后，对整个井场再进行洒水压实，避免降水引起水土流失，保证场地平整稳定。</w:t>
      </w:r>
    </w:p>
    <w:p w14:paraId="4688C16C">
      <w:pPr>
        <w:ind w:firstLine="480"/>
        <w:textAlignment w:val="center"/>
        <w:rPr>
          <w:rFonts w:hint="eastAsia"/>
          <w:color w:val="auto"/>
        </w:rPr>
      </w:pPr>
      <w:r>
        <w:rPr>
          <w:rFonts w:hint="eastAsia"/>
          <w:color w:val="auto"/>
          <w:lang w:val="en-US" w:eastAsia="zh-CN"/>
        </w:rPr>
        <w:t>2</w:t>
      </w:r>
      <w:r>
        <w:rPr>
          <w:color w:val="auto"/>
        </w:rPr>
        <w:t>）</w:t>
      </w:r>
      <w:r>
        <w:rPr>
          <w:rFonts w:hint="eastAsia"/>
          <w:color w:val="auto"/>
        </w:rPr>
        <w:t>泥浆不落地</w:t>
      </w:r>
    </w:p>
    <w:p w14:paraId="120DDDE9">
      <w:pPr>
        <w:ind w:firstLine="480"/>
        <w:textAlignment w:val="center"/>
        <w:rPr>
          <w:color w:val="auto"/>
        </w:rPr>
      </w:pPr>
      <w:r>
        <w:rPr>
          <w:rFonts w:hint="eastAsia"/>
          <w:color w:val="auto"/>
        </w:rPr>
        <w:t>泥浆不落地设备</w:t>
      </w:r>
      <w:r>
        <w:rPr>
          <w:color w:val="auto"/>
        </w:rPr>
        <w:t>是石油钻井过程中为防止具有强腐蚀性的钻井流体渗漏与渗透对造成环境污染的重要</w:t>
      </w:r>
      <w:r>
        <w:rPr>
          <w:rFonts w:hint="eastAsia"/>
          <w:color w:val="auto"/>
        </w:rPr>
        <w:t>配套</w:t>
      </w:r>
      <w:r>
        <w:rPr>
          <w:color w:val="auto"/>
        </w:rPr>
        <w:t>设施，主要用来收集钻井产生的废弃泥浆。</w:t>
      </w:r>
      <w:r>
        <w:rPr>
          <w:rFonts w:hint="eastAsia"/>
          <w:color w:val="auto"/>
        </w:rPr>
        <w:t>泥浆罐存储的泥浆委托专业的环保回收单位进行回收处理，确保不对项目区产生污染。</w:t>
      </w:r>
    </w:p>
    <w:p w14:paraId="55419738">
      <w:pPr>
        <w:ind w:firstLine="480"/>
        <w:textAlignment w:val="center"/>
        <w:rPr>
          <w:color w:val="auto"/>
        </w:rPr>
      </w:pPr>
      <w:r>
        <w:rPr>
          <w:rFonts w:hint="eastAsia" w:ascii="宋体" w:hAnsi="宋体" w:eastAsia="宋体" w:cs="宋体"/>
          <w:color w:val="auto"/>
        </w:rPr>
        <w:t>①</w:t>
      </w:r>
      <w:r>
        <w:rPr>
          <w:color w:val="auto"/>
        </w:rPr>
        <w:t>废弃泥浆处理要求</w:t>
      </w:r>
    </w:p>
    <w:p w14:paraId="0BD356F5">
      <w:pPr>
        <w:ind w:firstLine="480"/>
        <w:textAlignment w:val="center"/>
        <w:rPr>
          <w:color w:val="auto"/>
        </w:rPr>
      </w:pPr>
      <w:r>
        <w:rPr>
          <w:color w:val="auto"/>
        </w:rPr>
        <w:t>为了达到安全、快速的钻井目的，钻井液中添加了多种化学添加剂。而废弃泥浆由各种化学添加剂、粘土、钻屑、无机盐、含油物质等聚合而成，PH值较高，管理不善容易造成环境污染。对于</w:t>
      </w:r>
      <w:r>
        <w:rPr>
          <w:rFonts w:hint="eastAsia"/>
          <w:color w:val="auto"/>
        </w:rPr>
        <w:t>水基、油基废弃钻井泥浆须分类管理</w:t>
      </w:r>
      <w:r>
        <w:rPr>
          <w:color w:val="auto"/>
        </w:rPr>
        <w:t>。一般淡水基钻井泥浆，污染程度较低，并易被环境自然净化；可在进行沉降、机械脱水，</w:t>
      </w:r>
      <w:r>
        <w:rPr>
          <w:rFonts w:hint="eastAsia"/>
          <w:color w:val="auto"/>
        </w:rPr>
        <w:t>由专业单位回收</w:t>
      </w:r>
      <w:r>
        <w:rPr>
          <w:color w:val="auto"/>
        </w:rPr>
        <w:t>。钻井和井下作业过程中，应当定点存放泥浆，并及时做好回收利用和处理；对含有有毒有害物质的泥浆或者其他废弃物，应当采取防水、防渗和防溢等有效措施。生产现场泥浆</w:t>
      </w:r>
      <w:r>
        <w:rPr>
          <w:rFonts w:hint="eastAsia"/>
          <w:color w:val="auto"/>
        </w:rPr>
        <w:t>罐底部</w:t>
      </w:r>
      <w:r>
        <w:rPr>
          <w:color w:val="auto"/>
        </w:rPr>
        <w:t>铺设防渗膜，所有排污沟及易产生油污和泥浆落地的区域也应铺设防渗膜。钻井队起钻前要充分调整泥浆，避免起钻过程中泥浆飞溅污染环境，钻台下、泵房、罐区等处的落地泥浆应及时清理。合理选用钻井液体系及钻井液的使用与回用，使用无毒低污染钻井液。为保护浅层地下水不受污染，表层钻进时，使用清水钻井液，尽可能不使用化学添加剂。配制钻井液时，严格控制有毒、有害钻井液添加剂的使用。钻井中遇到浅水层，下套管时应注水泥封固，防止地下水水层被地层其他流体或钻井液污染。采用闭合钻井液循环系统。对钻井液性能进行四级净化，避免钻井液的频繁稀释及反复加药，这样可以使钻井液体积减小，耗药量降低，从而使完井后的废钻井液处理量降低。</w:t>
      </w:r>
    </w:p>
    <w:p w14:paraId="243FB064">
      <w:pPr>
        <w:ind w:firstLine="480"/>
        <w:textAlignment w:val="center"/>
        <w:rPr>
          <w:color w:val="auto"/>
        </w:rPr>
      </w:pPr>
      <w:r>
        <w:rPr>
          <w:rFonts w:hint="eastAsia" w:ascii="宋体" w:hAnsi="宋体" w:eastAsia="宋体" w:cs="宋体"/>
          <w:color w:val="auto"/>
        </w:rPr>
        <w:t>②</w:t>
      </w:r>
      <w:r>
        <w:rPr>
          <w:rFonts w:hint="eastAsia"/>
          <w:color w:val="auto"/>
        </w:rPr>
        <w:t>压裂返排液</w:t>
      </w:r>
      <w:r>
        <w:rPr>
          <w:color w:val="auto"/>
        </w:rPr>
        <w:t>处理要求</w:t>
      </w:r>
    </w:p>
    <w:p w14:paraId="1C9A536F">
      <w:pPr>
        <w:ind w:firstLine="480"/>
        <w:textAlignment w:val="center"/>
        <w:rPr>
          <w:color w:val="auto"/>
        </w:rPr>
      </w:pPr>
      <w:r>
        <w:rPr>
          <w:color w:val="auto"/>
        </w:rPr>
        <w:t>从井口返排出来的</w:t>
      </w:r>
      <w:r>
        <w:rPr>
          <w:rFonts w:hint="eastAsia"/>
          <w:color w:val="auto"/>
        </w:rPr>
        <w:t>压裂返排液</w:t>
      </w:r>
      <w:r>
        <w:rPr>
          <w:color w:val="auto"/>
        </w:rPr>
        <w:t>成分较复杂，含有</w:t>
      </w:r>
      <w:r>
        <w:rPr>
          <w:rFonts w:hint="eastAsia"/>
          <w:color w:val="auto"/>
        </w:rPr>
        <w:t>地层水、其他返排液成分</w:t>
      </w:r>
      <w:r>
        <w:rPr>
          <w:color w:val="auto"/>
        </w:rPr>
        <w:t>，为避免</w:t>
      </w:r>
      <w:r>
        <w:rPr>
          <w:rFonts w:hint="eastAsia"/>
          <w:color w:val="auto"/>
        </w:rPr>
        <w:t>压裂返排液</w:t>
      </w:r>
      <w:r>
        <w:rPr>
          <w:color w:val="auto"/>
        </w:rPr>
        <w:t>直接排入环境，造成对水体、土壤污染及对人、动物、植物的危害，特制定以下要求：优先选用绿色环保、无毒无害的压裂液和酸化液；返排液应组织回收利用或进行无害化处置，压裂放喷返排入罐应达到100%，符合国家《石油天然气开采业务污染防治技术政策》</w:t>
      </w:r>
      <w:r>
        <w:rPr>
          <w:rFonts w:hint="eastAsia"/>
          <w:color w:val="auto"/>
        </w:rPr>
        <w:t>“</w:t>
      </w:r>
      <w:r>
        <w:rPr>
          <w:color w:val="auto"/>
        </w:rPr>
        <w:t>清洁生产</w:t>
      </w:r>
      <w:r>
        <w:rPr>
          <w:rFonts w:hint="eastAsia"/>
          <w:color w:val="auto"/>
        </w:rPr>
        <w:t>”</w:t>
      </w:r>
      <w:r>
        <w:rPr>
          <w:color w:val="auto"/>
        </w:rPr>
        <w:t>相关要求；对于变质压裂液处理后可作活性水使用；在满足作业要求的前提下，减少用量，从而减少废液产生用量；在井下作业过程中，酸化残液应进行无害化处置并100%回收，符合国家《石油天然气开采业务污染防治技术政策》</w:t>
      </w:r>
      <w:r>
        <w:rPr>
          <w:rFonts w:hint="eastAsia"/>
          <w:color w:val="auto"/>
        </w:rPr>
        <w:t>“</w:t>
      </w:r>
      <w:r>
        <w:rPr>
          <w:color w:val="auto"/>
        </w:rPr>
        <w:t>清洁生产</w:t>
      </w:r>
      <w:r>
        <w:rPr>
          <w:rFonts w:hint="eastAsia"/>
          <w:color w:val="auto"/>
        </w:rPr>
        <w:t>”</w:t>
      </w:r>
      <w:r>
        <w:rPr>
          <w:color w:val="auto"/>
        </w:rPr>
        <w:t>相关要求。浓度大于10%的废酸液应回收利用，回收利用方法有自然结晶法、真空浓缩～冷冻结晶法、自然结晶～扩散渗析法。</w:t>
      </w:r>
    </w:p>
    <w:p w14:paraId="6EA3DE40">
      <w:pPr>
        <w:ind w:firstLine="480"/>
        <w:textAlignment w:val="center"/>
        <w:rPr>
          <w:color w:val="auto"/>
        </w:rPr>
      </w:pPr>
      <w:r>
        <w:rPr>
          <w:rFonts w:hint="eastAsia" w:ascii="宋体" w:hAnsi="宋体" w:eastAsia="宋体" w:cs="宋体"/>
          <w:color w:val="auto"/>
        </w:rPr>
        <w:t>③</w:t>
      </w:r>
      <w:r>
        <w:rPr>
          <w:color w:val="auto"/>
        </w:rPr>
        <w:t>钻井废弃泥浆无害化处理原理</w:t>
      </w:r>
    </w:p>
    <w:p w14:paraId="24246F2D">
      <w:pPr>
        <w:ind w:firstLine="480"/>
        <w:textAlignment w:val="center"/>
        <w:rPr>
          <w:color w:val="auto"/>
        </w:rPr>
      </w:pPr>
      <w:r>
        <w:rPr>
          <w:color w:val="auto"/>
        </w:rPr>
        <w:t>废弃钻井泥浆对环境的危害：油气田钻井泥浆一般会有粘土、加重材料、化学添加剂、油类、钻屑等多种</w:t>
      </w:r>
      <w:r>
        <w:rPr>
          <w:rFonts w:hint="eastAsia"/>
          <w:color w:val="auto"/>
          <w:lang w:eastAsia="zh-CN"/>
        </w:rPr>
        <w:t>成分</w:t>
      </w:r>
      <w:r>
        <w:rPr>
          <w:color w:val="auto"/>
        </w:rPr>
        <w:t>，呈粘稠状胶体，具有很高的粘度和稳定性。废弃钻井泥浆的主要</w:t>
      </w:r>
      <w:r>
        <w:rPr>
          <w:rFonts w:hint="eastAsia"/>
          <w:color w:val="auto"/>
          <w:lang w:eastAsia="zh-CN"/>
        </w:rPr>
        <w:t>成分</w:t>
      </w:r>
      <w:bookmarkStart w:id="316" w:name="_GoBack"/>
      <w:bookmarkEnd w:id="316"/>
      <w:r>
        <w:rPr>
          <w:color w:val="auto"/>
        </w:rPr>
        <w:t>：天然植物胶、次生阳离子聚合物、白土、CMC、PAC系列、PHP、SMK、SM-1、FT-1、K-PAM、FA367、NH4-HPAN、NaOH、BaSO</w:t>
      </w:r>
      <w:r>
        <w:rPr>
          <w:color w:val="auto"/>
          <w:vertAlign w:val="subscript"/>
        </w:rPr>
        <w:t>4</w:t>
      </w:r>
      <w:r>
        <w:rPr>
          <w:color w:val="auto"/>
        </w:rPr>
        <w:t>等。废弃钻井泥浆的主要环境污染指标：化学需氧量（COD）、生物需氧量（BOD）、油类、悬浮物、PH值、有毒重金属离子等。废弃钻井泥浆对环境区域的影响：废弃钻井泥浆中悬浮物含量高达2000mg/L，可直接导致水体生态的自净能力下降，COD超标上百倍，对环境造成的影响主要表现在：对地表水和地下水资源的污染；导致土壤板结，对植物生长不利，甚至无法生长，致使土壤无法返耕，造成土地浪费；各种重金属滞留土壤，影响植物的生长和微生物的繁殖，同时因植物吸收而富集，危害到人畜的健康。</w:t>
      </w:r>
    </w:p>
    <w:p w14:paraId="470CA6EA">
      <w:pPr>
        <w:ind w:firstLine="480"/>
        <w:textAlignment w:val="center"/>
        <w:rPr>
          <w:rFonts w:hint="eastAsia"/>
          <w:color w:val="auto"/>
        </w:rPr>
      </w:pPr>
      <w:r>
        <w:rPr>
          <w:color w:val="auto"/>
        </w:rPr>
        <w:t>当前油田对钻井废弃泥浆的处理方式，主要</w:t>
      </w:r>
      <w:r>
        <w:rPr>
          <w:rFonts w:hint="eastAsia"/>
          <w:color w:val="auto"/>
          <w:lang w:val="en-US" w:eastAsia="zh-CN"/>
        </w:rPr>
        <w:t>采用压滤工艺</w:t>
      </w:r>
      <w:r>
        <w:rPr>
          <w:color w:val="auto"/>
        </w:rPr>
        <w:t>，</w:t>
      </w:r>
      <w:r>
        <w:rPr>
          <w:rFonts w:hint="eastAsia"/>
          <w:color w:val="auto"/>
        </w:rPr>
        <w:t>泥浆压滤是一种常用的固液分离技术，可以将悬浮在液体中的固体颗粒通过压力差进行分离。它广泛应用于矿产加工、化环境保护等领域。泥浆压滤的原理是利用压力差使浆液在滤饼中发生渗透和过滤，使固体颗粒留在滤饼上，而清澈的液体通过滤布排出。具体步骤如下:</w:t>
      </w:r>
    </w:p>
    <w:p w14:paraId="2485CDCE">
      <w:pPr>
        <w:ind w:firstLine="480"/>
        <w:textAlignment w:val="center"/>
        <w:rPr>
          <w:rFonts w:hint="eastAsia" w:eastAsia="仿宋_GB2312"/>
          <w:color w:val="auto"/>
          <w:lang w:eastAsia="zh-CN"/>
        </w:rPr>
      </w:pPr>
      <w:r>
        <w:rPr>
          <w:rFonts w:hint="eastAsia"/>
          <w:color w:val="auto"/>
        </w:rPr>
        <w:t>泥浆进入滤饼</w:t>
      </w:r>
      <w:r>
        <w:rPr>
          <w:rFonts w:hint="eastAsia"/>
          <w:color w:val="auto"/>
          <w:lang w:eastAsia="zh-CN"/>
        </w:rPr>
        <w:t>：</w:t>
      </w:r>
      <w:r>
        <w:rPr>
          <w:rFonts w:hint="eastAsia"/>
          <w:color w:val="auto"/>
        </w:rPr>
        <w:t>泥浆通过滤布进入滤饼层，固体颗粒留在滤布上形成滤饼</w:t>
      </w:r>
      <w:r>
        <w:rPr>
          <w:rFonts w:hint="eastAsia"/>
          <w:color w:val="auto"/>
          <w:lang w:eastAsia="zh-CN"/>
        </w:rPr>
        <w:t>；</w:t>
      </w:r>
    </w:p>
    <w:p w14:paraId="6CECF985">
      <w:pPr>
        <w:ind w:firstLine="480"/>
        <w:textAlignment w:val="center"/>
        <w:rPr>
          <w:rFonts w:hint="eastAsia" w:eastAsia="仿宋_GB2312"/>
          <w:color w:val="auto"/>
          <w:lang w:eastAsia="zh-CN"/>
        </w:rPr>
      </w:pPr>
      <w:r>
        <w:rPr>
          <w:rFonts w:hint="eastAsia"/>
          <w:color w:val="auto"/>
        </w:rPr>
        <w:t>渗</w:t>
      </w:r>
      <w:r>
        <w:rPr>
          <w:rFonts w:hint="eastAsia"/>
          <w:color w:val="auto"/>
          <w:lang w:val="en-US" w:eastAsia="zh-CN"/>
        </w:rPr>
        <w:t>透</w:t>
      </w:r>
      <w:r>
        <w:rPr>
          <w:rFonts w:hint="eastAsia"/>
          <w:color w:val="auto"/>
        </w:rPr>
        <w:t>:在泥浆进入滤饼的同时，外界施加压力，使泥浆发生渗</w:t>
      </w:r>
      <w:r>
        <w:rPr>
          <w:rFonts w:hint="eastAsia"/>
          <w:color w:val="auto"/>
          <w:lang w:val="en-US" w:eastAsia="zh-CN"/>
        </w:rPr>
        <w:t>透</w:t>
      </w:r>
      <w:r>
        <w:rPr>
          <w:rFonts w:hint="eastAsia"/>
          <w:color w:val="auto"/>
        </w:rPr>
        <w:t>，固体颗粒渗透到滤布上形成滤饼</w:t>
      </w:r>
      <w:r>
        <w:rPr>
          <w:rFonts w:hint="eastAsia"/>
          <w:color w:val="auto"/>
          <w:lang w:eastAsia="zh-CN"/>
        </w:rPr>
        <w:t>；</w:t>
      </w:r>
    </w:p>
    <w:p w14:paraId="675F345F">
      <w:pPr>
        <w:ind w:firstLine="480"/>
        <w:textAlignment w:val="center"/>
        <w:rPr>
          <w:rFonts w:hint="eastAsia" w:eastAsia="仿宋_GB2312"/>
          <w:color w:val="auto"/>
          <w:lang w:eastAsia="zh-CN"/>
        </w:rPr>
      </w:pPr>
      <w:r>
        <w:rPr>
          <w:rFonts w:hint="eastAsia"/>
          <w:color w:val="auto"/>
        </w:rPr>
        <w:t>滤液排出:清澈的滤液通过滤布排出</w:t>
      </w:r>
      <w:r>
        <w:rPr>
          <w:rFonts w:hint="eastAsia"/>
          <w:color w:val="auto"/>
          <w:lang w:eastAsia="zh-CN"/>
        </w:rPr>
        <w:t>；</w:t>
      </w:r>
    </w:p>
    <w:p w14:paraId="73492402">
      <w:pPr>
        <w:ind w:firstLine="480"/>
        <w:textAlignment w:val="center"/>
        <w:rPr>
          <w:rFonts w:hint="eastAsia" w:eastAsia="仿宋_GB2312"/>
          <w:color w:val="auto"/>
          <w:lang w:eastAsia="zh-CN"/>
        </w:rPr>
      </w:pPr>
      <w:r>
        <w:rPr>
          <w:rFonts w:hint="eastAsia"/>
          <w:color w:val="auto"/>
        </w:rPr>
        <w:t>滤饼卸下:待滤饼达到一定厚度后，停止进料，将滤饼卸下</w:t>
      </w:r>
      <w:r>
        <w:rPr>
          <w:rFonts w:hint="eastAsia"/>
          <w:color w:val="auto"/>
          <w:lang w:eastAsia="zh-CN"/>
        </w:rPr>
        <w:t>。</w:t>
      </w:r>
    </w:p>
    <w:p w14:paraId="021FF8EC">
      <w:pPr>
        <w:adjustRightInd w:val="0"/>
        <w:snapToGrid w:val="0"/>
        <w:spacing w:line="360" w:lineRule="auto"/>
        <w:ind w:firstLine="480" w:firstLineChars="200"/>
        <w:jc w:val="left"/>
        <w:rPr>
          <w:rFonts w:ascii="Times New Roman" w:hAnsi="Times New Roman" w:eastAsia="仿宋_GB2312" w:cs="Times New Roman"/>
          <w:color w:val="auto"/>
          <w:sz w:val="24"/>
          <w:szCs w:val="24"/>
        </w:rPr>
      </w:pPr>
      <w:r>
        <w:rPr>
          <w:color w:val="auto"/>
        </w:rPr>
        <w:t>本项目钻井泥浆在泥浆</w:t>
      </w:r>
      <w:r>
        <w:rPr>
          <w:rFonts w:hint="eastAsia"/>
          <w:color w:val="auto"/>
        </w:rPr>
        <w:t>不落地设备</w:t>
      </w:r>
      <w:r>
        <w:rPr>
          <w:color w:val="auto"/>
        </w:rPr>
        <w:t>干化后，将由</w:t>
      </w:r>
      <w:r>
        <w:rPr>
          <w:rFonts w:hint="eastAsia"/>
          <w:color w:val="auto"/>
        </w:rPr>
        <w:t>吐哈油田分公司</w:t>
      </w:r>
      <w:r>
        <w:rPr>
          <w:color w:val="auto"/>
        </w:rPr>
        <w:t>委托的专业环保公司进行无害化处理，单井落地原油由作业单位100%回收，并运至联合站进行处理。各处理设施均进行了防渗处理，可以有效防止对地下水和周边土壤环境的污染。吐哈油田公司严格按照石油行业的环境保护相关规定及实施细则制定的处理防护措施，环境非敏感地区的钻井完井环保治理完成后，由油田公司组织相关甲乙方单位进行验收。环境敏感地区的钻井完井环保治理完成后，再申请</w:t>
      </w:r>
      <w:r>
        <w:rPr>
          <w:rFonts w:hint="eastAsia"/>
          <w:color w:val="auto"/>
        </w:rPr>
        <w:t>当地</w:t>
      </w:r>
      <w:r>
        <w:rPr>
          <w:color w:val="auto"/>
        </w:rPr>
        <w:t>政府环保管理部门验收。</w:t>
      </w:r>
    </w:p>
    <w:bookmarkEnd w:id="69"/>
    <w:bookmarkEnd w:id="74"/>
    <w:p w14:paraId="0A6880B5">
      <w:pPr>
        <w:adjustRightInd w:val="0"/>
        <w:snapToGrid w:val="0"/>
        <w:spacing w:line="360" w:lineRule="auto"/>
        <w:ind w:firstLine="480" w:firstLineChars="200"/>
        <w:rPr>
          <w:rFonts w:hint="eastAsia" w:ascii="Times New Roman" w:hAnsi="Times New Roman" w:eastAsia="仿宋_GB2312" w:cs="Times New Roman"/>
          <w:color w:val="auto"/>
          <w:sz w:val="24"/>
          <w:szCs w:val="24"/>
        </w:rPr>
      </w:pPr>
      <w:r>
        <w:rPr>
          <w:rFonts w:hint="eastAsia"/>
          <w:color w:val="auto"/>
          <w:lang w:val="en-US" w:eastAsia="zh-CN"/>
        </w:rPr>
        <w:t>c</w:t>
      </w:r>
      <w:r>
        <w:rPr>
          <w:color w:val="auto"/>
        </w:rPr>
        <w:t>）土地损毁环节与时序</w:t>
      </w:r>
    </w:p>
    <w:p w14:paraId="1677A881">
      <w:pPr>
        <w:adjustRightInd w:val="0"/>
        <w:snapToGrid w:val="0"/>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根据工程施工工艺及施工进度安排分析，该工程对土地的损毁环节主要是工程建设临时用地对土地造成的损毁。本方案土地损毁环节及时序统计见表 4.1-1</w:t>
      </w:r>
      <w:r>
        <w:rPr>
          <w:rFonts w:ascii="Times New Roman" w:hAnsi="Times New Roman" w:eastAsia="仿宋_GB2312" w:cs="Times New Roman"/>
          <w:color w:val="auto"/>
          <w:sz w:val="24"/>
          <w:szCs w:val="24"/>
        </w:rPr>
        <w:t>。</w:t>
      </w:r>
    </w:p>
    <w:p w14:paraId="57223566">
      <w:pPr>
        <w:spacing w:line="360" w:lineRule="auto"/>
        <w:jc w:val="center"/>
        <w:rPr>
          <w:rFonts w:ascii="Times New Roman" w:hAnsi="Times New Roman" w:eastAsia="黑体" w:cs="Times New Roman"/>
          <w:color w:val="000000"/>
          <w:szCs w:val="24"/>
        </w:rPr>
        <w:sectPr>
          <w:pgSz w:w="11906" w:h="16838"/>
          <w:pgMar w:top="1418" w:right="1418" w:bottom="1701" w:left="1418" w:header="720" w:footer="720" w:gutter="0"/>
          <w:pgNumType w:fmt="decimal"/>
          <w:cols w:space="720" w:num="1"/>
          <w:docGrid w:linePitch="312" w:charSpace="0"/>
        </w:sectPr>
      </w:pPr>
    </w:p>
    <w:p w14:paraId="6453373D">
      <w:pPr>
        <w:pStyle w:val="22"/>
        <w:bidi w:val="0"/>
      </w:pPr>
      <w:r>
        <w:t>表4.1-1  项目土地损毁形式及时间表</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77"/>
        <w:gridCol w:w="1483"/>
        <w:gridCol w:w="1416"/>
        <w:gridCol w:w="1480"/>
        <w:gridCol w:w="1486"/>
        <w:gridCol w:w="1483"/>
        <w:gridCol w:w="1313"/>
        <w:gridCol w:w="1313"/>
        <w:gridCol w:w="1778"/>
      </w:tblGrid>
      <w:tr w14:paraId="6204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5CB7">
            <w:pPr>
              <w:pStyle w:val="100"/>
              <w:bidi w:val="0"/>
              <w:rPr>
                <w:rFonts w:hint="default"/>
              </w:rPr>
            </w:pPr>
            <w:r>
              <w:rPr>
                <w:lang w:val="en-US" w:eastAsia="zh-CN"/>
              </w:rPr>
              <w:t>项目区</w:t>
            </w:r>
          </w:p>
        </w:tc>
        <w:tc>
          <w:tcPr>
            <w:tcW w:w="5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4494F">
            <w:pPr>
              <w:pStyle w:val="100"/>
              <w:bidi w:val="0"/>
              <w:rPr>
                <w:rFonts w:hint="default"/>
              </w:rPr>
            </w:pPr>
            <w:r>
              <w:rPr>
                <w:lang w:val="en-US" w:eastAsia="zh-CN"/>
              </w:rPr>
              <w:t>用地类型</w:t>
            </w:r>
          </w:p>
        </w:tc>
        <w:tc>
          <w:tcPr>
            <w:tcW w:w="5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AD4CE">
            <w:pPr>
              <w:pStyle w:val="100"/>
              <w:bidi w:val="0"/>
              <w:rPr>
                <w:rFonts w:hint="default"/>
              </w:rPr>
            </w:pPr>
            <w:r>
              <w:rPr>
                <w:lang w:val="en-US" w:eastAsia="zh-CN"/>
              </w:rPr>
              <w:t>损毁面积（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c>
          <w:tcPr>
            <w:tcW w:w="159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DDAFD0">
            <w:pPr>
              <w:pStyle w:val="100"/>
              <w:bidi w:val="0"/>
              <w:rPr>
                <w:rFonts w:hint="default"/>
              </w:rPr>
            </w:pPr>
            <w:r>
              <w:rPr>
                <w:lang w:val="en-US" w:eastAsia="zh-CN"/>
              </w:rPr>
              <w:t>地类（</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F489">
            <w:pPr>
              <w:pStyle w:val="100"/>
              <w:bidi w:val="0"/>
              <w:rPr>
                <w:rFonts w:hint="default"/>
              </w:rPr>
            </w:pPr>
            <w:r>
              <w:rPr>
                <w:lang w:val="en-US" w:eastAsia="zh-CN"/>
              </w:rPr>
              <w:t>损毁类型</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9BF4">
            <w:pPr>
              <w:pStyle w:val="100"/>
              <w:bidi w:val="0"/>
              <w:rPr>
                <w:rFonts w:hint="default"/>
              </w:rPr>
            </w:pPr>
            <w:r>
              <w:rPr>
                <w:lang w:val="en-US" w:eastAsia="zh-CN"/>
              </w:rPr>
              <w:t>损毁程度</w:t>
            </w:r>
          </w:p>
        </w:tc>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63F2">
            <w:pPr>
              <w:pStyle w:val="100"/>
              <w:bidi w:val="0"/>
              <w:rPr>
                <w:rFonts w:hint="default"/>
              </w:rPr>
            </w:pPr>
            <w:r>
              <w:rPr>
                <w:lang w:val="en-US" w:eastAsia="zh-CN"/>
              </w:rPr>
              <w:t>损毁时间</w:t>
            </w:r>
          </w:p>
        </w:tc>
      </w:tr>
      <w:tr w14:paraId="298D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5B232">
            <w:pPr>
              <w:pStyle w:val="100"/>
              <w:bidi w:val="0"/>
              <w:rPr>
                <w:rFonts w:hint="default"/>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828D">
            <w:pPr>
              <w:pStyle w:val="100"/>
              <w:bidi w:val="0"/>
              <w:rPr>
                <w:rFonts w:hint="default"/>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99204">
            <w:pPr>
              <w:pStyle w:val="100"/>
              <w:bidi w:val="0"/>
              <w:rPr>
                <w:rFonts w:hint="default"/>
              </w:rPr>
            </w:pPr>
          </w:p>
        </w:tc>
        <w:tc>
          <w:tcPr>
            <w:tcW w:w="10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48EBA">
            <w:pPr>
              <w:pStyle w:val="100"/>
              <w:bidi w:val="0"/>
              <w:rPr>
                <w:rFonts w:hint="default"/>
              </w:rPr>
            </w:pPr>
            <w:r>
              <w:rPr>
                <w:lang w:val="en-US" w:eastAsia="zh-CN"/>
              </w:rPr>
              <w:t>工矿仓储用地（</w:t>
            </w:r>
            <w:r>
              <w:rPr>
                <w:rFonts w:hint="default"/>
                <w:lang w:val="en-US" w:eastAsia="zh-CN"/>
              </w:rPr>
              <w:t>06</w:t>
            </w:r>
            <w:r>
              <w:rPr>
                <w:lang w:val="en-US" w:eastAsia="zh-CN"/>
              </w:rPr>
              <w:t>）</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9518">
            <w:pPr>
              <w:pStyle w:val="100"/>
              <w:bidi w:val="0"/>
              <w:rPr>
                <w:rFonts w:hint="default"/>
              </w:rPr>
            </w:pPr>
            <w:r>
              <w:rPr>
                <w:lang w:val="en-US" w:eastAsia="zh-CN"/>
              </w:rPr>
              <w:t>其他土地（</w:t>
            </w:r>
            <w:r>
              <w:rPr>
                <w:rFonts w:hint="default"/>
                <w:lang w:val="en-US" w:eastAsia="zh-CN"/>
              </w:rPr>
              <w:t>12</w:t>
            </w:r>
            <w:r>
              <w:rPr>
                <w:lang w:val="en-US" w:eastAsia="zh-CN"/>
              </w:rPr>
              <w:t>）</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273F">
            <w:pPr>
              <w:pStyle w:val="100"/>
              <w:bidi w:val="0"/>
              <w:rPr>
                <w:rFonts w:hint="default"/>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AC05">
            <w:pPr>
              <w:pStyle w:val="100"/>
              <w:bidi w:val="0"/>
              <w:rPr>
                <w:rFonts w:hint="default"/>
              </w:rPr>
            </w:pPr>
          </w:p>
        </w:tc>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2434">
            <w:pPr>
              <w:pStyle w:val="100"/>
              <w:bidi w:val="0"/>
              <w:rPr>
                <w:rFonts w:hint="default"/>
              </w:rPr>
            </w:pPr>
          </w:p>
        </w:tc>
      </w:tr>
      <w:tr w14:paraId="701F7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48AD">
            <w:pPr>
              <w:pStyle w:val="100"/>
              <w:bidi w:val="0"/>
              <w:rPr>
                <w:rFonts w:hint="default"/>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C4CC">
            <w:pPr>
              <w:pStyle w:val="100"/>
              <w:bidi w:val="0"/>
              <w:rPr>
                <w:rFonts w:hint="default"/>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FF0C0">
            <w:pPr>
              <w:pStyle w:val="100"/>
              <w:bidi w:val="0"/>
              <w:rPr>
                <w:rFonts w:hint="default"/>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6979B">
            <w:pPr>
              <w:pStyle w:val="100"/>
              <w:bidi w:val="0"/>
              <w:rPr>
                <w:rFonts w:hint="default"/>
              </w:rPr>
            </w:pPr>
            <w:r>
              <w:rPr>
                <w:lang w:val="en-US" w:eastAsia="zh-CN"/>
              </w:rPr>
              <w:t>工业用地（</w:t>
            </w:r>
            <w:r>
              <w:rPr>
                <w:rFonts w:hint="default"/>
                <w:lang w:val="en-US" w:eastAsia="zh-CN"/>
              </w:rPr>
              <w:t>0601</w:t>
            </w:r>
            <w:r>
              <w:rPr>
                <w:lang w:val="en-US" w:eastAsia="zh-CN"/>
              </w:rPr>
              <w:t>）</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68BC4">
            <w:pPr>
              <w:pStyle w:val="100"/>
              <w:bidi w:val="0"/>
              <w:rPr>
                <w:rFonts w:hint="default"/>
              </w:rPr>
            </w:pPr>
            <w:r>
              <w:rPr>
                <w:lang w:val="en-US" w:eastAsia="zh-CN"/>
              </w:rPr>
              <w:t>采矿用地（</w:t>
            </w:r>
            <w:r>
              <w:rPr>
                <w:rFonts w:hint="default"/>
                <w:lang w:val="en-US" w:eastAsia="zh-CN"/>
              </w:rPr>
              <w:t>0602</w:t>
            </w:r>
            <w:r>
              <w:rPr>
                <w:lang w:val="en-US" w:eastAsia="zh-CN"/>
              </w:rPr>
              <w:t>）</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E33F">
            <w:pPr>
              <w:pStyle w:val="100"/>
              <w:bidi w:val="0"/>
              <w:rPr>
                <w:rFonts w:hint="default"/>
              </w:rPr>
            </w:pPr>
            <w:r>
              <w:rPr>
                <w:lang w:val="en-US" w:eastAsia="zh-CN"/>
              </w:rPr>
              <w:t>裸岩石砾地（</w:t>
            </w:r>
            <w:r>
              <w:rPr>
                <w:rFonts w:hint="default"/>
                <w:lang w:val="en-US" w:eastAsia="zh-CN"/>
              </w:rPr>
              <w:t>1207</w:t>
            </w:r>
            <w:r>
              <w:rPr>
                <w:lang w:val="en-US" w:eastAsia="zh-CN"/>
              </w:rPr>
              <w:t>）</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0990">
            <w:pPr>
              <w:pStyle w:val="100"/>
              <w:bidi w:val="0"/>
              <w:rPr>
                <w:rFonts w:hint="default"/>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A86D">
            <w:pPr>
              <w:pStyle w:val="100"/>
              <w:bidi w:val="0"/>
              <w:rPr>
                <w:rFonts w:hint="default"/>
              </w:rPr>
            </w:pPr>
          </w:p>
        </w:tc>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8127">
            <w:pPr>
              <w:pStyle w:val="100"/>
              <w:bidi w:val="0"/>
              <w:rPr>
                <w:rFonts w:hint="default"/>
              </w:rPr>
            </w:pPr>
          </w:p>
        </w:tc>
      </w:tr>
      <w:tr w14:paraId="00E8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81AF">
            <w:pPr>
              <w:pStyle w:val="100"/>
              <w:bidi w:val="0"/>
              <w:rPr>
                <w:rFonts w:hint="default"/>
              </w:rPr>
            </w:pPr>
            <w:r>
              <w:rPr>
                <w:lang w:val="en-US" w:eastAsia="zh-CN"/>
              </w:rPr>
              <w:t>马</w:t>
            </w:r>
            <w:r>
              <w:rPr>
                <w:rFonts w:hint="default"/>
                <w:lang w:val="en-US" w:eastAsia="zh-CN"/>
              </w:rPr>
              <w:t>T5-1H</w:t>
            </w:r>
            <w:r>
              <w:rPr>
                <w:lang w:val="en-US" w:eastAsia="zh-CN"/>
              </w:rPr>
              <w:t>井场</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242E">
            <w:pPr>
              <w:pStyle w:val="100"/>
              <w:bidi w:val="0"/>
              <w:rPr>
                <w:rFonts w:hint="default"/>
              </w:rPr>
            </w:pPr>
            <w:r>
              <w:rPr>
                <w:lang w:val="en-US" w:eastAsia="zh-CN"/>
              </w:rPr>
              <w:t>临时用地</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2493">
            <w:pPr>
              <w:pStyle w:val="100"/>
              <w:bidi w:val="0"/>
              <w:rPr>
                <w:rFonts w:hint="default"/>
              </w:rPr>
            </w:pPr>
            <w:r>
              <w:rPr>
                <w:rFonts w:hint="default"/>
                <w:lang w:val="en-US" w:eastAsia="zh-CN"/>
              </w:rPr>
              <w:t xml:space="preserve">1.0211 </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691DE">
            <w:pPr>
              <w:pStyle w:val="100"/>
              <w:bidi w:val="0"/>
              <w:rPr>
                <w:rFonts w:hint="default"/>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1D0F8">
            <w:pPr>
              <w:pStyle w:val="100"/>
              <w:bidi w:val="0"/>
              <w:rPr>
                <w:rFonts w:hint="default"/>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041F4">
            <w:pPr>
              <w:pStyle w:val="100"/>
              <w:bidi w:val="0"/>
              <w:rPr>
                <w:rFonts w:hint="default"/>
              </w:rPr>
            </w:pPr>
            <w:r>
              <w:rPr>
                <w:rFonts w:hint="default"/>
                <w:lang w:val="en-US" w:eastAsia="zh-CN"/>
              </w:rPr>
              <w:t xml:space="preserve">1.0211 </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C0DF">
            <w:pPr>
              <w:pStyle w:val="100"/>
              <w:bidi w:val="0"/>
              <w:rPr>
                <w:rFonts w:hint="default"/>
              </w:rPr>
            </w:pPr>
            <w:r>
              <w:rPr>
                <w:lang w:val="en-US" w:eastAsia="zh-CN"/>
              </w:rPr>
              <w:t>压占</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C9E9">
            <w:pPr>
              <w:pStyle w:val="100"/>
              <w:bidi w:val="0"/>
              <w:rPr>
                <w:rFonts w:hint="default"/>
              </w:rPr>
            </w:pPr>
            <w:r>
              <w:rPr>
                <w:lang w:val="en-US" w:eastAsia="zh-CN"/>
              </w:rPr>
              <w:t>中度</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6354">
            <w:pPr>
              <w:pStyle w:val="100"/>
              <w:bidi w:val="0"/>
              <w:rPr>
                <w:rFonts w:hint="default"/>
              </w:rPr>
            </w:pPr>
            <w:r>
              <w:rPr>
                <w:lang w:val="en-US" w:eastAsia="zh-CN"/>
              </w:rPr>
              <w:t>项目建设期</w:t>
            </w:r>
          </w:p>
        </w:tc>
      </w:tr>
      <w:tr w14:paraId="70EF6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D633">
            <w:pPr>
              <w:pStyle w:val="100"/>
              <w:bidi w:val="0"/>
              <w:rPr>
                <w:rFonts w:hint="default"/>
              </w:rPr>
            </w:pPr>
            <w:r>
              <w:rPr>
                <w:lang w:val="en-US" w:eastAsia="zh-CN"/>
              </w:rPr>
              <w:t>马</w:t>
            </w:r>
            <w:r>
              <w:rPr>
                <w:rFonts w:hint="default"/>
                <w:lang w:val="en-US" w:eastAsia="zh-CN"/>
              </w:rPr>
              <w:t>T101H</w:t>
            </w:r>
            <w:r>
              <w:rPr>
                <w:lang w:val="en-US" w:eastAsia="zh-CN"/>
              </w:rPr>
              <w:t>井场</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F754">
            <w:pPr>
              <w:pStyle w:val="100"/>
              <w:bidi w:val="0"/>
              <w:rPr>
                <w:rFonts w:hint="default"/>
              </w:rPr>
            </w:pPr>
            <w:r>
              <w:rPr>
                <w:lang w:val="en-US" w:eastAsia="zh-CN"/>
              </w:rPr>
              <w:t>临时用地</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70FEC">
            <w:pPr>
              <w:pStyle w:val="100"/>
              <w:bidi w:val="0"/>
              <w:rPr>
                <w:rFonts w:hint="default"/>
              </w:rPr>
            </w:pPr>
            <w:r>
              <w:rPr>
                <w:rFonts w:hint="default"/>
                <w:lang w:val="en-US" w:eastAsia="zh-CN"/>
              </w:rPr>
              <w:t xml:space="preserve">0.9437 </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E93B8">
            <w:pPr>
              <w:pStyle w:val="100"/>
              <w:bidi w:val="0"/>
              <w:rPr>
                <w:rFonts w:hint="default"/>
              </w:rPr>
            </w:pPr>
            <w:r>
              <w:rPr>
                <w:rFonts w:hint="default"/>
                <w:lang w:val="en-US" w:eastAsia="zh-CN"/>
              </w:rPr>
              <w:t xml:space="preserve">0.0280 </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F202">
            <w:pPr>
              <w:pStyle w:val="100"/>
              <w:bidi w:val="0"/>
              <w:rPr>
                <w:rFonts w:hint="default"/>
              </w:rPr>
            </w:pPr>
            <w:r>
              <w:rPr>
                <w:rFonts w:hint="default"/>
                <w:lang w:val="en-US" w:eastAsia="zh-CN"/>
              </w:rPr>
              <w:t xml:space="preserve">0.0685 </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B141">
            <w:pPr>
              <w:pStyle w:val="100"/>
              <w:bidi w:val="0"/>
              <w:rPr>
                <w:rFonts w:hint="default"/>
              </w:rPr>
            </w:pPr>
            <w:r>
              <w:rPr>
                <w:rFonts w:hint="default"/>
                <w:lang w:val="en-US" w:eastAsia="zh-CN"/>
              </w:rPr>
              <w:t xml:space="preserve">0.8472 </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310D">
            <w:pPr>
              <w:pStyle w:val="100"/>
              <w:bidi w:val="0"/>
              <w:rPr>
                <w:rFonts w:hint="default"/>
              </w:rPr>
            </w:pPr>
            <w:r>
              <w:rPr>
                <w:lang w:val="en-US" w:eastAsia="zh-CN"/>
              </w:rPr>
              <w:t>压占</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94AC">
            <w:pPr>
              <w:pStyle w:val="100"/>
              <w:bidi w:val="0"/>
              <w:rPr>
                <w:rFonts w:hint="default"/>
              </w:rPr>
            </w:pPr>
            <w:r>
              <w:rPr>
                <w:lang w:val="en-US" w:eastAsia="zh-CN"/>
              </w:rPr>
              <w:t>中度</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E332">
            <w:pPr>
              <w:pStyle w:val="100"/>
              <w:bidi w:val="0"/>
              <w:rPr>
                <w:rFonts w:hint="default"/>
              </w:rPr>
            </w:pPr>
            <w:r>
              <w:rPr>
                <w:lang w:val="en-US" w:eastAsia="zh-CN"/>
              </w:rPr>
              <w:t>项目建设期</w:t>
            </w:r>
          </w:p>
        </w:tc>
      </w:tr>
      <w:tr w14:paraId="7B180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4254">
            <w:pPr>
              <w:pStyle w:val="100"/>
              <w:bidi w:val="0"/>
              <w:rPr>
                <w:rFonts w:hint="default"/>
              </w:rPr>
            </w:pPr>
            <w:r>
              <w:rPr>
                <w:lang w:val="en-US" w:eastAsia="zh-CN"/>
              </w:rPr>
              <w:t>合计</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B61">
            <w:pPr>
              <w:pStyle w:val="100"/>
              <w:bidi w:val="0"/>
              <w:rPr>
                <w:rFonts w:hint="default"/>
              </w:rPr>
            </w:pPr>
            <w:r>
              <w:rPr>
                <w:rFonts w:hint="default"/>
                <w:lang w:val="en-US" w:eastAsia="zh-CN"/>
              </w:rPr>
              <w:t xml:space="preserve">1.9648 </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FB34">
            <w:pPr>
              <w:pStyle w:val="100"/>
              <w:bidi w:val="0"/>
              <w:rPr>
                <w:rFonts w:hint="default"/>
              </w:rPr>
            </w:pPr>
            <w:r>
              <w:rPr>
                <w:rFonts w:hint="default"/>
                <w:lang w:val="en-US" w:eastAsia="zh-CN"/>
              </w:rPr>
              <w:t xml:space="preserve">0.0280 </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81CD">
            <w:pPr>
              <w:pStyle w:val="100"/>
              <w:bidi w:val="0"/>
              <w:rPr>
                <w:rFonts w:hint="default"/>
              </w:rPr>
            </w:pPr>
            <w:r>
              <w:rPr>
                <w:rFonts w:hint="default"/>
                <w:lang w:val="en-US" w:eastAsia="zh-CN"/>
              </w:rPr>
              <w:t xml:space="preserve">0.0685 </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E30F">
            <w:pPr>
              <w:pStyle w:val="100"/>
              <w:bidi w:val="0"/>
              <w:rPr>
                <w:rFonts w:hint="default"/>
              </w:rPr>
            </w:pPr>
            <w:r>
              <w:rPr>
                <w:rFonts w:hint="default"/>
                <w:lang w:val="en-US" w:eastAsia="zh-CN"/>
              </w:rPr>
              <w:t xml:space="preserve">1.8683 </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0CA8">
            <w:pPr>
              <w:pStyle w:val="100"/>
              <w:bidi w:val="0"/>
              <w:rPr>
                <w:rFonts w:hint="default"/>
              </w:rPr>
            </w:pPr>
            <w:r>
              <w:rPr>
                <w:rFonts w:hint="default"/>
                <w:lang w:val="en-US" w:eastAsia="zh-CN"/>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B801">
            <w:pPr>
              <w:pStyle w:val="100"/>
              <w:bidi w:val="0"/>
              <w:rPr>
                <w:rFonts w:hint="default"/>
              </w:rPr>
            </w:pPr>
            <w:r>
              <w:rPr>
                <w:rFonts w:hint="default"/>
                <w:lang w:val="en-US" w:eastAsia="zh-CN"/>
              </w:rPr>
              <w:t>——</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1077">
            <w:pPr>
              <w:pStyle w:val="100"/>
              <w:bidi w:val="0"/>
              <w:rPr>
                <w:rFonts w:hint="default"/>
              </w:rPr>
            </w:pPr>
            <w:r>
              <w:rPr>
                <w:rFonts w:hint="default"/>
                <w:lang w:val="en-US" w:eastAsia="zh-CN"/>
              </w:rPr>
              <w:t>——</w:t>
            </w:r>
          </w:p>
        </w:tc>
      </w:tr>
    </w:tbl>
    <w:p w14:paraId="6D322633">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sectPr>
          <w:pgSz w:w="16838" w:h="11906" w:orient="landscape"/>
          <w:pgMar w:top="1418" w:right="1418" w:bottom="1418" w:left="1701" w:header="720" w:footer="720" w:gutter="0"/>
          <w:pgNumType w:fmt="decimal"/>
          <w:cols w:space="720" w:num="1"/>
          <w:docGrid w:linePitch="312" w:charSpace="0"/>
        </w:sectPr>
      </w:pPr>
    </w:p>
    <w:p w14:paraId="0408939C">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4.1.2 已损毁土地现状</w:t>
      </w:r>
    </w:p>
    <w:p w14:paraId="219F99F3">
      <w:pPr>
        <w:bidi w:val="0"/>
      </w:pPr>
      <w:r>
        <w:rPr>
          <w:rFonts w:hint="eastAsia"/>
        </w:rPr>
        <w:t>根据项目施工建设安排，结合实地调查踏勘和已损毁土地情况，对本项目用地需求情况进行分析，项目尚未开始建设，因此，本方案无已损毁土地</w:t>
      </w:r>
      <w:r>
        <w:t>。</w:t>
      </w:r>
    </w:p>
    <w:p w14:paraId="06916EE8">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75" w:name="_Toc402958195"/>
      <w:bookmarkStart w:id="76" w:name="_Toc323225489"/>
      <w:bookmarkStart w:id="77" w:name="_Toc384129333"/>
      <w:r>
        <w:rPr>
          <w:rFonts w:ascii="Times New Roman" w:hAnsi="Times New Roman" w:eastAsia="黑体" w:cs="Times New Roman"/>
          <w:bCs/>
          <w:color w:val="000000"/>
          <w:sz w:val="28"/>
          <w:szCs w:val="28"/>
        </w:rPr>
        <w:t>4.1.</w:t>
      </w:r>
      <w:r>
        <w:rPr>
          <w:rFonts w:hint="eastAsia" w:ascii="Times New Roman" w:hAnsi="Times New Roman" w:eastAsia="黑体" w:cs="Times New Roman"/>
          <w:bCs/>
          <w:color w:val="000000"/>
          <w:sz w:val="28"/>
          <w:szCs w:val="28"/>
        </w:rPr>
        <w:t>3</w:t>
      </w:r>
      <w:r>
        <w:rPr>
          <w:rFonts w:ascii="Times New Roman" w:hAnsi="Times New Roman" w:eastAsia="黑体" w:cs="Times New Roman"/>
          <w:bCs/>
          <w:color w:val="000000"/>
          <w:sz w:val="28"/>
          <w:szCs w:val="28"/>
        </w:rPr>
        <w:t xml:space="preserve"> 拟损毁土地</w:t>
      </w:r>
      <w:r>
        <w:rPr>
          <w:rFonts w:hint="eastAsia" w:ascii="Times New Roman" w:hAnsi="Times New Roman" w:eastAsia="黑体" w:cs="Times New Roman"/>
          <w:bCs/>
          <w:color w:val="000000"/>
          <w:sz w:val="28"/>
          <w:szCs w:val="28"/>
        </w:rPr>
        <w:t>预测</w:t>
      </w:r>
    </w:p>
    <w:p w14:paraId="64019DF1">
      <w:pPr>
        <w:autoSpaceDE w:val="0"/>
        <w:autoSpaceDN w:val="0"/>
        <w:adjustRightInd w:val="0"/>
        <w:snapToGrid w:val="0"/>
        <w:ind w:firstLine="482"/>
        <w:jc w:val="left"/>
        <w:textAlignment w:val="baseline"/>
        <w:rPr>
          <w:b w:val="0"/>
          <w:bCs/>
          <w:color w:val="auto"/>
          <w:szCs w:val="22"/>
        </w:rPr>
      </w:pPr>
      <w:r>
        <w:rPr>
          <w:b w:val="0"/>
          <w:bCs/>
          <w:color w:val="auto"/>
          <w:szCs w:val="22"/>
        </w:rPr>
        <w:t>1）预测方法</w:t>
      </w:r>
    </w:p>
    <w:p w14:paraId="3A4823C8">
      <w:pPr>
        <w:adjustRightInd w:val="0"/>
        <w:snapToGrid w:val="0"/>
        <w:ind w:firstLine="480"/>
        <w:jc w:val="left"/>
        <w:textAlignment w:val="baseline"/>
        <w:rPr>
          <w:b w:val="0"/>
          <w:bCs/>
          <w:color w:val="auto"/>
          <w:szCs w:val="22"/>
        </w:rPr>
      </w:pPr>
      <w:r>
        <w:rPr>
          <w:b w:val="0"/>
          <w:bCs/>
          <w:color w:val="auto"/>
          <w:szCs w:val="22"/>
        </w:rPr>
        <w:t>通过对本项目设计相关工程组成及布局分析，以工程施工进度计划安排和土石方量平衡分析结果为依据，结合以地形图和土地利用现状图为底图的实地踏勘结果，借鉴以往类似建设项目的分析预测经验，本项目拟采用实地调查分析与设计中的相关工程进度计划安排相结合的方法，划分临时用地类型，确定基本用地单元的土方量、预防控制措施和地形地貌等因素，预测建设过程中占用临时用地类型的损毁土地面积、范围、地类等。</w:t>
      </w:r>
    </w:p>
    <w:p w14:paraId="525CDF03">
      <w:pPr>
        <w:autoSpaceDE w:val="0"/>
        <w:autoSpaceDN w:val="0"/>
        <w:adjustRightInd w:val="0"/>
        <w:snapToGrid w:val="0"/>
        <w:ind w:firstLine="482"/>
        <w:jc w:val="left"/>
        <w:textAlignment w:val="baseline"/>
        <w:rPr>
          <w:b w:val="0"/>
          <w:bCs/>
          <w:color w:val="auto"/>
          <w:szCs w:val="22"/>
        </w:rPr>
      </w:pPr>
      <w:r>
        <w:rPr>
          <w:b w:val="0"/>
          <w:bCs/>
          <w:color w:val="auto"/>
          <w:szCs w:val="22"/>
        </w:rPr>
        <w:t>2）预测依据</w:t>
      </w:r>
    </w:p>
    <w:p w14:paraId="2CB2D964">
      <w:pPr>
        <w:adjustRightInd w:val="0"/>
        <w:snapToGrid w:val="0"/>
        <w:ind w:firstLine="480"/>
        <w:jc w:val="left"/>
        <w:textAlignment w:val="baseline"/>
        <w:rPr>
          <w:b w:val="0"/>
          <w:bCs/>
          <w:color w:val="auto"/>
          <w:szCs w:val="22"/>
        </w:rPr>
      </w:pPr>
      <w:r>
        <w:rPr>
          <w:b w:val="0"/>
          <w:bCs/>
          <w:color w:val="auto"/>
          <w:szCs w:val="22"/>
        </w:rPr>
        <w:t>①《</w:t>
      </w:r>
      <w:r>
        <w:rPr>
          <w:rFonts w:hint="eastAsia"/>
          <w:b w:val="0"/>
          <w:bCs/>
          <w:color w:val="auto"/>
          <w:szCs w:val="22"/>
          <w:lang w:eastAsia="zh-CN"/>
        </w:rPr>
        <w:t>中国石油吐哈油田三塘湖采油管理区马T101H井场等两口井压裂施工项目临时用地</w:t>
      </w:r>
      <w:r>
        <w:rPr>
          <w:rFonts w:hint="eastAsia"/>
          <w:b w:val="0"/>
          <w:bCs/>
          <w:color w:val="auto"/>
          <w:szCs w:val="22"/>
        </w:rPr>
        <w:t>勘测定界资料汇编</w:t>
      </w:r>
      <w:r>
        <w:rPr>
          <w:b w:val="0"/>
          <w:bCs/>
          <w:color w:val="auto"/>
          <w:szCs w:val="22"/>
        </w:rPr>
        <w:t>》；</w:t>
      </w:r>
    </w:p>
    <w:p w14:paraId="450B80BD">
      <w:pPr>
        <w:pStyle w:val="166"/>
        <w:ind w:firstLine="482"/>
        <w:jc w:val="left"/>
        <w:rPr>
          <w:rFonts w:cs="Times New Roman"/>
          <w:b w:val="0"/>
          <w:bCs/>
          <w:color w:val="auto"/>
        </w:rPr>
      </w:pPr>
      <w:r>
        <w:rPr>
          <w:rFonts w:cs="Times New Roman"/>
          <w:b w:val="0"/>
          <w:bCs/>
          <w:color w:val="auto"/>
          <w:kern w:val="2"/>
          <w:szCs w:val="22"/>
        </w:rPr>
        <w:t>3）拟损毁土地预测</w:t>
      </w:r>
    </w:p>
    <w:p w14:paraId="5D4FE340">
      <w:pPr>
        <w:bidi w:val="0"/>
      </w:pPr>
      <w:r>
        <w:rPr>
          <w:b w:val="0"/>
          <w:bCs/>
        </w:rPr>
        <w:t>根据项目设计等基础资料及实地调查踏勘，在本复垦方案</w:t>
      </w:r>
      <w:r>
        <w:t>编制期间，本项目未来施工阶段将对土地造成损毁，根据上述土地损毁环节与时序分析结果，拟建项目对土地的损毁形式主要是压占</w:t>
      </w:r>
      <w:r>
        <w:rPr>
          <w:rFonts w:hint="eastAsia"/>
        </w:rPr>
        <w:t>。</w:t>
      </w:r>
    </w:p>
    <w:p w14:paraId="2514649C">
      <w:pPr>
        <w:bidi w:val="0"/>
      </w:pPr>
      <w:r>
        <w:t>土地</w:t>
      </w:r>
      <w:r>
        <w:rPr>
          <w:rFonts w:hint="eastAsia"/>
          <w:lang w:val="en-US" w:eastAsia="zh-CN"/>
        </w:rPr>
        <w:t>挖损及</w:t>
      </w:r>
      <w:r>
        <w:t>压占主要是在项目建设过程中设置的</w:t>
      </w:r>
      <w:r>
        <w:rPr>
          <w:rFonts w:hint="eastAsia"/>
          <w:lang w:eastAsia="zh-CN"/>
        </w:rPr>
        <w:t>施工作业生产用地</w:t>
      </w:r>
      <w:r>
        <w:t>及部分配套设施用地等对土地造成的</w:t>
      </w:r>
      <w:r>
        <w:rPr>
          <w:rFonts w:hint="eastAsia"/>
          <w:lang w:val="en-US" w:eastAsia="zh-CN"/>
        </w:rPr>
        <w:t>挖损及</w:t>
      </w:r>
      <w:r>
        <w:t>压占，对</w:t>
      </w:r>
      <w:r>
        <w:rPr>
          <w:rFonts w:hint="eastAsia"/>
          <w:lang w:val="en-US" w:eastAsia="zh-CN"/>
        </w:rPr>
        <w:t>挖损及</w:t>
      </w:r>
      <w:r>
        <w:t>压占的土地造成较严重的损毁。项目区风沙频度较大，气候干燥，易造成渣尘四处飘扬、污染大气环境，给当地居民的生产生活带来影响</w:t>
      </w:r>
      <w:r>
        <w:rPr>
          <w:rFonts w:hint="eastAsia"/>
        </w:rPr>
        <w:t>。</w:t>
      </w:r>
    </w:p>
    <w:p w14:paraId="323D87B5">
      <w:pPr>
        <w:bidi w:val="0"/>
      </w:pPr>
      <w:r>
        <w:t>根据实地调查踏勘，经测算，本项目</w:t>
      </w:r>
      <w:r>
        <w:rPr>
          <w:rFonts w:hint="eastAsia"/>
          <w:lang w:val="en-US" w:eastAsia="zh-CN"/>
        </w:rPr>
        <w:t>临时用地</w:t>
      </w:r>
      <w:r>
        <w:t>拟损毁</w:t>
      </w:r>
      <w:r>
        <w:rPr>
          <w:rFonts w:hint="eastAsia"/>
          <w:lang w:val="en-US" w:eastAsia="zh-CN"/>
        </w:rPr>
        <w:t>2</w:t>
      </w:r>
      <w:r>
        <w:t>处，拟损毁土地面积</w:t>
      </w:r>
      <w:r>
        <w:rPr>
          <w:rFonts w:hint="eastAsia"/>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t>，拟损毁土地形式为压占，拟损毁的土地利用类型为</w:t>
      </w:r>
      <w:r>
        <w:rPr>
          <w:rFonts w:hint="eastAsia"/>
          <w:lang w:val="en-US" w:eastAsia="zh-CN"/>
        </w:rPr>
        <w:t>工业用地、采矿用地及裸岩石砾地</w:t>
      </w:r>
      <w:r>
        <w:t>，本方案需对临时用地设计复垦措施</w:t>
      </w:r>
      <w:r>
        <w:rPr>
          <w:rFonts w:hint="eastAsia"/>
        </w:rPr>
        <w:t>，损毁情况见表4.1-1。</w:t>
      </w:r>
    </w:p>
    <w:p w14:paraId="634D8F7C">
      <w:pPr>
        <w:autoSpaceDE w:val="0"/>
        <w:autoSpaceDN w:val="0"/>
        <w:adjustRightInd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p>
    <w:p w14:paraId="0E3F4935">
      <w:pPr>
        <w:keepNext/>
        <w:keepLines/>
        <w:tabs>
          <w:tab w:val="left" w:pos="5640"/>
        </w:tabs>
        <w:adjustRightInd w:val="0"/>
        <w:snapToGrid w:val="0"/>
        <w:spacing w:after="240" w:afterLines="100" w:line="500" w:lineRule="exact"/>
        <w:ind w:firstLine="561"/>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4.1.4 土地损毁程度分析</w:t>
      </w:r>
    </w:p>
    <w:p w14:paraId="6214350F">
      <w:pPr>
        <w:widowControl/>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土地损毁程度分析评价揭示了土地的可利用范围及可利用的能力。石油天然气项目对土地的损毁表现为油气开发活动引起的土地利用变化，直接表现为对原有土地的</w:t>
      </w:r>
      <w:r>
        <w:rPr>
          <w:rFonts w:hint="eastAsia" w:ascii="Times New Roman" w:hAnsi="Times New Roman" w:cs="Times New Roman"/>
          <w:color w:val="000000"/>
          <w:sz w:val="24"/>
          <w:szCs w:val="24"/>
          <w:lang w:val="en-US" w:eastAsia="zh-CN"/>
        </w:rPr>
        <w:t>挖损及</w:t>
      </w:r>
      <w:r>
        <w:rPr>
          <w:rFonts w:hint="eastAsia" w:ascii="Times New Roman" w:hAnsi="Times New Roman" w:eastAsia="仿宋_GB2312" w:cs="Times New Roman"/>
          <w:color w:val="000000"/>
          <w:sz w:val="24"/>
          <w:szCs w:val="24"/>
        </w:rPr>
        <w:t>压占。通过对项目用地分析，发现该项目具有单宗用地面积较小等特点。针对这些特点，根据《土地复垦方案编制规程》中的相关条文说明采用定性分析方法，按临时占地类型对土地损毁程度分析</w:t>
      </w:r>
      <w:r>
        <w:rPr>
          <w:rFonts w:hint="eastAsia" w:ascii="Times New Roman" w:hAnsi="Times New Roman" w:eastAsia="仿宋_GB2312" w:cs="Times New Roman"/>
          <w:color w:val="000000"/>
          <w:sz w:val="24"/>
          <w:szCs w:val="24"/>
          <w:lang w:eastAsia="zh-CN"/>
        </w:rPr>
        <w:t>，</w:t>
      </w:r>
      <w:r>
        <w:rPr>
          <w:rFonts w:hint="eastAsia"/>
        </w:rPr>
        <w:t>大修施工项目</w:t>
      </w:r>
      <w:r>
        <w:t>用地范围使用时间一般</w:t>
      </w:r>
      <w:r>
        <w:rPr>
          <w:rFonts w:hint="eastAsia"/>
        </w:rPr>
        <w:t>较短</w:t>
      </w:r>
      <w:r>
        <w:t>，</w:t>
      </w:r>
      <w:bookmarkStart w:id="78" w:name="_Hlk122534542"/>
      <w:r>
        <w:rPr>
          <w:rFonts w:hint="eastAsia"/>
        </w:rPr>
        <w:t>但</w:t>
      </w:r>
      <w:r>
        <w:t>地表</w:t>
      </w:r>
      <w:r>
        <w:rPr>
          <w:rFonts w:hint="eastAsia"/>
        </w:rPr>
        <w:t>有</w:t>
      </w:r>
      <w:r>
        <w:t>一定面积的</w:t>
      </w:r>
      <w:r>
        <w:rPr>
          <w:rFonts w:hint="eastAsia"/>
        </w:rPr>
        <w:t>压占</w:t>
      </w:r>
      <w:bookmarkEnd w:id="78"/>
      <w:r>
        <w:t>，</w:t>
      </w:r>
      <w:r>
        <w:rPr>
          <w:rFonts w:hint="eastAsia" w:cs="Times New Roman"/>
          <w:color w:val="000000"/>
          <w:sz w:val="24"/>
          <w:szCs w:val="24"/>
          <w:lang w:eastAsia="zh-CN"/>
        </w:rPr>
        <w:t>将该项目土地损毁程度划分为</w:t>
      </w:r>
      <w:r>
        <w:rPr>
          <w:rFonts w:hint="eastAsia" w:cs="Times New Roman"/>
          <w:color w:val="000000"/>
          <w:sz w:val="24"/>
          <w:szCs w:val="24"/>
          <w:lang w:val="en-US" w:eastAsia="zh-CN"/>
        </w:rPr>
        <w:t>中度</w:t>
      </w:r>
      <w:r>
        <w:rPr>
          <w:rFonts w:hint="eastAsia" w:cs="Times New Roman"/>
          <w:color w:val="000000"/>
          <w:sz w:val="24"/>
          <w:szCs w:val="24"/>
          <w:lang w:eastAsia="zh-CN"/>
        </w:rPr>
        <w:t>损毁。</w:t>
      </w:r>
    </w:p>
    <w:p w14:paraId="1D0752D7">
      <w:pPr>
        <w:bidi w:val="0"/>
        <w:sectPr>
          <w:pgSz w:w="11906" w:h="16838"/>
          <w:pgMar w:top="1418" w:right="1418" w:bottom="1701" w:left="1418" w:header="720" w:footer="720" w:gutter="0"/>
          <w:pgNumType w:fmt="decimal"/>
          <w:cols w:space="720" w:num="1"/>
          <w:docGrid w:linePitch="312" w:charSpace="0"/>
        </w:sectPr>
      </w:pPr>
    </w:p>
    <w:p w14:paraId="1128EACF">
      <w:pPr>
        <w:pStyle w:val="22"/>
        <w:bidi w:val="0"/>
      </w:pPr>
      <w:r>
        <w:t>表4.1-</w:t>
      </w:r>
      <w:r>
        <w:rPr>
          <w:rFonts w:hint="eastAsia"/>
        </w:rPr>
        <w:t>2</w:t>
      </w:r>
      <w:r>
        <w:t xml:space="preserve">  项目土地损毁汇总表</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2"/>
        <w:gridCol w:w="1212"/>
        <w:gridCol w:w="1215"/>
        <w:gridCol w:w="2009"/>
        <w:gridCol w:w="797"/>
        <w:gridCol w:w="1366"/>
        <w:gridCol w:w="1371"/>
        <w:gridCol w:w="1619"/>
        <w:gridCol w:w="1023"/>
        <w:gridCol w:w="1212"/>
        <w:gridCol w:w="1213"/>
      </w:tblGrid>
      <w:tr w14:paraId="5F7BE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119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80CE">
            <w:pPr>
              <w:pStyle w:val="100"/>
              <w:bidi w:val="0"/>
              <w:rPr>
                <w:rFonts w:hint="default"/>
              </w:rPr>
            </w:pPr>
            <w:r>
              <w:rPr>
                <w:lang w:val="en-US" w:eastAsia="zh-CN"/>
              </w:rPr>
              <w:t>位置</w:t>
            </w:r>
          </w:p>
        </w:tc>
        <w:tc>
          <w:tcPr>
            <w:tcW w:w="7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4E769">
            <w:pPr>
              <w:pStyle w:val="100"/>
              <w:bidi w:val="0"/>
              <w:rPr>
                <w:rFonts w:hint="default"/>
              </w:rPr>
            </w:pPr>
            <w:r>
              <w:rPr>
                <w:lang w:val="en-US" w:eastAsia="zh-CN"/>
              </w:rPr>
              <w:t>地块名称</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E6A49">
            <w:pPr>
              <w:pStyle w:val="100"/>
              <w:bidi w:val="0"/>
              <w:rPr>
                <w:rFonts w:hint="default"/>
              </w:rPr>
            </w:pPr>
            <w:r>
              <w:rPr>
                <w:lang w:val="en-US" w:eastAsia="zh-CN"/>
              </w:rPr>
              <w:t>权属</w:t>
            </w:r>
          </w:p>
        </w:tc>
        <w:tc>
          <w:tcPr>
            <w:tcW w:w="156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02A785">
            <w:pPr>
              <w:pStyle w:val="100"/>
              <w:bidi w:val="0"/>
              <w:rPr>
                <w:rFonts w:hint="default"/>
              </w:rPr>
            </w:pPr>
            <w:r>
              <w:rPr>
                <w:lang w:val="en-US" w:eastAsia="zh-CN"/>
              </w:rPr>
              <w:t>地类（</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lang w:val="en-US" w:eastAsia="zh-CN"/>
              </w:rPr>
              <w:t>）</w:t>
            </w: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7CDCA">
            <w:pPr>
              <w:pStyle w:val="100"/>
              <w:bidi w:val="0"/>
              <w:rPr>
                <w:rFonts w:hint="default"/>
              </w:rPr>
            </w:pPr>
            <w:r>
              <w:rPr>
                <w:lang w:val="en-US" w:eastAsia="zh-CN"/>
              </w:rPr>
              <w:t>小计</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0825">
            <w:pPr>
              <w:pStyle w:val="100"/>
              <w:bidi w:val="0"/>
              <w:rPr>
                <w:rFonts w:hint="default"/>
              </w:rPr>
            </w:pPr>
            <w:r>
              <w:rPr>
                <w:lang w:val="en-US" w:eastAsia="zh-CN"/>
              </w:rPr>
              <w:t>损毁程度</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37D3">
            <w:pPr>
              <w:pStyle w:val="100"/>
              <w:bidi w:val="0"/>
              <w:rPr>
                <w:rFonts w:hint="default"/>
              </w:rPr>
            </w:pPr>
            <w:r>
              <w:rPr>
                <w:lang w:val="en-US" w:eastAsia="zh-CN"/>
              </w:rPr>
              <w:t>损毁状态</w:t>
            </w:r>
          </w:p>
        </w:tc>
      </w:tr>
      <w:tr w14:paraId="24AC6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9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4580">
            <w:pPr>
              <w:pStyle w:val="100"/>
              <w:bidi w:val="0"/>
              <w:rPr>
                <w:rFonts w:hint="default"/>
              </w:rPr>
            </w:pPr>
          </w:p>
        </w:tc>
        <w:tc>
          <w:tcPr>
            <w:tcW w:w="7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ED8E6">
            <w:pPr>
              <w:pStyle w:val="100"/>
              <w:bidi w:val="0"/>
              <w:rPr>
                <w:rFonts w:hint="default"/>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E914E">
            <w:pPr>
              <w:pStyle w:val="100"/>
              <w:bidi w:val="0"/>
              <w:rPr>
                <w:rFonts w:hint="default"/>
              </w:rPr>
            </w:pPr>
          </w:p>
        </w:tc>
        <w:tc>
          <w:tcPr>
            <w:tcW w:w="9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079B7">
            <w:pPr>
              <w:pStyle w:val="100"/>
              <w:bidi w:val="0"/>
              <w:rPr>
                <w:rFonts w:hint="default"/>
              </w:rPr>
            </w:pPr>
            <w:r>
              <w:rPr>
                <w:lang w:val="en-US" w:eastAsia="zh-CN"/>
              </w:rPr>
              <w:t>工矿仓储用地（</w:t>
            </w:r>
            <w:r>
              <w:rPr>
                <w:rFonts w:hint="default"/>
                <w:lang w:val="en-US" w:eastAsia="zh-CN"/>
              </w:rPr>
              <w:t>06</w:t>
            </w:r>
            <w:r>
              <w:rPr>
                <w:lang w:val="en-US" w:eastAsia="zh-CN"/>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62356">
            <w:pPr>
              <w:pStyle w:val="100"/>
              <w:bidi w:val="0"/>
              <w:rPr>
                <w:rFonts w:hint="default"/>
              </w:rPr>
            </w:pPr>
            <w:r>
              <w:rPr>
                <w:lang w:val="en-US" w:eastAsia="zh-CN"/>
              </w:rPr>
              <w:t>其他土地（</w:t>
            </w:r>
            <w:r>
              <w:rPr>
                <w:rFonts w:hint="default"/>
                <w:lang w:val="en-US" w:eastAsia="zh-CN"/>
              </w:rPr>
              <w:t>12</w:t>
            </w:r>
            <w:r>
              <w:rPr>
                <w:lang w:val="en-US" w:eastAsia="zh-CN"/>
              </w:rPr>
              <w:t>）</w:t>
            </w: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689EB">
            <w:pPr>
              <w:pStyle w:val="100"/>
              <w:bidi w:val="0"/>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6444">
            <w:pPr>
              <w:pStyle w:val="100"/>
              <w:bidi w:val="0"/>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B103A">
            <w:pPr>
              <w:pStyle w:val="100"/>
              <w:bidi w:val="0"/>
              <w:rPr>
                <w:rFonts w:hint="default"/>
              </w:rPr>
            </w:pPr>
          </w:p>
        </w:tc>
      </w:tr>
      <w:tr w14:paraId="13BD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923F">
            <w:pPr>
              <w:pStyle w:val="100"/>
              <w:bidi w:val="0"/>
              <w:rPr>
                <w:rFonts w:hint="default"/>
              </w:rPr>
            </w:pPr>
            <w:r>
              <w:rPr>
                <w:lang w:val="en-US" w:eastAsia="zh-CN"/>
              </w:rPr>
              <w:t>市</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0D79">
            <w:pPr>
              <w:pStyle w:val="100"/>
              <w:bidi w:val="0"/>
              <w:rPr>
                <w:rFonts w:hint="default"/>
              </w:rPr>
            </w:pPr>
            <w:r>
              <w:rPr>
                <w:lang w:val="en-US" w:eastAsia="zh-CN"/>
              </w:rPr>
              <w:t>县</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3F8F">
            <w:pPr>
              <w:pStyle w:val="100"/>
              <w:bidi w:val="0"/>
              <w:rPr>
                <w:rFonts w:hint="default"/>
              </w:rPr>
            </w:pPr>
            <w:r>
              <w:rPr>
                <w:lang w:val="en-US" w:eastAsia="zh-CN"/>
              </w:rPr>
              <w:t>村镇</w:t>
            </w:r>
          </w:p>
        </w:tc>
        <w:tc>
          <w:tcPr>
            <w:tcW w:w="7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D236B">
            <w:pPr>
              <w:pStyle w:val="100"/>
              <w:bidi w:val="0"/>
              <w:rPr>
                <w:rFonts w:hint="default"/>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24915">
            <w:pPr>
              <w:pStyle w:val="100"/>
              <w:bidi w:val="0"/>
              <w:rPr>
                <w:rFonts w:hint="default"/>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34980">
            <w:pPr>
              <w:pStyle w:val="100"/>
              <w:bidi w:val="0"/>
              <w:rPr>
                <w:rFonts w:hint="default"/>
              </w:rPr>
            </w:pPr>
            <w:r>
              <w:rPr>
                <w:lang w:val="en-US" w:eastAsia="zh-CN"/>
              </w:rPr>
              <w:t>工业用地（</w:t>
            </w:r>
            <w:r>
              <w:rPr>
                <w:rFonts w:hint="default"/>
                <w:lang w:val="en-US" w:eastAsia="zh-CN"/>
              </w:rPr>
              <w:t>0601</w:t>
            </w:r>
            <w:r>
              <w:rPr>
                <w:lang w:val="en-US" w:eastAsia="zh-CN"/>
              </w:rPr>
              <w:t>）</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222FC">
            <w:pPr>
              <w:pStyle w:val="100"/>
              <w:bidi w:val="0"/>
              <w:rPr>
                <w:rFonts w:hint="default"/>
              </w:rPr>
            </w:pPr>
            <w:r>
              <w:rPr>
                <w:lang w:val="en-US" w:eastAsia="zh-CN"/>
              </w:rPr>
              <w:t>采矿用地（</w:t>
            </w:r>
            <w:r>
              <w:rPr>
                <w:rFonts w:hint="default"/>
                <w:lang w:val="en-US" w:eastAsia="zh-CN"/>
              </w:rPr>
              <w:t>0602</w:t>
            </w:r>
            <w:r>
              <w:rPr>
                <w:lang w:val="en-US" w:eastAsia="zh-CN"/>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A7627">
            <w:pPr>
              <w:pStyle w:val="100"/>
              <w:bidi w:val="0"/>
              <w:rPr>
                <w:rFonts w:hint="default"/>
              </w:rPr>
            </w:pPr>
            <w:r>
              <w:rPr>
                <w:lang w:val="en-US" w:eastAsia="zh-CN"/>
              </w:rPr>
              <w:t>裸岩石砾地（</w:t>
            </w:r>
            <w:r>
              <w:rPr>
                <w:rFonts w:hint="default"/>
                <w:lang w:val="en-US" w:eastAsia="zh-CN"/>
              </w:rPr>
              <w:t>1207</w:t>
            </w:r>
            <w:r>
              <w:rPr>
                <w:lang w:val="en-US" w:eastAsia="zh-CN"/>
              </w:rPr>
              <w:t>）</w:t>
            </w: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70ED6">
            <w:pPr>
              <w:pStyle w:val="100"/>
              <w:bidi w:val="0"/>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CC20">
            <w:pPr>
              <w:pStyle w:val="100"/>
              <w:bidi w:val="0"/>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FE46">
            <w:pPr>
              <w:pStyle w:val="100"/>
              <w:bidi w:val="0"/>
              <w:rPr>
                <w:rFonts w:hint="default"/>
              </w:rPr>
            </w:pPr>
          </w:p>
        </w:tc>
      </w:tr>
      <w:tr w14:paraId="4C655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89D09">
            <w:pPr>
              <w:pStyle w:val="100"/>
              <w:bidi w:val="0"/>
              <w:rPr>
                <w:rFonts w:hint="default"/>
              </w:rPr>
            </w:pPr>
            <w:r>
              <w:rPr>
                <w:lang w:val="en-US" w:eastAsia="zh-CN"/>
              </w:rPr>
              <w:t>哈密市</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2A6F7">
            <w:pPr>
              <w:pStyle w:val="100"/>
              <w:bidi w:val="0"/>
              <w:rPr>
                <w:rFonts w:hint="eastAsia"/>
              </w:rPr>
            </w:pPr>
            <w:r>
              <w:rPr>
                <w:rFonts w:hint="eastAsia"/>
                <w:lang w:val="en-US" w:eastAsia="zh-CN"/>
              </w:rPr>
              <w:t>哈密市巴里坤县</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3650B">
            <w:pPr>
              <w:pStyle w:val="100"/>
              <w:bidi w:val="0"/>
              <w:rPr>
                <w:rFonts w:hint="eastAsia"/>
              </w:rPr>
            </w:pPr>
            <w:r>
              <w:rPr>
                <w:rFonts w:hint="eastAsia"/>
                <w:lang w:val="en-US" w:eastAsia="zh-CN"/>
              </w:rPr>
              <w:t>三塘湖镇直辖</w:t>
            </w: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CBAE">
            <w:pPr>
              <w:pStyle w:val="100"/>
              <w:bidi w:val="0"/>
              <w:rPr>
                <w:rFonts w:hint="default"/>
              </w:rPr>
            </w:pPr>
            <w:r>
              <w:rPr>
                <w:lang w:val="en-US" w:eastAsia="zh-CN"/>
              </w:rPr>
              <w:t>马</w:t>
            </w:r>
            <w:r>
              <w:rPr>
                <w:rFonts w:hint="default"/>
                <w:lang w:val="en-US" w:eastAsia="zh-CN"/>
              </w:rPr>
              <w:t>T5-1H</w:t>
            </w:r>
            <w:r>
              <w:rPr>
                <w:lang w:val="en-US" w:eastAsia="zh-CN"/>
              </w:rPr>
              <w:t>井场</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740E5">
            <w:pPr>
              <w:pStyle w:val="100"/>
              <w:bidi w:val="0"/>
              <w:rPr>
                <w:rFonts w:hint="default"/>
              </w:rPr>
            </w:pPr>
            <w:r>
              <w:rPr>
                <w:lang w:val="en-US" w:eastAsia="zh-CN"/>
              </w:rPr>
              <w:t>国有</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450B9">
            <w:pPr>
              <w:pStyle w:val="100"/>
              <w:bidi w:val="0"/>
              <w:rPr>
                <w:rFonts w:hint="default"/>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1A72C">
            <w:pPr>
              <w:pStyle w:val="100"/>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E53DC">
            <w:pPr>
              <w:pStyle w:val="100"/>
              <w:bidi w:val="0"/>
              <w:rPr>
                <w:rFonts w:hint="default"/>
              </w:rPr>
            </w:pPr>
            <w:r>
              <w:rPr>
                <w:rFonts w:hint="default"/>
                <w:lang w:val="en-US" w:eastAsia="zh-CN"/>
              </w:rPr>
              <w:t xml:space="preserve">1.0211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7708">
            <w:pPr>
              <w:pStyle w:val="100"/>
              <w:bidi w:val="0"/>
              <w:rPr>
                <w:rFonts w:hint="default"/>
              </w:rPr>
            </w:pPr>
            <w:r>
              <w:rPr>
                <w:rFonts w:hint="default"/>
                <w:lang w:val="en-US" w:eastAsia="zh-CN"/>
              </w:rPr>
              <w:t xml:space="preserve">1.0211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9A7F">
            <w:pPr>
              <w:pStyle w:val="100"/>
              <w:bidi w:val="0"/>
              <w:rPr>
                <w:rFonts w:hint="default"/>
              </w:rPr>
            </w:pPr>
            <w:r>
              <w:rPr>
                <w:lang w:val="en-US" w:eastAsia="zh-CN"/>
              </w:rPr>
              <w:t>中度</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3DCB">
            <w:pPr>
              <w:pStyle w:val="100"/>
              <w:bidi w:val="0"/>
              <w:rPr>
                <w:rFonts w:hint="default"/>
              </w:rPr>
            </w:pPr>
            <w:r>
              <w:rPr>
                <w:lang w:val="en-US" w:eastAsia="zh-CN"/>
              </w:rPr>
              <w:t>拟损毁</w:t>
            </w:r>
          </w:p>
        </w:tc>
      </w:tr>
      <w:tr w14:paraId="7F269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10F42">
            <w:pPr>
              <w:pStyle w:val="100"/>
              <w:bidi w:val="0"/>
              <w:rPr>
                <w:rFonts w:hint="default"/>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D48BB">
            <w:pPr>
              <w:pStyle w:val="100"/>
              <w:bidi w:val="0"/>
              <w:rPr>
                <w:rFonts w:hint="eastAsia"/>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6DC78">
            <w:pPr>
              <w:pStyle w:val="100"/>
              <w:bidi w:val="0"/>
              <w:rPr>
                <w:rFonts w:hint="eastAsia"/>
              </w:rPr>
            </w:pPr>
          </w:p>
        </w:tc>
        <w:tc>
          <w:tcPr>
            <w:tcW w:w="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DB25">
            <w:pPr>
              <w:pStyle w:val="100"/>
              <w:bidi w:val="0"/>
              <w:rPr>
                <w:rFonts w:hint="default"/>
              </w:rPr>
            </w:pPr>
            <w:r>
              <w:rPr>
                <w:lang w:val="en-US" w:eastAsia="zh-CN"/>
              </w:rPr>
              <w:t>马</w:t>
            </w:r>
            <w:r>
              <w:rPr>
                <w:rFonts w:hint="default"/>
                <w:lang w:val="en-US" w:eastAsia="zh-CN"/>
              </w:rPr>
              <w:t>T101H</w:t>
            </w:r>
            <w:r>
              <w:rPr>
                <w:lang w:val="en-US" w:eastAsia="zh-CN"/>
              </w:rPr>
              <w:t>井场</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FE7E">
            <w:pPr>
              <w:pStyle w:val="100"/>
              <w:bidi w:val="0"/>
              <w:rPr>
                <w:rFonts w:hint="default"/>
              </w:rPr>
            </w:pPr>
            <w:r>
              <w:rPr>
                <w:lang w:val="en-US" w:eastAsia="zh-CN"/>
              </w:rPr>
              <w:t>国有</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70B3C">
            <w:pPr>
              <w:pStyle w:val="100"/>
              <w:bidi w:val="0"/>
              <w:rPr>
                <w:rFonts w:hint="default"/>
              </w:rPr>
            </w:pPr>
            <w:r>
              <w:rPr>
                <w:rFonts w:hint="default"/>
                <w:lang w:val="en-US" w:eastAsia="zh-CN"/>
              </w:rPr>
              <w:t xml:space="preserve">0.0280 </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387FE">
            <w:pPr>
              <w:pStyle w:val="100"/>
              <w:bidi w:val="0"/>
              <w:rPr>
                <w:rFonts w:hint="default"/>
              </w:rPr>
            </w:pPr>
            <w:r>
              <w:rPr>
                <w:rFonts w:hint="default"/>
                <w:lang w:val="en-US" w:eastAsia="zh-CN"/>
              </w:rPr>
              <w:t xml:space="preserve">0.0685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0537">
            <w:pPr>
              <w:pStyle w:val="100"/>
              <w:bidi w:val="0"/>
              <w:rPr>
                <w:rFonts w:hint="default"/>
              </w:rPr>
            </w:pPr>
            <w:r>
              <w:rPr>
                <w:rFonts w:hint="default"/>
                <w:lang w:val="en-US" w:eastAsia="zh-CN"/>
              </w:rPr>
              <w:t xml:space="preserve">0.8472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8475C">
            <w:pPr>
              <w:pStyle w:val="100"/>
              <w:bidi w:val="0"/>
              <w:rPr>
                <w:rFonts w:hint="default"/>
              </w:rPr>
            </w:pPr>
            <w:r>
              <w:rPr>
                <w:rFonts w:hint="default"/>
                <w:lang w:val="en-US" w:eastAsia="zh-CN"/>
              </w:rPr>
              <w:t xml:space="preserve">0.9437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5AB8">
            <w:pPr>
              <w:pStyle w:val="100"/>
              <w:bidi w:val="0"/>
              <w:rPr>
                <w:rFonts w:hint="default"/>
              </w:rPr>
            </w:pPr>
            <w:r>
              <w:rPr>
                <w:lang w:val="en-US" w:eastAsia="zh-CN"/>
              </w:rPr>
              <w:t>中度</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BEC0">
            <w:pPr>
              <w:pStyle w:val="100"/>
              <w:bidi w:val="0"/>
              <w:rPr>
                <w:rFonts w:hint="default"/>
              </w:rPr>
            </w:pPr>
            <w:r>
              <w:rPr>
                <w:lang w:val="en-US" w:eastAsia="zh-CN"/>
              </w:rPr>
              <w:t>拟损毁</w:t>
            </w:r>
          </w:p>
        </w:tc>
      </w:tr>
      <w:tr w14:paraId="4F34B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19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54E4">
            <w:pPr>
              <w:pStyle w:val="100"/>
              <w:bidi w:val="0"/>
              <w:rPr>
                <w:rFonts w:hint="default"/>
              </w:rPr>
            </w:pPr>
            <w:r>
              <w:rPr>
                <w:lang w:val="en-US" w:eastAsia="zh-CN"/>
              </w:rPr>
              <w:t>合计</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852F">
            <w:pPr>
              <w:pStyle w:val="100"/>
              <w:bidi w:val="0"/>
              <w:rPr>
                <w:rFonts w:hint="default"/>
              </w:rPr>
            </w:pPr>
            <w:r>
              <w:rPr>
                <w:rFonts w:hint="default"/>
                <w:lang w:val="en-US" w:eastAsia="zh-CN"/>
              </w:rPr>
              <w:t xml:space="preserve">0.0280 </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C08D1">
            <w:pPr>
              <w:pStyle w:val="100"/>
              <w:bidi w:val="0"/>
              <w:rPr>
                <w:rFonts w:hint="default"/>
              </w:rPr>
            </w:pPr>
            <w:r>
              <w:rPr>
                <w:rFonts w:hint="default"/>
                <w:lang w:val="en-US" w:eastAsia="zh-CN"/>
              </w:rPr>
              <w:t xml:space="preserve">0.0685 </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C97B">
            <w:pPr>
              <w:pStyle w:val="100"/>
              <w:bidi w:val="0"/>
              <w:rPr>
                <w:rFonts w:hint="default"/>
              </w:rPr>
            </w:pPr>
            <w:r>
              <w:rPr>
                <w:rFonts w:hint="default"/>
                <w:lang w:val="en-US" w:eastAsia="zh-CN"/>
              </w:rPr>
              <w:t xml:space="preserve">1.8683 </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E6F9F">
            <w:pPr>
              <w:pStyle w:val="100"/>
              <w:bidi w:val="0"/>
              <w:rPr>
                <w:rFonts w:hint="default"/>
              </w:rPr>
            </w:pPr>
            <w:r>
              <w:rPr>
                <w:rFonts w:hint="default"/>
                <w:lang w:val="en-US" w:eastAsia="zh-CN"/>
              </w:rPr>
              <w:t xml:space="preserve">1.9648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CB72">
            <w:pPr>
              <w:pStyle w:val="100"/>
              <w:bidi w:val="0"/>
              <w:rPr>
                <w:rFonts w:hint="default"/>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D51F">
            <w:pPr>
              <w:pStyle w:val="100"/>
              <w:bidi w:val="0"/>
              <w:rPr>
                <w:rFonts w:hint="default"/>
              </w:rPr>
            </w:pPr>
          </w:p>
        </w:tc>
      </w:tr>
    </w:tbl>
    <w:p w14:paraId="02B9977A">
      <w:pPr>
        <w:bidi w:val="0"/>
      </w:pPr>
    </w:p>
    <w:p w14:paraId="29DB46C5">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sectPr>
          <w:pgSz w:w="16838" w:h="11906" w:orient="landscape"/>
          <w:pgMar w:top="1418" w:right="1418" w:bottom="1418" w:left="1701" w:header="720" w:footer="720" w:gutter="0"/>
          <w:pgNumType w:fmt="decimal"/>
          <w:cols w:space="720" w:num="1"/>
          <w:docGrid w:linePitch="312" w:charSpace="0"/>
        </w:sectPr>
      </w:pPr>
    </w:p>
    <w:p w14:paraId="32DF8C50">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4.1.5复垦区与复垦责任范围确定</w:t>
      </w:r>
      <w:bookmarkEnd w:id="75"/>
      <w:bookmarkEnd w:id="76"/>
    </w:p>
    <w:p w14:paraId="0F0970C6">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a）复垦区</w:t>
      </w:r>
    </w:p>
    <w:p w14:paraId="6CBC617C">
      <w:pPr>
        <w:widowControl/>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项目复垦区指生产建设项目损毁土地和永久性建设用地构成的区域。根据项目区生产用地资料，本项目区不涉及永久建设用地，复垦区面积为</w:t>
      </w:r>
      <w:r>
        <w:rPr>
          <w:rFonts w:hint="eastAsia" w:cs="Times New Roman"/>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，全部为临时用地</w:t>
      </w:r>
      <w:r>
        <w:rPr>
          <w:rFonts w:ascii="Times New Roman" w:hAnsi="Times New Roman" w:eastAsia="仿宋_GB2312" w:cs="Times New Roman"/>
          <w:color w:val="000000"/>
          <w:sz w:val="24"/>
          <w:szCs w:val="24"/>
        </w:rPr>
        <w:t>。</w:t>
      </w:r>
    </w:p>
    <w:p w14:paraId="457A5887">
      <w:pPr>
        <w:autoSpaceDE w:val="0"/>
        <w:autoSpaceDN w:val="0"/>
        <w:adjustRightInd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b）复垦责任范围</w:t>
      </w:r>
    </w:p>
    <w:p w14:paraId="28124928">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根据土地复垦方案编制规程可知，项目复垦责任范围指复垦区中损毁土地及</w:t>
      </w:r>
      <w:r>
        <w:rPr>
          <w:rFonts w:hint="eastAsia" w:cs="Times New Roman"/>
          <w:color w:val="000000"/>
          <w:kern w:val="0"/>
          <w:sz w:val="24"/>
          <w:szCs w:val="24"/>
          <w:lang w:eastAsia="zh-CN"/>
        </w:rPr>
        <w:t>不再陆续使用</w:t>
      </w:r>
      <w:r>
        <w:rPr>
          <w:rFonts w:hint="eastAsia" w:ascii="Times New Roman" w:hAnsi="Times New Roman" w:eastAsia="仿宋_GB2312" w:cs="Times New Roman"/>
          <w:color w:val="000000"/>
          <w:kern w:val="0"/>
          <w:sz w:val="24"/>
          <w:szCs w:val="24"/>
        </w:rPr>
        <w:t>的永久性建设用地共同构成的区域。根据上述分析，确定本方案复垦责任范围为</w:t>
      </w:r>
      <w:r>
        <w:rPr>
          <w:rFonts w:hint="eastAsia" w:cs="Times New Roman"/>
          <w:color w:val="000000"/>
          <w:kern w:val="0"/>
          <w:sz w:val="24"/>
          <w:szCs w:val="24"/>
          <w:lang w:eastAsia="zh-CN"/>
        </w:rPr>
        <w:t>项目</w:t>
      </w:r>
      <w:r>
        <w:rPr>
          <w:rFonts w:hint="eastAsia" w:ascii="Times New Roman" w:hAnsi="Times New Roman" w:eastAsia="仿宋_GB2312" w:cs="Times New Roman"/>
          <w:color w:val="000000"/>
          <w:kern w:val="0"/>
          <w:sz w:val="24"/>
          <w:szCs w:val="24"/>
        </w:rPr>
        <w:t>临时损毁土地面积，合计为</w:t>
      </w:r>
      <w:r>
        <w:rPr>
          <w:rFonts w:hint="eastAsia" w:cs="Times New Roman"/>
          <w:color w:val="000000"/>
          <w:kern w:val="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kern w:val="0"/>
          <w:sz w:val="24"/>
          <w:szCs w:val="24"/>
        </w:rPr>
        <w:t>，复垦责任范围面积占复垦区面积的</w:t>
      </w:r>
      <w:r>
        <w:rPr>
          <w:rFonts w:hint="eastAsia" w:ascii="Times New Roman" w:hAnsi="Times New Roman" w:eastAsia="仿宋_GB2312" w:cs="Times New Roman"/>
          <w:color w:val="000000"/>
          <w:kern w:val="0"/>
          <w:sz w:val="24"/>
          <w:szCs w:val="24"/>
          <w:lang w:val="en-US" w:eastAsia="zh-CN"/>
        </w:rPr>
        <w:t>100.0</w:t>
      </w:r>
      <w:r>
        <w:rPr>
          <w:rFonts w:hint="eastAsia" w:ascii="Times New Roman" w:hAnsi="Times New Roman" w:eastAsia="仿宋_GB2312" w:cs="Times New Roman"/>
          <w:color w:val="000000"/>
          <w:kern w:val="0"/>
          <w:sz w:val="24"/>
          <w:szCs w:val="24"/>
        </w:rPr>
        <w:t>0%</w:t>
      </w:r>
      <w:r>
        <w:rPr>
          <w:rFonts w:ascii="Times New Roman" w:hAnsi="Times New Roman" w:eastAsia="仿宋_GB2312" w:cs="Times New Roman"/>
          <w:color w:val="000000"/>
          <w:kern w:val="0"/>
          <w:sz w:val="24"/>
          <w:szCs w:val="24"/>
        </w:rPr>
        <w:t>。</w:t>
      </w:r>
    </w:p>
    <w:p w14:paraId="1E99E0CF">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79" w:name="_Toc402958196"/>
      <w:bookmarkStart w:id="80" w:name="_Toc6236"/>
      <w:bookmarkStart w:id="81" w:name="_Toc21935"/>
      <w:r>
        <w:rPr>
          <w:rFonts w:ascii="Times New Roman" w:hAnsi="Times New Roman" w:eastAsia="黑体" w:cs="Times New Roman"/>
          <w:bCs/>
          <w:color w:val="000000"/>
          <w:kern w:val="0"/>
          <w:sz w:val="30"/>
          <w:szCs w:val="30"/>
        </w:rPr>
        <w:t>4.2 复垦区土地利用现状</w:t>
      </w:r>
      <w:bookmarkEnd w:id="79"/>
      <w:bookmarkEnd w:id="80"/>
      <w:bookmarkEnd w:id="81"/>
    </w:p>
    <w:p w14:paraId="5E908015">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82" w:name="_Toc384127034"/>
      <w:r>
        <w:rPr>
          <w:rFonts w:ascii="Times New Roman" w:hAnsi="Times New Roman" w:eastAsia="黑体" w:cs="Times New Roman"/>
          <w:bCs/>
          <w:color w:val="000000"/>
          <w:sz w:val="28"/>
          <w:szCs w:val="28"/>
        </w:rPr>
        <w:t>4.2.1 土地利用类型</w:t>
      </w:r>
      <w:bookmarkEnd w:id="82"/>
    </w:p>
    <w:p w14:paraId="49A8D105">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根据当地自然资源局提供的</w:t>
      </w:r>
      <w:r>
        <w:rPr>
          <w:rFonts w:hint="eastAsia" w:ascii="Times New Roman" w:hAnsi="Times New Roman" w:eastAsia="仿宋_GB2312" w:cs="Times New Roman"/>
          <w:color w:val="000000"/>
          <w:kern w:val="0"/>
          <w:sz w:val="24"/>
          <w:szCs w:val="24"/>
        </w:rPr>
        <w:t>第三次国土调查数据</w:t>
      </w:r>
      <w:r>
        <w:rPr>
          <w:rFonts w:ascii="Times New Roman" w:hAnsi="Times New Roman" w:eastAsia="仿宋_GB2312" w:cs="Times New Roman"/>
          <w:color w:val="000000"/>
          <w:kern w:val="0"/>
          <w:sz w:val="24"/>
          <w:szCs w:val="24"/>
        </w:rPr>
        <w:t>，结合本项目工程施工情况及实地调查损毁土地面积、分布情况，获得复垦区土地利用现状数据。</w:t>
      </w:r>
    </w:p>
    <w:p w14:paraId="09E16A18">
      <w:pPr>
        <w:widowControl/>
        <w:adjustRightInd w:val="0"/>
        <w:snapToGrid w:val="0"/>
        <w:spacing w:line="360" w:lineRule="auto"/>
        <w:ind w:firstLine="480" w:firstLineChars="200"/>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1）复垦区总面积为</w:t>
      </w:r>
      <w:r>
        <w:rPr>
          <w:rFonts w:hint="eastAsia" w:cs="Times New Roman"/>
          <w:color w:val="000000"/>
          <w:kern w:val="0"/>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kern w:val="0"/>
          <w:sz w:val="24"/>
          <w:szCs w:val="24"/>
        </w:rPr>
        <w:t>；</w:t>
      </w:r>
    </w:p>
    <w:p w14:paraId="691E8419">
      <w:pPr>
        <w:widowControl/>
        <w:adjustRightInd w:val="0"/>
        <w:snapToGrid w:val="0"/>
        <w:spacing w:line="360" w:lineRule="auto"/>
        <w:ind w:firstLine="480" w:firstLineChars="200"/>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2）从复垦区所涉及的地类来看，涉及</w:t>
      </w:r>
      <w:r>
        <w:rPr>
          <w:rFonts w:hint="eastAsia" w:cs="Times New Roman"/>
          <w:color w:val="000000"/>
          <w:kern w:val="0"/>
          <w:sz w:val="24"/>
          <w:szCs w:val="24"/>
          <w:lang w:val="en-US" w:eastAsia="zh-CN"/>
        </w:rPr>
        <w:t>2</w:t>
      </w:r>
      <w:r>
        <w:rPr>
          <w:rFonts w:hint="eastAsia" w:ascii="Times New Roman" w:hAnsi="Times New Roman" w:eastAsia="仿宋_GB2312" w:cs="Times New Roman"/>
          <w:color w:val="000000"/>
          <w:kern w:val="0"/>
          <w:sz w:val="24"/>
          <w:szCs w:val="24"/>
        </w:rPr>
        <w:t>种一级地类，为工矿仓储用地及</w:t>
      </w:r>
      <w:r>
        <w:rPr>
          <w:rFonts w:hint="eastAsia" w:ascii="Times New Roman" w:hAnsi="Times New Roman" w:eastAsia="仿宋_GB2312" w:cs="Times New Roman"/>
          <w:color w:val="000000"/>
          <w:kern w:val="0"/>
          <w:sz w:val="24"/>
          <w:szCs w:val="24"/>
          <w:lang w:val="en-US" w:eastAsia="zh-CN"/>
        </w:rPr>
        <w:t>其他土地</w:t>
      </w:r>
      <w:r>
        <w:rPr>
          <w:rFonts w:hint="eastAsia" w:ascii="Times New Roman" w:hAnsi="Times New Roman" w:eastAsia="仿宋_GB2312" w:cs="Times New Roman"/>
          <w:color w:val="000000"/>
          <w:kern w:val="0"/>
          <w:sz w:val="24"/>
          <w:szCs w:val="24"/>
        </w:rPr>
        <w:t>；</w:t>
      </w:r>
    </w:p>
    <w:p w14:paraId="5EF6CE19">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3）地类细分至二级，则复垦区涉及</w:t>
      </w:r>
      <w:r>
        <w:rPr>
          <w:rFonts w:hint="eastAsia" w:cs="Times New Roman"/>
          <w:color w:val="000000"/>
          <w:kern w:val="0"/>
          <w:sz w:val="24"/>
          <w:szCs w:val="24"/>
          <w:lang w:val="en-US" w:eastAsia="zh-CN"/>
        </w:rPr>
        <w:t>工业用地、采矿用地及裸岩石砾地</w:t>
      </w:r>
      <w:r>
        <w:rPr>
          <w:rFonts w:hint="eastAsia" w:ascii="Times New Roman" w:hAnsi="Times New Roman" w:eastAsia="仿宋_GB2312" w:cs="Times New Roman"/>
          <w:color w:val="000000"/>
          <w:kern w:val="0"/>
          <w:sz w:val="24"/>
          <w:szCs w:val="24"/>
        </w:rPr>
        <w:t>共</w:t>
      </w:r>
      <w:r>
        <w:rPr>
          <w:rFonts w:hint="eastAsia" w:cs="Times New Roman"/>
          <w:color w:val="000000"/>
          <w:kern w:val="0"/>
          <w:sz w:val="24"/>
          <w:szCs w:val="24"/>
          <w:lang w:val="en-US" w:eastAsia="zh-CN"/>
        </w:rPr>
        <w:t>3</w:t>
      </w:r>
      <w:r>
        <w:rPr>
          <w:rFonts w:hint="eastAsia" w:ascii="Times New Roman" w:hAnsi="Times New Roman" w:eastAsia="仿宋_GB2312" w:cs="Times New Roman"/>
          <w:color w:val="000000"/>
          <w:kern w:val="0"/>
          <w:sz w:val="24"/>
          <w:szCs w:val="24"/>
        </w:rPr>
        <w:t>种地类（表4.2-1）。</w:t>
      </w:r>
    </w:p>
    <w:p w14:paraId="7F701069">
      <w:pPr>
        <w:pStyle w:val="22"/>
        <w:bidi w:val="0"/>
      </w:pPr>
      <w:r>
        <w:t>表4.</w:t>
      </w:r>
      <w:r>
        <w:rPr>
          <w:rFonts w:hint="eastAsia"/>
        </w:rPr>
        <w:t>2</w:t>
      </w:r>
      <w:r>
        <w:t>-</w:t>
      </w:r>
      <w:r>
        <w:rPr>
          <w:rFonts w:hint="eastAsia"/>
        </w:rPr>
        <w:t>1</w:t>
      </w:r>
      <w:r>
        <w:t xml:space="preserve">  </w:t>
      </w:r>
      <w:r>
        <w:rPr>
          <w:rFonts w:hint="eastAsia"/>
        </w:rPr>
        <w:t>复垦区及复垦责任范围面积汇总表</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73"/>
        <w:gridCol w:w="3175"/>
        <w:gridCol w:w="1482"/>
        <w:gridCol w:w="1452"/>
      </w:tblGrid>
      <w:tr w14:paraId="163E5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710B">
            <w:pPr>
              <w:pStyle w:val="100"/>
              <w:bidi w:val="0"/>
              <w:rPr>
                <w:rFonts w:hint="default"/>
              </w:rPr>
            </w:pPr>
            <w:bookmarkStart w:id="83" w:name="_Toc384127035"/>
            <w:r>
              <w:rPr>
                <w:lang w:val="en-US" w:eastAsia="zh-CN"/>
              </w:rPr>
              <w:t>一级类（编码）</w:t>
            </w:r>
          </w:p>
        </w:tc>
        <w:tc>
          <w:tcPr>
            <w:tcW w:w="1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0F48">
            <w:pPr>
              <w:pStyle w:val="100"/>
              <w:bidi w:val="0"/>
              <w:rPr>
                <w:rFonts w:hint="default"/>
              </w:rPr>
            </w:pPr>
            <w:r>
              <w:rPr>
                <w:lang w:val="en-US" w:eastAsia="zh-CN"/>
              </w:rPr>
              <w:t>二级类（编码）</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11C1">
            <w:pPr>
              <w:pStyle w:val="100"/>
              <w:bidi w:val="0"/>
              <w:rPr>
                <w:rFonts w:hint="default"/>
              </w:rPr>
            </w:pPr>
            <w:r>
              <w:rPr>
                <w:lang w:val="en-US" w:eastAsia="zh-CN"/>
              </w:rPr>
              <w:t>合计</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2871">
            <w:pPr>
              <w:pStyle w:val="100"/>
              <w:bidi w:val="0"/>
              <w:rPr>
                <w:rFonts w:hint="default"/>
              </w:rPr>
            </w:pPr>
            <w:r>
              <w:rPr>
                <w:lang w:val="en-US" w:eastAsia="zh-CN"/>
              </w:rPr>
              <w:t>百分比</w:t>
            </w:r>
          </w:p>
        </w:tc>
      </w:tr>
      <w:tr w14:paraId="1BFC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709" w:type="pct"/>
            <w:vMerge w:val="restart"/>
            <w:tcBorders>
              <w:top w:val="single" w:color="000000" w:sz="4" w:space="0"/>
              <w:left w:val="single" w:color="000000" w:sz="4" w:space="0"/>
              <w:bottom w:val="nil"/>
              <w:right w:val="single" w:color="000000" w:sz="4" w:space="0"/>
            </w:tcBorders>
            <w:shd w:val="clear" w:color="auto" w:fill="auto"/>
            <w:noWrap/>
            <w:vAlign w:val="center"/>
          </w:tcPr>
          <w:p w14:paraId="0BFC191A">
            <w:pPr>
              <w:pStyle w:val="100"/>
              <w:bidi w:val="0"/>
              <w:rPr>
                <w:rFonts w:hint="default"/>
              </w:rPr>
            </w:pPr>
            <w:r>
              <w:rPr>
                <w:lang w:val="en-US" w:eastAsia="zh-CN"/>
              </w:rPr>
              <w:t>工矿仓储用地（</w:t>
            </w:r>
            <w:r>
              <w:rPr>
                <w:rFonts w:hint="default"/>
                <w:lang w:val="en-US" w:eastAsia="zh-CN"/>
              </w:rPr>
              <w:t>06</w:t>
            </w:r>
            <w:r>
              <w:rPr>
                <w:lang w:val="en-US" w:eastAsia="zh-CN"/>
              </w:rPr>
              <w:t>）</w:t>
            </w:r>
          </w:p>
        </w:tc>
        <w:tc>
          <w:tcPr>
            <w:tcW w:w="1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D449">
            <w:pPr>
              <w:pStyle w:val="100"/>
              <w:bidi w:val="0"/>
              <w:rPr>
                <w:rFonts w:hint="default"/>
              </w:rPr>
            </w:pPr>
            <w:r>
              <w:rPr>
                <w:lang w:val="en-US" w:eastAsia="zh-CN"/>
              </w:rPr>
              <w:t>工业用地（</w:t>
            </w:r>
            <w:r>
              <w:rPr>
                <w:rFonts w:hint="default"/>
                <w:lang w:val="en-US" w:eastAsia="zh-CN"/>
              </w:rPr>
              <w:t>0601</w:t>
            </w:r>
            <w:r>
              <w:rPr>
                <w:lang w:val="en-US" w:eastAsia="zh-CN"/>
              </w:rPr>
              <w:t>）</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4E03">
            <w:pPr>
              <w:pStyle w:val="100"/>
              <w:bidi w:val="0"/>
              <w:rPr>
                <w:rFonts w:hint="default"/>
              </w:rPr>
            </w:pPr>
            <w:r>
              <w:rPr>
                <w:rFonts w:hint="default"/>
                <w:lang w:val="en-US" w:eastAsia="zh-CN"/>
              </w:rPr>
              <w:t xml:space="preserve">0.0280 </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FE57">
            <w:pPr>
              <w:pStyle w:val="100"/>
              <w:bidi w:val="0"/>
              <w:rPr>
                <w:rFonts w:hint="default"/>
              </w:rPr>
            </w:pPr>
            <w:r>
              <w:rPr>
                <w:rFonts w:hint="default"/>
                <w:lang w:val="en-US" w:eastAsia="zh-CN"/>
              </w:rPr>
              <w:t>1.43%</w:t>
            </w:r>
          </w:p>
        </w:tc>
      </w:tr>
      <w:tr w14:paraId="1FD4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70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2534F46">
            <w:pPr>
              <w:pStyle w:val="100"/>
              <w:bidi w:val="0"/>
              <w:rPr>
                <w:rFonts w:hint="default"/>
              </w:rPr>
            </w:pPr>
          </w:p>
        </w:tc>
        <w:tc>
          <w:tcPr>
            <w:tcW w:w="17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47970">
            <w:pPr>
              <w:pStyle w:val="100"/>
              <w:bidi w:val="0"/>
              <w:rPr>
                <w:rFonts w:hint="default"/>
              </w:rPr>
            </w:pPr>
            <w:r>
              <w:rPr>
                <w:lang w:val="en-US" w:eastAsia="zh-CN"/>
              </w:rPr>
              <w:t>采矿用地（</w:t>
            </w:r>
            <w:r>
              <w:rPr>
                <w:rFonts w:hint="default"/>
                <w:lang w:val="en-US" w:eastAsia="zh-CN"/>
              </w:rPr>
              <w:t>0602</w:t>
            </w:r>
            <w:r>
              <w:rPr>
                <w:lang w:val="en-US" w:eastAsia="zh-CN"/>
              </w:rPr>
              <w:t>）</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0F39">
            <w:pPr>
              <w:pStyle w:val="100"/>
              <w:bidi w:val="0"/>
              <w:rPr>
                <w:rFonts w:hint="default"/>
              </w:rPr>
            </w:pPr>
            <w:r>
              <w:rPr>
                <w:rFonts w:hint="default"/>
                <w:lang w:val="en-US" w:eastAsia="zh-CN"/>
              </w:rPr>
              <w:t xml:space="preserve">0.0685 </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47C0">
            <w:pPr>
              <w:pStyle w:val="100"/>
              <w:bidi w:val="0"/>
              <w:rPr>
                <w:rFonts w:hint="default"/>
              </w:rPr>
            </w:pPr>
            <w:r>
              <w:rPr>
                <w:rFonts w:hint="default"/>
                <w:lang w:val="en-US" w:eastAsia="zh-CN"/>
              </w:rPr>
              <w:t>3.49%</w:t>
            </w:r>
          </w:p>
        </w:tc>
      </w:tr>
      <w:tr w14:paraId="6380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380D">
            <w:pPr>
              <w:pStyle w:val="100"/>
              <w:bidi w:val="0"/>
              <w:rPr>
                <w:rFonts w:hint="default"/>
              </w:rPr>
            </w:pPr>
            <w:r>
              <w:rPr>
                <w:lang w:val="en-US" w:eastAsia="zh-CN"/>
              </w:rPr>
              <w:t>其他土地（</w:t>
            </w:r>
            <w:r>
              <w:rPr>
                <w:rFonts w:hint="default"/>
                <w:lang w:val="en-US" w:eastAsia="zh-CN"/>
              </w:rPr>
              <w:t>12</w:t>
            </w:r>
            <w:r>
              <w:rPr>
                <w:lang w:val="en-US" w:eastAsia="zh-CN"/>
              </w:rPr>
              <w:t>）</w:t>
            </w:r>
          </w:p>
        </w:tc>
        <w:tc>
          <w:tcPr>
            <w:tcW w:w="1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00D3">
            <w:pPr>
              <w:pStyle w:val="100"/>
              <w:bidi w:val="0"/>
              <w:rPr>
                <w:rFonts w:hint="default"/>
              </w:rPr>
            </w:pPr>
            <w:r>
              <w:rPr>
                <w:lang w:val="en-US" w:eastAsia="zh-CN"/>
              </w:rPr>
              <w:t>裸岩石砾地（</w:t>
            </w:r>
            <w:r>
              <w:rPr>
                <w:rFonts w:hint="default"/>
                <w:lang w:val="en-US" w:eastAsia="zh-CN"/>
              </w:rPr>
              <w:t>1207</w:t>
            </w:r>
            <w:r>
              <w:rPr>
                <w:lang w:val="en-US" w:eastAsia="zh-CN"/>
              </w:rPr>
              <w:t>）</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77EE">
            <w:pPr>
              <w:pStyle w:val="100"/>
              <w:bidi w:val="0"/>
              <w:rPr>
                <w:rFonts w:hint="default"/>
              </w:rPr>
            </w:pPr>
            <w:r>
              <w:rPr>
                <w:rFonts w:hint="default"/>
                <w:lang w:val="en-US" w:eastAsia="zh-CN"/>
              </w:rPr>
              <w:t xml:space="preserve">1.8683 </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EDAF">
            <w:pPr>
              <w:pStyle w:val="100"/>
              <w:bidi w:val="0"/>
              <w:rPr>
                <w:rFonts w:hint="default"/>
              </w:rPr>
            </w:pPr>
            <w:r>
              <w:rPr>
                <w:rFonts w:hint="default"/>
                <w:lang w:val="en-US" w:eastAsia="zh-CN"/>
              </w:rPr>
              <w:t>95.09%</w:t>
            </w:r>
          </w:p>
        </w:tc>
      </w:tr>
      <w:tr w14:paraId="350A2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4733">
            <w:pPr>
              <w:pStyle w:val="100"/>
              <w:bidi w:val="0"/>
              <w:rPr>
                <w:rFonts w:hint="default"/>
              </w:rPr>
            </w:pPr>
            <w:r>
              <w:rPr>
                <w:lang w:val="en-US" w:eastAsia="zh-CN"/>
              </w:rPr>
              <w:t>合计</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A052">
            <w:pPr>
              <w:pStyle w:val="100"/>
              <w:bidi w:val="0"/>
              <w:rPr>
                <w:rFonts w:hint="default"/>
              </w:rPr>
            </w:pPr>
            <w:r>
              <w:rPr>
                <w:rFonts w:hint="default"/>
                <w:lang w:val="en-US" w:eastAsia="zh-CN"/>
              </w:rPr>
              <w:t xml:space="preserve">1.9648 </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2AB4">
            <w:pPr>
              <w:pStyle w:val="100"/>
              <w:bidi w:val="0"/>
              <w:rPr>
                <w:rFonts w:hint="default"/>
              </w:rPr>
            </w:pPr>
            <w:r>
              <w:rPr>
                <w:rFonts w:hint="default"/>
                <w:lang w:val="en-US" w:eastAsia="zh-CN"/>
              </w:rPr>
              <w:t>100.00%</w:t>
            </w:r>
          </w:p>
        </w:tc>
      </w:tr>
    </w:tbl>
    <w:p w14:paraId="3773C8FA">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4.2.2 土地权属状况</w:t>
      </w:r>
      <w:bookmarkEnd w:id="83"/>
    </w:p>
    <w:p w14:paraId="7E255932">
      <w:pPr>
        <w:widowControl/>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本方案土地权属性质均为国有土地。通过签订临时用地协议方式获得临时用地使用权，复垦责任范围内土地产权明晰，权属界线清楚，无任何纠纷。</w:t>
      </w:r>
    </w:p>
    <w:p w14:paraId="66547ADB">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C00000"/>
          <w:kern w:val="0"/>
          <w:sz w:val="30"/>
          <w:szCs w:val="30"/>
        </w:rPr>
      </w:pPr>
      <w:bookmarkStart w:id="84" w:name="_Toc402958197"/>
      <w:bookmarkStart w:id="85" w:name="_Toc910"/>
      <w:bookmarkStart w:id="86" w:name="_Toc384129334"/>
      <w:bookmarkStart w:id="87" w:name="_Toc28018"/>
      <w:r>
        <w:rPr>
          <w:rFonts w:ascii="Times New Roman" w:hAnsi="Times New Roman" w:eastAsia="黑体" w:cs="Times New Roman"/>
          <w:bCs/>
          <w:color w:val="000000"/>
          <w:kern w:val="0"/>
          <w:sz w:val="30"/>
          <w:szCs w:val="30"/>
        </w:rPr>
        <w:t>4</w:t>
      </w:r>
      <w:r>
        <w:rPr>
          <w:rFonts w:ascii="Times New Roman" w:hAnsi="Times New Roman" w:eastAsia="黑体" w:cs="Times New Roman"/>
          <w:bCs/>
          <w:kern w:val="0"/>
          <w:sz w:val="30"/>
          <w:szCs w:val="30"/>
        </w:rPr>
        <w:t>.3 生态环境影响分析</w:t>
      </w:r>
      <w:bookmarkEnd w:id="84"/>
      <w:bookmarkEnd w:id="85"/>
      <w:bookmarkEnd w:id="86"/>
      <w:bookmarkEnd w:id="87"/>
    </w:p>
    <w:p w14:paraId="74A6E2F7">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88" w:name="_Toc384127037"/>
      <w:r>
        <w:rPr>
          <w:rFonts w:ascii="Times New Roman" w:hAnsi="Times New Roman" w:eastAsia="黑体" w:cs="Times New Roman"/>
          <w:bCs/>
          <w:color w:val="000000"/>
          <w:sz w:val="28"/>
          <w:szCs w:val="28"/>
        </w:rPr>
        <w:t xml:space="preserve">4.3.1 </w:t>
      </w:r>
      <w:bookmarkEnd w:id="88"/>
      <w:r>
        <w:rPr>
          <w:rFonts w:ascii="Times New Roman" w:hAnsi="Times New Roman" w:eastAsia="黑体" w:cs="Times New Roman"/>
          <w:bCs/>
          <w:color w:val="000000"/>
          <w:sz w:val="28"/>
          <w:szCs w:val="28"/>
        </w:rPr>
        <w:t>土壤环境影响分析</w:t>
      </w:r>
    </w:p>
    <w:p w14:paraId="286B0D57">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bookmarkStart w:id="89" w:name="_Toc384127038"/>
      <w:r>
        <w:rPr>
          <w:rFonts w:ascii="Times New Roman" w:hAnsi="Times New Roman" w:eastAsia="仿宋_GB2312" w:cs="Times New Roman"/>
          <w:color w:val="000000"/>
          <w:kern w:val="0"/>
          <w:sz w:val="24"/>
          <w:szCs w:val="24"/>
        </w:rPr>
        <w:t>项目区所在区域属大陆性干旱气候，夏季干热，降水少，蒸发量大，气候干燥。生态环境特征表现为地表植被稀疏，土质松软，生态环境脆弱。在该区域进行</w:t>
      </w:r>
      <w:r>
        <w:rPr>
          <w:rFonts w:hint="eastAsia" w:cs="Times New Roman"/>
          <w:color w:val="000000"/>
          <w:kern w:val="0"/>
          <w:sz w:val="24"/>
          <w:szCs w:val="24"/>
          <w:lang w:val="en-US" w:eastAsia="zh-CN"/>
        </w:rPr>
        <w:t>压裂施工项目</w:t>
      </w:r>
      <w:r>
        <w:rPr>
          <w:rFonts w:ascii="Times New Roman" w:hAnsi="Times New Roman" w:eastAsia="仿宋_GB2312" w:cs="Times New Roman"/>
          <w:color w:val="000000"/>
          <w:kern w:val="0"/>
          <w:sz w:val="24"/>
          <w:szCs w:val="24"/>
        </w:rPr>
        <w:t>建设活动易导致土壤侵蚀、荒漠化程度加大。</w:t>
      </w:r>
    </w:p>
    <w:p w14:paraId="5E7D24C3">
      <w:pPr>
        <w:widowControl/>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在</w:t>
      </w:r>
      <w:r>
        <w:rPr>
          <w:rFonts w:hint="eastAsia" w:ascii="Times New Roman" w:hAnsi="Times New Roman" w:eastAsia="仿宋_GB2312" w:cs="Times New Roman"/>
          <w:color w:val="000000"/>
          <w:kern w:val="0"/>
          <w:sz w:val="24"/>
          <w:szCs w:val="24"/>
          <w:lang w:val="en-US" w:eastAsia="zh-CN"/>
        </w:rPr>
        <w:t>项目</w:t>
      </w:r>
      <w:r>
        <w:rPr>
          <w:rFonts w:ascii="Times New Roman" w:hAnsi="Times New Roman" w:eastAsia="仿宋_GB2312" w:cs="Times New Roman"/>
          <w:color w:val="000000"/>
          <w:kern w:val="0"/>
          <w:sz w:val="24"/>
          <w:szCs w:val="24"/>
        </w:rPr>
        <w:t>施工过程中，由于生产设施搭建、车辆和人员走动等影响，一定程度上会改变原有土壤结构和理化性质，改变原始地貌形态和地表结构，使表土内有机质含量降低，土壤紧实度增高，地表水渗入减少，并且使土壤的富集过程受阻，土壤生产力下降，地表植被覆盖度降低，进而改变局部水土流失和土地荒漠化状况。项目建设中对土地造成的压占，扰动原地貌、损毁土壤和破坏植被，造成大面积的地表裸露，减弱了地表的固土保肥功能，如果预防措施不当，容易导致该区土地进一步荒漠化及水土流失，造成土地质量下降。</w:t>
      </w:r>
    </w:p>
    <w:p w14:paraId="205E8C17">
      <w:pPr>
        <w:keepNext/>
        <w:keepLines/>
        <w:tabs>
          <w:tab w:val="left" w:pos="5640"/>
        </w:tabs>
        <w:adjustRightInd w:val="0"/>
        <w:snapToGrid w:val="0"/>
        <w:spacing w:before="120" w:beforeLines="50" w:after="120" w:afterLines="50" w:line="500" w:lineRule="exact"/>
        <w:ind w:firstLine="561"/>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 xml:space="preserve">4.3.2 </w:t>
      </w:r>
      <w:bookmarkEnd w:id="89"/>
      <w:r>
        <w:rPr>
          <w:rFonts w:ascii="Times New Roman" w:hAnsi="Times New Roman" w:eastAsia="黑体" w:cs="Times New Roman"/>
          <w:bCs/>
          <w:color w:val="000000"/>
          <w:sz w:val="28"/>
          <w:szCs w:val="28"/>
        </w:rPr>
        <w:t>水资源影响分析</w:t>
      </w:r>
    </w:p>
    <w:p w14:paraId="6419BDC0">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本项目对水环境的影响主要是施工建设期对水环境产生影响，主要表现在</w:t>
      </w:r>
      <w:r>
        <w:rPr>
          <w:rFonts w:hint="eastAsia" w:ascii="Times New Roman" w:hAnsi="Times New Roman" w:eastAsia="仿宋_GB2312" w:cs="Times New Roman"/>
          <w:color w:val="000000"/>
          <w:kern w:val="0"/>
          <w:sz w:val="24"/>
          <w:szCs w:val="24"/>
          <w:lang w:val="en-US" w:eastAsia="zh-CN"/>
        </w:rPr>
        <w:t>施工期间</w:t>
      </w:r>
      <w:r>
        <w:rPr>
          <w:rFonts w:ascii="Times New Roman" w:hAnsi="Times New Roman" w:eastAsia="仿宋_GB2312" w:cs="Times New Roman"/>
          <w:color w:val="000000"/>
          <w:kern w:val="0"/>
          <w:sz w:val="24"/>
          <w:szCs w:val="24"/>
        </w:rPr>
        <w:t>生活污水对地下水环境产生影响。</w:t>
      </w:r>
    </w:p>
    <w:p w14:paraId="1DCB712B">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项目区所处地域日照强烈，蒸发量大，水资源主要为地下水。在项目施工期间生活废水必须全部进入废水池，不得随处倾倒。废水池必须铺设防渗膜，防止废水渗入地层。废水应回收集中委托专业环保单位处理。所含水分进行日照自然蒸发，不外排。只要保证</w:t>
      </w:r>
      <w:r>
        <w:rPr>
          <w:rFonts w:hint="eastAsia" w:ascii="Times New Roman" w:hAnsi="Times New Roman" w:eastAsia="仿宋_GB2312" w:cs="Times New Roman"/>
          <w:color w:val="000000"/>
          <w:kern w:val="0"/>
          <w:sz w:val="24"/>
          <w:szCs w:val="24"/>
          <w:lang w:val="en-US" w:eastAsia="zh-CN"/>
        </w:rPr>
        <w:t>污水</w:t>
      </w:r>
      <w:r>
        <w:rPr>
          <w:rFonts w:ascii="Times New Roman" w:hAnsi="Times New Roman" w:eastAsia="仿宋_GB2312" w:cs="Times New Roman"/>
          <w:color w:val="000000"/>
          <w:kern w:val="0"/>
          <w:sz w:val="24"/>
          <w:szCs w:val="24"/>
        </w:rPr>
        <w:t>不进入外部环境，渗入土壤，就不会对项目区水环境产生影响。因此，本项目建设对水环境影响较小。</w:t>
      </w:r>
    </w:p>
    <w:p w14:paraId="3DE11FF8">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90" w:name="_Toc384127039"/>
      <w:r>
        <w:rPr>
          <w:rFonts w:ascii="Times New Roman" w:hAnsi="Times New Roman" w:eastAsia="黑体" w:cs="Times New Roman"/>
          <w:bCs/>
          <w:color w:val="000000"/>
          <w:sz w:val="28"/>
          <w:szCs w:val="28"/>
        </w:rPr>
        <w:t>4.3.3生物资源影响</w:t>
      </w:r>
      <w:bookmarkEnd w:id="90"/>
      <w:r>
        <w:rPr>
          <w:rFonts w:ascii="Times New Roman" w:hAnsi="Times New Roman" w:eastAsia="黑体" w:cs="Times New Roman"/>
          <w:bCs/>
          <w:color w:val="000000"/>
          <w:sz w:val="28"/>
          <w:szCs w:val="28"/>
        </w:rPr>
        <w:t>分析</w:t>
      </w:r>
    </w:p>
    <w:bookmarkEnd w:id="77"/>
    <w:p w14:paraId="725583C4">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bookmarkStart w:id="91" w:name="_Toc402958198"/>
      <w:bookmarkStart w:id="92" w:name="_Toc742"/>
      <w:r>
        <w:rPr>
          <w:rFonts w:hint="eastAsia" w:ascii="Times New Roman" w:hAnsi="Times New Roman" w:eastAsia="仿宋_GB2312" w:cs="Times New Roman"/>
          <w:color w:val="000000"/>
          <w:kern w:val="0"/>
          <w:sz w:val="24"/>
          <w:szCs w:val="24"/>
        </w:rPr>
        <w:t>本项目建设对野生动物生存环境、分布范围和种群数量的影响主要有两方面：一是项目施工建设期人类和机械对生物资源的影响；二是施工废水、废气、固体废物对野生动物的影响。</w:t>
      </w:r>
    </w:p>
    <w:p w14:paraId="58E0ACB3">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a）施工人员和机械对动植物的影响项目建设过程中大量人员、机械进入该区域，对植被环境会产生一定影响，主要表现在人类和机械活动对植被的破坏、践踏和碾压，使原生植被生存环境发生变化。但是占地面积小，建设时期短，对植被环境影响只是局部的、暂时的，</w:t>
      </w:r>
      <w:r>
        <w:rPr>
          <w:rFonts w:hint="eastAsia" w:cs="Times New Roman"/>
          <w:color w:val="000000"/>
          <w:kern w:val="0"/>
          <w:sz w:val="24"/>
          <w:szCs w:val="24"/>
          <w:lang w:eastAsia="zh-CN"/>
        </w:rPr>
        <w:t>压裂施工项目</w:t>
      </w:r>
      <w:r>
        <w:rPr>
          <w:rFonts w:hint="eastAsia" w:ascii="Times New Roman" w:hAnsi="Times New Roman" w:eastAsia="仿宋_GB2312" w:cs="Times New Roman"/>
          <w:color w:val="000000"/>
          <w:kern w:val="0"/>
          <w:sz w:val="24"/>
          <w:szCs w:val="24"/>
        </w:rPr>
        <w:t>建设完成后及时进行复垦措施，可以将对植被环境的影响降到最小。项目建设用地大部分在人烟稀少的戈壁区域，也不是野生动物的主要栖息地，</w:t>
      </w:r>
      <w:r>
        <w:rPr>
          <w:rFonts w:hint="eastAsia" w:ascii="Times New Roman" w:hAnsi="Times New Roman" w:eastAsia="仿宋_GB2312" w:cs="Times New Roman"/>
          <w:color w:val="000000"/>
          <w:kern w:val="0"/>
          <w:sz w:val="24"/>
          <w:szCs w:val="24"/>
          <w:lang w:val="en-US" w:eastAsia="zh-CN"/>
        </w:rPr>
        <w:t>项目</w:t>
      </w:r>
      <w:r>
        <w:rPr>
          <w:rFonts w:hint="eastAsia" w:ascii="Times New Roman" w:hAnsi="Times New Roman" w:eastAsia="仿宋_GB2312" w:cs="Times New Roman"/>
          <w:color w:val="000000"/>
          <w:kern w:val="0"/>
          <w:sz w:val="24"/>
          <w:szCs w:val="24"/>
        </w:rPr>
        <w:t>用地附近出现野生动物的几率较小，因此项目建设不会对动物区域性生存环境产生明显影响。</w:t>
      </w:r>
    </w:p>
    <w:p w14:paraId="6542217C">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b）</w:t>
      </w:r>
      <w:r>
        <w:rPr>
          <w:rFonts w:hint="eastAsia" w:cs="Times New Roman"/>
          <w:color w:val="000000"/>
          <w:kern w:val="0"/>
          <w:sz w:val="24"/>
          <w:szCs w:val="24"/>
          <w:lang w:eastAsia="zh-CN"/>
        </w:rPr>
        <w:t>压裂施工项目</w:t>
      </w:r>
      <w:r>
        <w:rPr>
          <w:rFonts w:hint="eastAsia" w:ascii="Times New Roman" w:hAnsi="Times New Roman" w:eastAsia="仿宋_GB2312" w:cs="Times New Roman"/>
          <w:color w:val="000000"/>
          <w:kern w:val="0"/>
          <w:sz w:val="24"/>
          <w:szCs w:val="24"/>
        </w:rPr>
        <w:t>施工对生物资源的影响已有资料表明，</w:t>
      </w:r>
      <w:r>
        <w:rPr>
          <w:rFonts w:hint="eastAsia" w:cs="Times New Roman"/>
          <w:color w:val="000000"/>
          <w:kern w:val="0"/>
          <w:sz w:val="24"/>
          <w:szCs w:val="24"/>
          <w:lang w:eastAsia="zh-CN"/>
        </w:rPr>
        <w:t>压裂施工项目</w:t>
      </w:r>
      <w:r>
        <w:rPr>
          <w:rFonts w:hint="eastAsia" w:ascii="Times New Roman" w:hAnsi="Times New Roman" w:eastAsia="仿宋_GB2312" w:cs="Times New Roman"/>
          <w:color w:val="000000"/>
          <w:kern w:val="0"/>
          <w:sz w:val="24"/>
          <w:szCs w:val="24"/>
        </w:rPr>
        <w:t>占地面积较小，施工对周边地区环境质量的影响较小，基本不会对当地生物资源产生影响</w:t>
      </w:r>
      <w:r>
        <w:rPr>
          <w:rFonts w:ascii="Times New Roman" w:hAnsi="Times New Roman" w:eastAsia="仿宋_GB2312" w:cs="Times New Roman"/>
          <w:color w:val="000000"/>
          <w:kern w:val="0"/>
          <w:sz w:val="24"/>
          <w:szCs w:val="24"/>
        </w:rPr>
        <w:t>。</w:t>
      </w:r>
    </w:p>
    <w:p w14:paraId="7FF225A9">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93" w:name="_Toc26525"/>
      <w:r>
        <w:rPr>
          <w:rFonts w:ascii="Times New Roman" w:hAnsi="Times New Roman" w:eastAsia="黑体" w:cs="Times New Roman"/>
          <w:bCs/>
          <w:color w:val="000000"/>
          <w:kern w:val="0"/>
          <w:sz w:val="30"/>
          <w:szCs w:val="30"/>
        </w:rPr>
        <w:t xml:space="preserve">4.4 </w:t>
      </w:r>
      <w:bookmarkEnd w:id="91"/>
      <w:r>
        <w:rPr>
          <w:rFonts w:ascii="Times New Roman" w:hAnsi="Times New Roman" w:eastAsia="黑体" w:cs="Times New Roman"/>
          <w:bCs/>
          <w:color w:val="000000"/>
          <w:kern w:val="0"/>
          <w:sz w:val="30"/>
          <w:szCs w:val="30"/>
        </w:rPr>
        <w:t>土地复垦适宜性评价</w:t>
      </w:r>
      <w:bookmarkEnd w:id="92"/>
      <w:bookmarkEnd w:id="93"/>
    </w:p>
    <w:p w14:paraId="227FCEF9">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bookmarkStart w:id="94" w:name="_Toc384129335"/>
      <w:bookmarkStart w:id="95" w:name="_Toc402958199"/>
      <w:bookmarkStart w:id="96" w:name="_Toc402958200"/>
      <w:r>
        <w:rPr>
          <w:rFonts w:hint="eastAsia" w:ascii="Times New Roman" w:hAnsi="Times New Roman" w:eastAsia="仿宋_GB2312" w:cs="Times New Roman"/>
          <w:color w:val="000000"/>
          <w:kern w:val="0"/>
          <w:sz w:val="24"/>
          <w:szCs w:val="24"/>
        </w:rPr>
        <w:t>土地适宜性评价是土地复垦利用方向决策和改良途径选择的基础。按照一般土地适宜性评价步骤，首先对需进行评价的土地作土地质量调查编制图表，提出土地利用目标，两者进行匹配后，调节利用目标或提高土地质量来完成土地适宜性评价工作</w:t>
      </w:r>
      <w:r>
        <w:rPr>
          <w:rFonts w:ascii="Times New Roman" w:hAnsi="Times New Roman" w:eastAsia="仿宋_GB2312" w:cs="Times New Roman"/>
          <w:color w:val="000000"/>
          <w:kern w:val="0"/>
          <w:sz w:val="24"/>
          <w:szCs w:val="24"/>
        </w:rPr>
        <w:t>。</w:t>
      </w:r>
    </w:p>
    <w:bookmarkEnd w:id="94"/>
    <w:bookmarkEnd w:id="95"/>
    <w:p w14:paraId="3FD591AA">
      <w:pPr>
        <w:pStyle w:val="5"/>
        <w:rPr>
          <w:color w:val="auto"/>
        </w:rPr>
      </w:pPr>
      <w:r>
        <w:rPr>
          <w:color w:val="auto"/>
        </w:rPr>
        <w:t>4.4.1</w:t>
      </w:r>
      <w:r>
        <w:rPr>
          <w:rFonts w:hint="eastAsia"/>
          <w:color w:val="auto"/>
        </w:rPr>
        <w:t xml:space="preserve"> </w:t>
      </w:r>
      <w:r>
        <w:rPr>
          <w:color w:val="auto"/>
        </w:rPr>
        <w:t>评价原则</w:t>
      </w:r>
    </w:p>
    <w:p w14:paraId="0CC163CB">
      <w:pPr>
        <w:ind w:firstLine="480"/>
        <w:rPr>
          <w:bCs/>
          <w:color w:val="auto"/>
          <w:kern w:val="0"/>
        </w:rPr>
      </w:pPr>
      <w:bookmarkStart w:id="97" w:name="_Toc384127041"/>
      <w:r>
        <w:rPr>
          <w:bCs/>
          <w:color w:val="auto"/>
          <w:kern w:val="0"/>
        </w:rPr>
        <w:t>a）与当地规划相符合</w:t>
      </w:r>
    </w:p>
    <w:p w14:paraId="52E6EFB3">
      <w:pPr>
        <w:ind w:firstLine="480"/>
        <w:rPr>
          <w:color w:val="auto"/>
          <w:kern w:val="0"/>
        </w:rPr>
      </w:pPr>
      <w:r>
        <w:rPr>
          <w:color w:val="auto"/>
          <w:kern w:val="0"/>
        </w:rPr>
        <w:t>在确定待复垦土地的适宜性时，不仅要考虑被评价土地的自然条件和损毁状况，还应考虑区域性的国土空间总体规划、城市总体规划、生态功能区划等，统筹考虑项目区域内的社会经济和生产建设发展状况。</w:t>
      </w:r>
    </w:p>
    <w:p w14:paraId="57B4CF29">
      <w:pPr>
        <w:ind w:firstLine="480"/>
        <w:rPr>
          <w:bCs/>
          <w:color w:val="auto"/>
          <w:kern w:val="0"/>
        </w:rPr>
      </w:pPr>
      <w:r>
        <w:rPr>
          <w:bCs/>
          <w:color w:val="auto"/>
          <w:kern w:val="0"/>
        </w:rPr>
        <w:t>b）可垦性与最佳效益原则</w:t>
      </w:r>
    </w:p>
    <w:p w14:paraId="13861440">
      <w:pPr>
        <w:ind w:firstLine="480"/>
        <w:rPr>
          <w:bCs/>
          <w:color w:val="auto"/>
          <w:kern w:val="0"/>
        </w:rPr>
      </w:pPr>
      <w:r>
        <w:rPr>
          <w:color w:val="auto"/>
          <w:kern w:val="0"/>
        </w:rPr>
        <w:t>在确定被损毁土地复垦利用方向时，除按照当地的国土空间总体规划的要求外，应当首先考虑其可垦性和综合效益，即根据被损毁土地的质量是否适宜为某种用途的土地，复垦资金投入与产出的经济效益相比是否为最佳，复垦产生的社会、生态效益是否为</w:t>
      </w:r>
      <w:r>
        <w:rPr>
          <w:bCs/>
          <w:color w:val="auto"/>
          <w:kern w:val="0"/>
        </w:rPr>
        <w:t>最好。</w:t>
      </w:r>
    </w:p>
    <w:p w14:paraId="549E5144">
      <w:pPr>
        <w:ind w:firstLine="480"/>
        <w:rPr>
          <w:bCs/>
          <w:color w:val="auto"/>
          <w:kern w:val="0"/>
        </w:rPr>
      </w:pPr>
      <w:r>
        <w:rPr>
          <w:bCs/>
          <w:color w:val="auto"/>
          <w:kern w:val="0"/>
        </w:rPr>
        <w:t>c）因地制宜原则</w:t>
      </w:r>
    </w:p>
    <w:p w14:paraId="5AAE9E76">
      <w:pPr>
        <w:ind w:firstLine="480"/>
        <w:rPr>
          <w:color w:val="auto"/>
          <w:kern w:val="0"/>
        </w:rPr>
      </w:pPr>
      <w:r>
        <w:rPr>
          <w:color w:val="auto"/>
          <w:kern w:val="0"/>
        </w:rPr>
        <w:t>在评价被损毁土地复垦适宜性时，应当分别根据所评价土地的区域性和差异性等具体条件确定其利用方向，在尊重权利人意愿的基础上，宜农则农、宜林则林、宜牧则牧。</w:t>
      </w:r>
    </w:p>
    <w:p w14:paraId="2BFB79DF">
      <w:pPr>
        <w:ind w:firstLine="480"/>
        <w:rPr>
          <w:bCs/>
          <w:color w:val="auto"/>
          <w:kern w:val="0"/>
        </w:rPr>
      </w:pPr>
      <w:r>
        <w:rPr>
          <w:bCs/>
          <w:color w:val="auto"/>
          <w:kern w:val="0"/>
        </w:rPr>
        <w:t>d）综合分析与主导因素相结合，以主导因素为主的原则</w:t>
      </w:r>
    </w:p>
    <w:p w14:paraId="7F2BD60E">
      <w:pPr>
        <w:ind w:firstLine="480"/>
        <w:rPr>
          <w:color w:val="auto"/>
          <w:kern w:val="0"/>
        </w:rPr>
      </w:pPr>
      <w:r>
        <w:rPr>
          <w:color w:val="auto"/>
          <w:kern w:val="0"/>
        </w:rPr>
        <w:t>影响待复垦土地利用方向的因素很多，包括自然条件、土壤性质、原利用类型、损毁状况、灌排条件及社会需求等多方面，因此在评价时应综合考虑各方面的因素。但是，各种因素对土地复垦利用的影响程度不同，应选择其中的主导因素作为评价的主要依据。</w:t>
      </w:r>
    </w:p>
    <w:p w14:paraId="44106994">
      <w:pPr>
        <w:ind w:firstLine="480"/>
        <w:rPr>
          <w:bCs/>
          <w:color w:val="auto"/>
          <w:kern w:val="0"/>
        </w:rPr>
      </w:pPr>
      <w:r>
        <w:rPr>
          <w:bCs/>
          <w:color w:val="auto"/>
          <w:kern w:val="0"/>
        </w:rPr>
        <w:t>e）自然属性和社会属性相结合的原则</w:t>
      </w:r>
    </w:p>
    <w:p w14:paraId="2F0FC77E">
      <w:pPr>
        <w:ind w:firstLine="480"/>
        <w:rPr>
          <w:color w:val="auto"/>
          <w:kern w:val="0"/>
        </w:rPr>
      </w:pPr>
      <w:r>
        <w:rPr>
          <w:color w:val="auto"/>
          <w:kern w:val="0"/>
        </w:rPr>
        <w:t>待复垦土地的评价，一方面要考虑其自然属性（土地质量），同时也要考虑社会属性，如社会需要、资金来源等。在评价时宜以自然属性为主要因素确定其复垦方向，同时顾及社会属性的许可。</w:t>
      </w:r>
    </w:p>
    <w:p w14:paraId="10740648">
      <w:pPr>
        <w:ind w:firstLine="480"/>
        <w:rPr>
          <w:bCs/>
          <w:color w:val="auto"/>
          <w:kern w:val="0"/>
        </w:rPr>
      </w:pPr>
      <w:r>
        <w:rPr>
          <w:bCs/>
          <w:color w:val="auto"/>
          <w:kern w:val="0"/>
        </w:rPr>
        <w:t>f）理论分析与实践检验相结合的原则</w:t>
      </w:r>
    </w:p>
    <w:p w14:paraId="2751348C">
      <w:pPr>
        <w:ind w:firstLine="480"/>
        <w:rPr>
          <w:color w:val="auto"/>
        </w:rPr>
      </w:pPr>
      <w:r>
        <w:rPr>
          <w:color w:val="auto"/>
          <w:kern w:val="0"/>
        </w:rPr>
        <w:t>对损毁土地进行适宜性评价时，要根据已有的资料作综合的理论分析，确定最佳复垦土地利用方向，但结论是否正确还需通过实践检验，着眼于发展的原则。</w:t>
      </w:r>
    </w:p>
    <w:p w14:paraId="5916AEAA">
      <w:pPr>
        <w:pStyle w:val="5"/>
        <w:rPr>
          <w:color w:val="auto"/>
        </w:rPr>
      </w:pPr>
      <w:r>
        <w:rPr>
          <w:color w:val="auto"/>
        </w:rPr>
        <w:t>4.4.2</w:t>
      </w:r>
      <w:r>
        <w:rPr>
          <w:rFonts w:hint="eastAsia"/>
          <w:color w:val="auto"/>
        </w:rPr>
        <w:t xml:space="preserve"> </w:t>
      </w:r>
      <w:r>
        <w:rPr>
          <w:color w:val="auto"/>
        </w:rPr>
        <w:t>适宜性评价特殊性</w:t>
      </w:r>
    </w:p>
    <w:p w14:paraId="4CF59C36">
      <w:pPr>
        <w:adjustRightInd w:val="0"/>
        <w:ind w:firstLine="480"/>
        <w:textAlignment w:val="baseline"/>
        <w:rPr>
          <w:color w:val="auto"/>
        </w:rPr>
      </w:pPr>
      <w:r>
        <w:rPr>
          <w:color w:val="auto"/>
        </w:rPr>
        <w:t>油田项目矿区范围较大，具有用地点多、线长、面广、分散性和不确定性，单宗用地面积较少，对土地破坏程度较轻。油田项目的适宜性分析与一般土地复垦适宜性评价存在差异性，具有特殊性。</w:t>
      </w:r>
    </w:p>
    <w:p w14:paraId="79132580">
      <w:pPr>
        <w:adjustRightInd w:val="0"/>
        <w:ind w:firstLine="480"/>
        <w:textAlignment w:val="baseline"/>
        <w:rPr>
          <w:color w:val="auto"/>
        </w:rPr>
      </w:pPr>
      <w:r>
        <w:rPr>
          <w:color w:val="auto"/>
        </w:rPr>
        <w:t>a）评价单元多，零星分布，不成片。由于油田项目用地点多，线长，特别是对于线状的输油管道，很难依据评价单元的划分原则进行单元的划分。</w:t>
      </w:r>
    </w:p>
    <w:p w14:paraId="5AC7864E">
      <w:pPr>
        <w:adjustRightInd w:val="0"/>
        <w:ind w:firstLine="480"/>
        <w:textAlignment w:val="baseline"/>
        <w:rPr>
          <w:color w:val="auto"/>
        </w:rPr>
      </w:pPr>
      <w:r>
        <w:rPr>
          <w:color w:val="auto"/>
        </w:rPr>
        <w:t>b）评价标准难以确定。由于油田项目的跨度较大，面广，很难确定一套或几套适合全部项目区的评价标准。</w:t>
      </w:r>
    </w:p>
    <w:p w14:paraId="0FCC989E">
      <w:pPr>
        <w:adjustRightInd w:val="0"/>
        <w:ind w:firstLine="480"/>
        <w:textAlignment w:val="baseline"/>
        <w:rPr>
          <w:color w:val="auto"/>
        </w:rPr>
      </w:pPr>
      <w:r>
        <w:rPr>
          <w:color w:val="auto"/>
        </w:rPr>
        <w:t>c）评价指标难以选择。项目区范围较大，不同地区限制其土地利用的因素有所不同，很难选择恰当的主导因素。</w:t>
      </w:r>
    </w:p>
    <w:p w14:paraId="1DEBE38E">
      <w:pPr>
        <w:adjustRightInd w:val="0"/>
        <w:ind w:firstLine="480"/>
        <w:textAlignment w:val="baseline"/>
        <w:rPr>
          <w:color w:val="auto"/>
        </w:rPr>
      </w:pPr>
      <w:r>
        <w:rPr>
          <w:color w:val="auto"/>
        </w:rPr>
        <w:t>d）重点确定限制因素。油田复垦方向遵循与周边土地利用方式基本一致的原则，适宜性分析在分析复垦利用方向的同时应重点分析复垦土地的限制因子，为确定复垦措施及标准奠定基础。</w:t>
      </w:r>
    </w:p>
    <w:p w14:paraId="364219F4">
      <w:pPr>
        <w:adjustRightInd w:val="0"/>
        <w:ind w:firstLine="480"/>
        <w:textAlignment w:val="baseline"/>
        <w:rPr>
          <w:color w:val="auto"/>
        </w:rPr>
      </w:pPr>
      <w:r>
        <w:rPr>
          <w:color w:val="auto"/>
        </w:rPr>
        <w:t>综合以上分析，本方案适宜性评价部分不采用传统的适宜性评价方法定量进行适宜性评价，仅以已复垦区域复垦措施及现状做类比参考，针对评价对象对各个影响因素进行分析。</w:t>
      </w:r>
    </w:p>
    <w:p w14:paraId="388CDC43">
      <w:pPr>
        <w:pStyle w:val="5"/>
        <w:rPr>
          <w:color w:val="auto"/>
        </w:rPr>
      </w:pPr>
      <w:r>
        <w:rPr>
          <w:color w:val="auto"/>
        </w:rPr>
        <w:t>4.4.3</w:t>
      </w:r>
      <w:r>
        <w:rPr>
          <w:rFonts w:hint="eastAsia"/>
          <w:color w:val="auto"/>
        </w:rPr>
        <w:t xml:space="preserve"> </w:t>
      </w:r>
      <w:r>
        <w:rPr>
          <w:color w:val="auto"/>
        </w:rPr>
        <w:t>评价依据</w:t>
      </w:r>
    </w:p>
    <w:p w14:paraId="31F79AE0">
      <w:pPr>
        <w:adjustRightInd w:val="0"/>
        <w:ind w:firstLine="480"/>
        <w:textAlignment w:val="baseline"/>
        <w:rPr>
          <w:color w:val="auto"/>
        </w:rPr>
      </w:pPr>
      <w:r>
        <w:rPr>
          <w:color w:val="auto"/>
        </w:rPr>
        <w:t>土地复垦适宜性评价是在详细调查项目区土地损毁状况和损毁后的土地的自然条件基础上，参考土地损毁程度分析的结果，依据国家和地方的规划和行业标准，结合项目所在地区的复垦经验，采取切实可行的方法，改善被损毁土地的生态环境，确定复垦利用方向。其主要依据包括：</w:t>
      </w:r>
    </w:p>
    <w:p w14:paraId="58BD4CD4">
      <w:pPr>
        <w:adjustRightInd w:val="0"/>
        <w:ind w:firstLine="480"/>
        <w:textAlignment w:val="baseline"/>
        <w:rPr>
          <w:bCs/>
          <w:color w:val="auto"/>
        </w:rPr>
      </w:pPr>
      <w:r>
        <w:rPr>
          <w:bCs/>
          <w:color w:val="auto"/>
        </w:rPr>
        <w:t>a）土地复垦的相关规程和标准</w:t>
      </w:r>
    </w:p>
    <w:p w14:paraId="7402F095">
      <w:pPr>
        <w:adjustRightInd w:val="0"/>
        <w:ind w:firstLine="480"/>
        <w:textAlignment w:val="baseline"/>
        <w:rPr>
          <w:bCs/>
          <w:color w:val="auto"/>
        </w:rPr>
      </w:pPr>
      <w:r>
        <w:rPr>
          <w:color w:val="auto"/>
        </w:rPr>
        <w:t>包括《土地复垦方案编制规程》（2011）、《土地整治工程建设标准》（2015）、《土地复垦质量控制标准》（2013）、《土地复垦方案编制规程第1部分：通则》（TD/T1031.1—2011）和《</w:t>
      </w:r>
      <w:r>
        <w:rPr>
          <w:bCs/>
          <w:color w:val="auto"/>
        </w:rPr>
        <w:t>土地复垦方案编制规程第5部分：石油天然气项目》（TD/T103.5—2011）等。</w:t>
      </w:r>
    </w:p>
    <w:p w14:paraId="0189C8FB">
      <w:pPr>
        <w:adjustRightInd w:val="0"/>
        <w:ind w:firstLine="480"/>
        <w:textAlignment w:val="baseline"/>
        <w:rPr>
          <w:bCs/>
          <w:color w:val="auto"/>
        </w:rPr>
      </w:pPr>
      <w:r>
        <w:rPr>
          <w:bCs/>
          <w:color w:val="auto"/>
        </w:rPr>
        <w:t>b）土地利用的相关规程和标准</w:t>
      </w:r>
    </w:p>
    <w:p w14:paraId="08A8EF67">
      <w:pPr>
        <w:adjustRightInd w:val="0"/>
        <w:ind w:firstLine="480"/>
        <w:textAlignment w:val="baseline"/>
        <w:rPr>
          <w:color w:val="auto"/>
        </w:rPr>
      </w:pPr>
      <w:r>
        <w:rPr>
          <w:color w:val="auto"/>
        </w:rPr>
        <w:t>包括《新疆维吾尔自治区国土空间总体规划（2020-2035年）》、《</w:t>
      </w:r>
      <w:r>
        <w:rPr>
          <w:rFonts w:hint="eastAsia"/>
          <w:color w:val="auto"/>
          <w:lang w:eastAsia="zh-CN"/>
        </w:rPr>
        <w:t>哈密市</w:t>
      </w:r>
      <w:r>
        <w:rPr>
          <w:color w:val="auto"/>
        </w:rPr>
        <w:t>国土空间总体规划（2020-2035年）》、《新疆维吾尔自治区生态功能区划》等。</w:t>
      </w:r>
    </w:p>
    <w:p w14:paraId="71A33650">
      <w:pPr>
        <w:adjustRightInd w:val="0"/>
        <w:ind w:firstLine="480"/>
        <w:textAlignment w:val="baseline"/>
        <w:rPr>
          <w:bCs/>
          <w:color w:val="auto"/>
        </w:rPr>
      </w:pPr>
      <w:r>
        <w:rPr>
          <w:bCs/>
          <w:color w:val="auto"/>
        </w:rPr>
        <w:t>c）其他</w:t>
      </w:r>
    </w:p>
    <w:p w14:paraId="10F9AD18">
      <w:pPr>
        <w:adjustRightInd w:val="0"/>
        <w:ind w:firstLine="480"/>
        <w:textAlignment w:val="baseline"/>
        <w:rPr>
          <w:color w:val="auto"/>
        </w:rPr>
      </w:pPr>
      <w:r>
        <w:rPr>
          <w:color w:val="auto"/>
        </w:rPr>
        <w:t>包括复垦区土地损毁程度分析结果、复垦区土地资源调查资料和项目周边已复垦案例的调查资料等。</w:t>
      </w:r>
      <w:bookmarkEnd w:id="97"/>
    </w:p>
    <w:p w14:paraId="636D4AEE">
      <w:pPr>
        <w:pStyle w:val="5"/>
        <w:rPr>
          <w:color w:val="auto"/>
        </w:rPr>
      </w:pPr>
      <w:r>
        <w:rPr>
          <w:color w:val="auto"/>
        </w:rPr>
        <w:t>4.4.4评价范围</w:t>
      </w:r>
      <w:r>
        <w:rPr>
          <w:rFonts w:hint="eastAsia"/>
          <w:color w:val="auto"/>
        </w:rPr>
        <w:t>及单元划分</w:t>
      </w:r>
    </w:p>
    <w:p w14:paraId="74253A01">
      <w:pPr>
        <w:adjustRightInd w:val="0"/>
        <w:ind w:firstLine="480"/>
        <w:textAlignment w:val="baseline"/>
        <w:rPr>
          <w:rFonts w:hint="eastAsia"/>
          <w:color w:val="auto"/>
          <w:szCs w:val="22"/>
        </w:rPr>
      </w:pPr>
      <w:r>
        <w:rPr>
          <w:rFonts w:hint="eastAsia"/>
          <w:color w:val="auto"/>
          <w:szCs w:val="22"/>
        </w:rPr>
        <w:t>a）评价范围</w:t>
      </w:r>
    </w:p>
    <w:p w14:paraId="4C6C8170">
      <w:pPr>
        <w:adjustRightInd w:val="0"/>
        <w:ind w:firstLine="480"/>
        <w:textAlignment w:val="baseline"/>
        <w:rPr>
          <w:rFonts w:hint="eastAsia"/>
          <w:color w:val="auto"/>
          <w:szCs w:val="22"/>
        </w:rPr>
      </w:pPr>
      <w:r>
        <w:rPr>
          <w:color w:val="auto"/>
          <w:szCs w:val="22"/>
        </w:rPr>
        <w:t>本方案适宜性评价范围为项目建设过程中</w:t>
      </w:r>
      <w:r>
        <w:rPr>
          <w:rFonts w:hint="eastAsia"/>
          <w:color w:val="auto"/>
          <w:szCs w:val="22"/>
          <w:lang w:eastAsia="zh-CN"/>
        </w:rPr>
        <w:t>大修施工项目</w:t>
      </w:r>
      <w:r>
        <w:rPr>
          <w:color w:val="auto"/>
          <w:szCs w:val="22"/>
        </w:rPr>
        <w:t>临时</w:t>
      </w:r>
      <w:r>
        <w:rPr>
          <w:rFonts w:hint="eastAsia"/>
          <w:color w:val="auto"/>
          <w:szCs w:val="22"/>
        </w:rPr>
        <w:t>用</w:t>
      </w:r>
      <w:r>
        <w:rPr>
          <w:color w:val="auto"/>
          <w:szCs w:val="22"/>
        </w:rPr>
        <w:t>地，土地损毁类型为压占，损毁地类</w:t>
      </w:r>
      <w:r>
        <w:rPr>
          <w:color w:val="auto"/>
        </w:rPr>
        <w:t>涉及</w:t>
      </w:r>
      <w:r>
        <w:rPr>
          <w:rFonts w:hint="eastAsia"/>
          <w:color w:val="auto"/>
          <w:lang w:eastAsia="zh-CN"/>
        </w:rPr>
        <w:t>工业用地、采矿用地及裸岩石砾地</w:t>
      </w:r>
      <w:r>
        <w:rPr>
          <w:color w:val="auto"/>
          <w:szCs w:val="22"/>
        </w:rPr>
        <w:t>，即复垦责任范围面积</w:t>
      </w:r>
      <w:r>
        <w:rPr>
          <w:rFonts w:hint="eastAsia"/>
          <w:color w:val="auto"/>
          <w:szCs w:val="22"/>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color w:val="auto"/>
          <w:szCs w:val="22"/>
        </w:rPr>
        <w:t>。</w:t>
      </w:r>
    </w:p>
    <w:p w14:paraId="2DD844FE">
      <w:pPr>
        <w:adjustRightInd w:val="0"/>
        <w:ind w:firstLine="480"/>
        <w:textAlignment w:val="baseline"/>
        <w:rPr>
          <w:rFonts w:hint="eastAsia"/>
          <w:color w:val="auto"/>
          <w:szCs w:val="22"/>
        </w:rPr>
      </w:pPr>
      <w:r>
        <w:rPr>
          <w:rFonts w:hint="eastAsia"/>
          <w:color w:val="auto"/>
          <w:szCs w:val="22"/>
        </w:rPr>
        <w:t>b）评价单元的划分</w:t>
      </w:r>
    </w:p>
    <w:p w14:paraId="50081744">
      <w:pPr>
        <w:ind w:firstLine="480"/>
        <w:textAlignment w:val="center"/>
        <w:rPr>
          <w:rFonts w:hint="eastAsia"/>
          <w:color w:val="auto"/>
        </w:rPr>
      </w:pPr>
      <w:r>
        <w:rPr>
          <w:rFonts w:hint="eastAsia"/>
          <w:color w:val="auto"/>
        </w:rPr>
        <w:t>评价单元是土地复垦适宜性评价的基本单元，是评价的具体对象。土地对农林牧业利用类型的适宜性和适宜程度及其地域分布状况，都是通过评价单元及其组合状况来反映的。评价单元的划分与确定应在遵循评价原则的前提下，根据评价区的具体情况来决定。由于被损毁土地的类型不同而造成土地的自然属性、经济性状以及生产能力等土地质量特性的差异，所以不同土地利用类型具有特定利用的适宜性。目前，从国内外工作实践来看，待复垦土地适宜性评价单元的划分大致有四种方式：一是以土地类型单元作为评价单元，即以土壤、地貌、植被和土地利用现状的相对一致性作为划分依据；二是以土壤分类单元作为评价单元，划分依据是土壤分类体系；三是以生产地段和地块作为评价单元；四是以行政区划单位作为评价单元。</w:t>
      </w:r>
    </w:p>
    <w:p w14:paraId="2B135CB8">
      <w:pPr>
        <w:adjustRightInd w:val="0"/>
        <w:ind w:firstLine="480"/>
        <w:textAlignment w:val="baseline"/>
        <w:rPr>
          <w:rFonts w:hint="eastAsia"/>
          <w:color w:val="auto"/>
        </w:rPr>
      </w:pPr>
      <w:r>
        <w:rPr>
          <w:rFonts w:hint="eastAsia"/>
          <w:color w:val="auto"/>
        </w:rPr>
        <w:t>本项目区待复垦土地适宜性评价单元的划分，采用第三种方法，即以生产地段和地块作为评价单元，根据复垦区土地损毁类型、程度、限值因素和土壤类型划分为</w:t>
      </w:r>
      <w:r>
        <w:rPr>
          <w:rFonts w:hint="eastAsia"/>
          <w:color w:val="auto"/>
          <w:lang w:val="en-US" w:eastAsia="zh-CN"/>
        </w:rPr>
        <w:t>1</w:t>
      </w:r>
      <w:r>
        <w:rPr>
          <w:rFonts w:hint="eastAsia"/>
          <w:color w:val="auto"/>
        </w:rPr>
        <w:t>个评价单元，即：</w:t>
      </w:r>
      <w:r>
        <w:rPr>
          <w:rFonts w:hint="eastAsia"/>
          <w:lang w:val="en-US" w:eastAsia="zh-CN"/>
        </w:rPr>
        <w:t>项目临时用地</w:t>
      </w:r>
      <w:r>
        <w:rPr>
          <w:rFonts w:hint="eastAsia"/>
          <w:color w:val="auto"/>
        </w:rPr>
        <w:t>评价单元。</w:t>
      </w:r>
    </w:p>
    <w:p w14:paraId="1CC2A0BD">
      <w:pPr>
        <w:adjustRightInd w:val="0"/>
        <w:ind w:firstLine="480"/>
        <w:textAlignment w:val="baseline"/>
        <w:rPr>
          <w:rFonts w:hint="eastAsia"/>
          <w:color w:val="auto"/>
        </w:rPr>
      </w:pPr>
      <w:r>
        <w:rPr>
          <w:rFonts w:hint="eastAsia"/>
          <w:color w:val="auto"/>
        </w:rPr>
        <w:t>c）待复垦土地评价单元划分结果</w:t>
      </w:r>
    </w:p>
    <w:p w14:paraId="7C55523C">
      <w:pPr>
        <w:adjustRightInd w:val="0"/>
        <w:ind w:firstLine="480"/>
        <w:textAlignment w:val="baseline"/>
        <w:rPr>
          <w:rFonts w:eastAsia="黑体"/>
          <w:color w:val="auto"/>
          <w:sz w:val="21"/>
          <w:szCs w:val="21"/>
        </w:rPr>
      </w:pPr>
      <w:r>
        <w:rPr>
          <w:rFonts w:hint="eastAsia"/>
          <w:color w:val="auto"/>
        </w:rPr>
        <w:t>根据以上原则和方法，对项目区待复垦土地进行适宜性评价单元划分，主要根据损毁土地类型以及临时用地类型进行划分，划分结果见表4.4-1。</w:t>
      </w:r>
    </w:p>
    <w:p w14:paraId="57AB8B44">
      <w:pPr>
        <w:pStyle w:val="22"/>
        <w:bidi w:val="0"/>
      </w:pPr>
      <w:r>
        <w:t>表4.4-1</w:t>
      </w:r>
      <w:r>
        <w:rPr>
          <w:rFonts w:hint="eastAsia"/>
        </w:rPr>
        <w:t xml:space="preserve"> </w:t>
      </w:r>
      <w:r>
        <w:t>土地复垦评价单元划分表</w:t>
      </w:r>
    </w:p>
    <w:tbl>
      <w:tblPr>
        <w:tblStyle w:val="8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6"/>
        <w:gridCol w:w="2390"/>
        <w:gridCol w:w="1246"/>
        <w:gridCol w:w="2094"/>
        <w:gridCol w:w="2304"/>
      </w:tblGrid>
      <w:tr w14:paraId="770D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EFD4C">
            <w:pPr>
              <w:pStyle w:val="100"/>
              <w:bidi w:val="0"/>
            </w:pPr>
            <w:r>
              <w:rPr>
                <w:rFonts w:hint="default"/>
                <w:lang w:val="en-US" w:eastAsia="zh-CN"/>
              </w:rPr>
              <w:t>序号</w:t>
            </w:r>
          </w:p>
        </w:tc>
        <w:tc>
          <w:tcPr>
            <w:tcW w:w="1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2D7D">
            <w:pPr>
              <w:pStyle w:val="100"/>
              <w:bidi w:val="0"/>
              <w:rPr>
                <w:rFonts w:hint="default"/>
              </w:rPr>
            </w:pPr>
            <w:r>
              <w:rPr>
                <w:rFonts w:hint="default"/>
                <w:lang w:val="en-US" w:eastAsia="zh-CN"/>
              </w:rPr>
              <w:t>项目名称</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37241">
            <w:pPr>
              <w:pStyle w:val="100"/>
              <w:bidi w:val="0"/>
              <w:rPr>
                <w:rFonts w:hint="default"/>
              </w:rPr>
            </w:pPr>
            <w:r>
              <w:rPr>
                <w:rFonts w:hint="default"/>
                <w:lang w:val="en-US" w:eastAsia="zh-CN"/>
              </w:rPr>
              <w:t>评价单元序号</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308A">
            <w:pPr>
              <w:pStyle w:val="100"/>
              <w:bidi w:val="0"/>
              <w:rPr>
                <w:rFonts w:hint="default"/>
              </w:rPr>
            </w:pPr>
            <w:r>
              <w:rPr>
                <w:rFonts w:hint="default"/>
                <w:lang w:val="en-US" w:eastAsia="zh-CN"/>
              </w:rPr>
              <w:t>损毁土地类型</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F89D4">
            <w:pPr>
              <w:pStyle w:val="100"/>
              <w:bidi w:val="0"/>
              <w:rPr>
                <w:rFonts w:hint="default"/>
              </w:rPr>
            </w:pPr>
            <w:r>
              <w:rPr>
                <w:rFonts w:hint="default"/>
                <w:lang w:val="en-US" w:eastAsia="zh-CN"/>
              </w:rPr>
              <w:t>损毁面积（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default"/>
                <w:lang w:val="en-US" w:eastAsia="zh-CN"/>
              </w:rPr>
              <w:t>）</w:t>
            </w:r>
          </w:p>
        </w:tc>
      </w:tr>
      <w:tr w14:paraId="46FF7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76BA">
            <w:pPr>
              <w:pStyle w:val="100"/>
              <w:bidi w:val="0"/>
              <w:rPr>
                <w:rFonts w:hint="default"/>
              </w:rPr>
            </w:pPr>
            <w:r>
              <w:rPr>
                <w:rFonts w:hint="default"/>
                <w:lang w:val="en-US" w:eastAsia="zh-CN"/>
              </w:rPr>
              <w:t>1</w:t>
            </w:r>
          </w:p>
        </w:tc>
        <w:tc>
          <w:tcPr>
            <w:tcW w:w="12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EA82C">
            <w:pPr>
              <w:pStyle w:val="100"/>
              <w:bidi w:val="0"/>
              <w:rPr>
                <w:rFonts w:hint="default"/>
              </w:rPr>
            </w:pPr>
            <w:r>
              <w:rPr>
                <w:rFonts w:hint="eastAsia"/>
                <w:lang w:val="en-US" w:eastAsia="zh-CN"/>
              </w:rPr>
              <w:t>马T101H井场等两口井压裂施工项目</w:t>
            </w:r>
            <w:r>
              <w:rPr>
                <w:rFonts w:hint="default"/>
                <w:lang w:val="en-US" w:eastAsia="zh-CN"/>
              </w:rPr>
              <w:t>临时用地</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83A1">
            <w:pPr>
              <w:pStyle w:val="100"/>
              <w:bidi w:val="0"/>
              <w:rPr>
                <w:rFonts w:hint="default"/>
              </w:rPr>
            </w:pPr>
            <w:r>
              <w:rPr>
                <w:rFonts w:hint="default"/>
                <w:lang w:val="en-US" w:eastAsia="zh-CN"/>
              </w:rPr>
              <w:t>1</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451E9">
            <w:pPr>
              <w:pStyle w:val="100"/>
              <w:bidi w:val="0"/>
              <w:rPr>
                <w:rFonts w:hint="default"/>
              </w:rPr>
            </w:pPr>
            <w:r>
              <w:rPr>
                <w:rFonts w:hint="eastAsia"/>
                <w:lang w:val="en-US" w:eastAsia="zh-CN"/>
              </w:rPr>
              <w:t>工业</w:t>
            </w:r>
            <w:r>
              <w:rPr>
                <w:rFonts w:hint="default"/>
                <w:lang w:val="en-US" w:eastAsia="zh-CN"/>
              </w:rPr>
              <w:t>用地</w:t>
            </w:r>
          </w:p>
        </w:tc>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2479">
            <w:pPr>
              <w:pStyle w:val="100"/>
              <w:bidi w:val="0"/>
              <w:rPr>
                <w:rFonts w:hint="default"/>
              </w:rPr>
            </w:pPr>
            <w:r>
              <w:rPr>
                <w:rFonts w:hint="eastAsia"/>
                <w:lang w:val="en-US" w:eastAsia="zh-CN"/>
              </w:rPr>
              <w:t>0.0280</w:t>
            </w:r>
          </w:p>
        </w:tc>
      </w:tr>
      <w:tr w14:paraId="0EFA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D916">
            <w:pPr>
              <w:pStyle w:val="100"/>
              <w:bidi w:val="0"/>
              <w:rPr>
                <w:rFonts w:hint="default"/>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9873F">
            <w:pPr>
              <w:pStyle w:val="100"/>
              <w:bidi w:val="0"/>
              <w:rPr>
                <w:rFonts w:hint="default"/>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AD4E">
            <w:pPr>
              <w:pStyle w:val="100"/>
              <w:bidi w:val="0"/>
              <w:rPr>
                <w:rFonts w:hint="default"/>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DECD1">
            <w:pPr>
              <w:pStyle w:val="100"/>
              <w:bidi w:val="0"/>
              <w:rPr>
                <w:rFonts w:hint="default"/>
              </w:rPr>
            </w:pPr>
            <w:r>
              <w:rPr>
                <w:rFonts w:hint="default"/>
                <w:lang w:val="en-US" w:eastAsia="zh-CN"/>
              </w:rPr>
              <w:t>采矿用地</w:t>
            </w:r>
          </w:p>
        </w:tc>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9FDE">
            <w:pPr>
              <w:pStyle w:val="100"/>
              <w:bidi w:val="0"/>
              <w:rPr>
                <w:rFonts w:hint="default"/>
              </w:rPr>
            </w:pPr>
            <w:r>
              <w:rPr>
                <w:rFonts w:hint="eastAsia"/>
                <w:lang w:val="en-US" w:eastAsia="zh-CN"/>
              </w:rPr>
              <w:t>0.0685</w:t>
            </w:r>
          </w:p>
        </w:tc>
      </w:tr>
      <w:tr w14:paraId="1FFB2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81A9">
            <w:pPr>
              <w:pStyle w:val="100"/>
              <w:bidi w:val="0"/>
              <w:rPr>
                <w:rFonts w:hint="default"/>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DF316">
            <w:pPr>
              <w:pStyle w:val="100"/>
              <w:bidi w:val="0"/>
              <w:rPr>
                <w:rFonts w:hint="default"/>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2224">
            <w:pPr>
              <w:pStyle w:val="100"/>
              <w:bidi w:val="0"/>
              <w:rPr>
                <w:rFonts w:hint="default"/>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04E3">
            <w:pPr>
              <w:pStyle w:val="100"/>
              <w:bidi w:val="0"/>
              <w:rPr>
                <w:rFonts w:hint="default"/>
                <w:lang w:val="en-US" w:eastAsia="zh-CN"/>
              </w:rPr>
            </w:pPr>
            <w:r>
              <w:rPr>
                <w:rFonts w:hint="default"/>
                <w:lang w:val="en-US" w:eastAsia="zh-CN"/>
              </w:rPr>
              <w:t>裸岩石砾地</w:t>
            </w:r>
          </w:p>
        </w:tc>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3B97">
            <w:pPr>
              <w:pStyle w:val="100"/>
              <w:bidi w:val="0"/>
              <w:rPr>
                <w:rFonts w:hint="eastAsia"/>
                <w:lang w:val="en-US" w:eastAsia="zh-CN"/>
              </w:rPr>
            </w:pPr>
            <w:r>
              <w:rPr>
                <w:rFonts w:hint="eastAsia"/>
                <w:lang w:val="en-US" w:eastAsia="zh-CN"/>
              </w:rPr>
              <w:t>1.8683</w:t>
            </w:r>
          </w:p>
        </w:tc>
      </w:tr>
      <w:tr w14:paraId="29332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D03D">
            <w:pPr>
              <w:pStyle w:val="100"/>
              <w:bidi w:val="0"/>
              <w:rPr>
                <w:rFonts w:hint="default"/>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C0AF7">
            <w:pPr>
              <w:pStyle w:val="100"/>
              <w:bidi w:val="0"/>
              <w:rPr>
                <w:rFonts w:hint="default"/>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181E">
            <w:pPr>
              <w:pStyle w:val="100"/>
              <w:bidi w:val="0"/>
              <w:rPr>
                <w:rFonts w:hint="default"/>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61A3">
            <w:pPr>
              <w:pStyle w:val="100"/>
              <w:bidi w:val="0"/>
              <w:rPr>
                <w:rFonts w:hint="default"/>
              </w:rPr>
            </w:pPr>
            <w:r>
              <w:rPr>
                <w:rFonts w:hint="default"/>
                <w:lang w:val="en-US" w:eastAsia="zh-CN"/>
              </w:rPr>
              <w:t>小计</w:t>
            </w:r>
          </w:p>
        </w:tc>
        <w:tc>
          <w:tcPr>
            <w:tcW w:w="12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3A2D">
            <w:pPr>
              <w:pStyle w:val="100"/>
              <w:bidi w:val="0"/>
              <w:rPr>
                <w:rFonts w:hint="default"/>
              </w:rPr>
            </w:pPr>
            <w:r>
              <w:rPr>
                <w:rFonts w:hint="eastAsia"/>
                <w:lang w:val="en-US" w:eastAsia="zh-CN"/>
              </w:rPr>
              <w:t>1.9648</w:t>
            </w:r>
          </w:p>
        </w:tc>
      </w:tr>
    </w:tbl>
    <w:p w14:paraId="1F5AE46B">
      <w:pPr>
        <w:pStyle w:val="5"/>
        <w:rPr>
          <w:rFonts w:hint="eastAsia"/>
          <w:color w:val="auto"/>
        </w:rPr>
      </w:pPr>
      <w:r>
        <w:rPr>
          <w:color w:val="auto"/>
        </w:rPr>
        <w:t>4.4.5</w:t>
      </w:r>
      <w:r>
        <w:rPr>
          <w:rFonts w:hint="eastAsia"/>
          <w:color w:val="auto"/>
        </w:rPr>
        <w:t xml:space="preserve"> 评价方法</w:t>
      </w:r>
    </w:p>
    <w:p w14:paraId="69A91187">
      <w:pPr>
        <w:ind w:firstLine="480"/>
        <w:rPr>
          <w:color w:val="auto"/>
        </w:rPr>
      </w:pPr>
      <w:r>
        <w:rPr>
          <w:rFonts w:hint="eastAsia"/>
          <w:color w:val="auto"/>
        </w:rPr>
        <w:t>土地复垦适宜性评价主要是为了确定土地的适宜性用途和指导复垦工作更有效地进行。根据《土地复垦方案编制规程第1部分：通则》（TD/T103.1-2011）中对建设项目土地复垦适宜性评价的相关说明，本项目在进行复垦适宜性评价时，拟采用主要限制因素分析方法进行。</w:t>
      </w:r>
    </w:p>
    <w:p w14:paraId="679DBA2E">
      <w:pPr>
        <w:pStyle w:val="5"/>
        <w:rPr>
          <w:rFonts w:hint="eastAsia"/>
          <w:color w:val="auto"/>
        </w:rPr>
      </w:pPr>
      <w:r>
        <w:rPr>
          <w:color w:val="auto"/>
        </w:rPr>
        <w:t>4.4.</w:t>
      </w:r>
      <w:r>
        <w:rPr>
          <w:rFonts w:hint="eastAsia"/>
          <w:color w:val="auto"/>
        </w:rPr>
        <w:t>6 待复垦土地适宜性评价</w:t>
      </w:r>
    </w:p>
    <w:p w14:paraId="6A507592">
      <w:pPr>
        <w:ind w:firstLine="480"/>
        <w:jc w:val="left"/>
        <w:rPr>
          <w:color w:val="auto"/>
          <w:kern w:val="0"/>
        </w:rPr>
      </w:pPr>
      <w:r>
        <w:rPr>
          <w:color w:val="auto"/>
          <w:kern w:val="0"/>
        </w:rPr>
        <w:t>土地复垦适宜性评价以特定复垦方向为前提，对被损毁土地的适宜程度所作出的判断分析，离开了复垦方向，土地复垦适宜性评价就失去了意义。结合复垦区的自然环境条件、地区社会经济状况、相关规划，公众意愿及当地复垦经验进行复垦土地适宜性评价的定性分析，确定土地复垦的初步方向。</w:t>
      </w:r>
    </w:p>
    <w:p w14:paraId="6CE03259">
      <w:pPr>
        <w:ind w:firstLine="480"/>
        <w:jc w:val="left"/>
        <w:rPr>
          <w:color w:val="auto"/>
          <w:kern w:val="0"/>
        </w:rPr>
      </w:pPr>
      <w:r>
        <w:rPr>
          <w:color w:val="auto"/>
          <w:kern w:val="0"/>
        </w:rPr>
        <w:t>a）自然环境分析</w:t>
      </w:r>
    </w:p>
    <w:p w14:paraId="0B100297">
      <w:pPr>
        <w:ind w:firstLine="480"/>
        <w:jc w:val="left"/>
        <w:rPr>
          <w:color w:val="auto"/>
          <w:kern w:val="0"/>
        </w:rPr>
      </w:pPr>
      <w:r>
        <w:rPr>
          <w:color w:val="auto"/>
          <w:kern w:val="0"/>
        </w:rPr>
        <w:t>本项目位于</w:t>
      </w:r>
      <w:r>
        <w:rPr>
          <w:rFonts w:hint="eastAsia"/>
          <w:color w:val="auto"/>
          <w:kern w:val="0"/>
          <w:lang w:val="en-US" w:eastAsia="zh-CN"/>
        </w:rPr>
        <w:t>哈密市</w:t>
      </w:r>
      <w:r>
        <w:rPr>
          <w:color w:val="auto"/>
          <w:kern w:val="0"/>
        </w:rPr>
        <w:t>境内，项目区土壤颗粒组成较为均一，有机质含量低，较为贫瘠。通过上述分析，自然条件给土地复垦造成一定限制，宜恢复原状为主。</w:t>
      </w:r>
    </w:p>
    <w:p w14:paraId="438F5F4B">
      <w:pPr>
        <w:ind w:firstLine="480"/>
        <w:jc w:val="left"/>
        <w:rPr>
          <w:color w:val="auto"/>
          <w:kern w:val="0"/>
        </w:rPr>
      </w:pPr>
      <w:r>
        <w:rPr>
          <w:color w:val="auto"/>
          <w:kern w:val="0"/>
        </w:rPr>
        <w:t>b）社会经济条件分析</w:t>
      </w:r>
    </w:p>
    <w:p w14:paraId="1B23291B">
      <w:pPr>
        <w:ind w:firstLine="480"/>
        <w:jc w:val="left"/>
        <w:rPr>
          <w:color w:val="auto"/>
          <w:kern w:val="0"/>
        </w:rPr>
      </w:pPr>
      <w:r>
        <w:rPr>
          <w:color w:val="auto"/>
          <w:kern w:val="0"/>
        </w:rPr>
        <w:t>本项目位于</w:t>
      </w:r>
      <w:r>
        <w:rPr>
          <w:rFonts w:hint="eastAsia"/>
          <w:color w:val="auto"/>
          <w:kern w:val="0"/>
          <w:lang w:val="en-US" w:eastAsia="zh-CN"/>
        </w:rPr>
        <w:t>哈密市</w:t>
      </w:r>
      <w:r>
        <w:rPr>
          <w:color w:val="auto"/>
          <w:kern w:val="0"/>
        </w:rPr>
        <w:t>境内，根据现场调查，项目周围人类活动较少，因此从社会经济条件分析，损毁土地复垦时宜采取土地整治措施恢复原状，并注重社会效益、生态效益和经济效益的统一发挥。</w:t>
      </w:r>
    </w:p>
    <w:p w14:paraId="1DA53E32">
      <w:pPr>
        <w:ind w:firstLine="480"/>
        <w:jc w:val="left"/>
        <w:rPr>
          <w:color w:val="auto"/>
          <w:kern w:val="0"/>
        </w:rPr>
      </w:pPr>
      <w:r>
        <w:rPr>
          <w:color w:val="auto"/>
          <w:kern w:val="0"/>
        </w:rPr>
        <w:t>c）国家政策与地方规划分析</w:t>
      </w:r>
    </w:p>
    <w:p w14:paraId="0B7148A5">
      <w:pPr>
        <w:ind w:firstLine="480"/>
        <w:jc w:val="left"/>
        <w:rPr>
          <w:color w:val="auto"/>
          <w:kern w:val="0"/>
        </w:rPr>
      </w:pPr>
      <w:r>
        <w:rPr>
          <w:color w:val="auto"/>
          <w:kern w:val="0"/>
        </w:rPr>
        <w:t>根据本项目复垦适宜性评价单元与《新疆维吾尔自治区国土空间总体规划（2020-2035年）》进行叠加分析，同时根据《新疆维吾尔自治区生态功能区划》复垦区损毁土地在复垦时，应综合考虑待复垦区周边土地利用方式，以恢复原状为首选复垦方向，预防生物多样性和生境中度敏感、不敏感，土壤侵蚀不敏感，土地沙漠化不敏感或极度敏感，土壤盐渍化轻度敏感。</w:t>
      </w:r>
    </w:p>
    <w:p w14:paraId="55002462">
      <w:pPr>
        <w:ind w:firstLine="480"/>
        <w:jc w:val="left"/>
        <w:rPr>
          <w:color w:val="auto"/>
          <w:kern w:val="0"/>
        </w:rPr>
      </w:pPr>
      <w:r>
        <w:rPr>
          <w:color w:val="auto"/>
          <w:kern w:val="0"/>
        </w:rPr>
        <w:t>d）公众意愿分析</w:t>
      </w:r>
    </w:p>
    <w:p w14:paraId="2BF491FE">
      <w:pPr>
        <w:ind w:firstLine="480"/>
        <w:jc w:val="left"/>
        <w:rPr>
          <w:color w:val="auto"/>
          <w:kern w:val="0"/>
        </w:rPr>
      </w:pPr>
      <w:r>
        <w:rPr>
          <w:color w:val="auto"/>
          <w:kern w:val="0"/>
        </w:rPr>
        <w:t>根据实地调查走访，临时用地的原土地使用权人仍希望在本项目建设结束后，对损毁土地主要采取土地整治措施，避免土地功能发生重大改变，恢复生态环境，且复垦土地的利用方向应符合各县市国土空间总体规划确定的用途方向。</w:t>
      </w:r>
    </w:p>
    <w:p w14:paraId="5B6D7D73">
      <w:pPr>
        <w:ind w:firstLine="480"/>
        <w:rPr>
          <w:color w:val="auto"/>
          <w:kern w:val="0"/>
        </w:rPr>
      </w:pPr>
      <w:r>
        <w:rPr>
          <w:rFonts w:hint="eastAsia"/>
          <w:color w:val="auto"/>
          <w:kern w:val="0"/>
          <w:lang w:val="en-US" w:eastAsia="zh-CN"/>
        </w:rPr>
        <w:t>e</w:t>
      </w:r>
      <w:r>
        <w:rPr>
          <w:color w:val="auto"/>
          <w:kern w:val="0"/>
        </w:rPr>
        <w:t>）</w:t>
      </w:r>
      <w:r>
        <w:rPr>
          <w:rFonts w:hint="eastAsia"/>
          <w:color w:val="auto"/>
          <w:kern w:val="0"/>
        </w:rPr>
        <w:t>损毁土地适宜性等级评定及结果</w:t>
      </w:r>
    </w:p>
    <w:p w14:paraId="13DBC339">
      <w:pPr>
        <w:ind w:firstLine="480"/>
        <w:rPr>
          <w:rFonts w:hint="eastAsia"/>
          <w:color w:val="auto"/>
        </w:rPr>
      </w:pPr>
      <w:r>
        <w:rPr>
          <w:rFonts w:hint="eastAsia"/>
          <w:color w:val="auto"/>
        </w:rPr>
        <w:t>本项目土地复垦设计中，对拟损毁土地从施工阶段就注重预防控制，使损毁程度降到最低。土地复垦同时使用各种工程，对土地的质量进行恢复和改良，根据这一复垦设计原则，预计待复垦土地的质量可以恢复。</w:t>
      </w:r>
    </w:p>
    <w:p w14:paraId="1AF29B52">
      <w:pPr>
        <w:ind w:firstLine="480"/>
        <w:rPr>
          <w:rStyle w:val="788"/>
          <w:rFonts w:hint="eastAsia"/>
        </w:rPr>
      </w:pPr>
      <w:r>
        <w:rPr>
          <w:rFonts w:hint="eastAsia"/>
          <w:color w:val="auto"/>
        </w:rPr>
        <w:t>损毁的土地经过复垦后，将具有一定的社会、经济、生态效益，通过将复垦单元土地质量与限制因素的农林牧评价等级标准进行逐项比配，得出复垦单元土地适宜性评价结果如下表。</w:t>
      </w:r>
    </w:p>
    <w:p w14:paraId="64715690">
      <w:pPr>
        <w:pStyle w:val="22"/>
        <w:bidi w:val="0"/>
      </w:pPr>
      <w:r>
        <w:t>表4.4-3</w:t>
      </w:r>
      <w:r>
        <w:rPr>
          <w:rFonts w:hint="eastAsia"/>
        </w:rPr>
        <w:t xml:space="preserve"> </w:t>
      </w:r>
      <w:r>
        <w:t>复垦土地适宜性评价结果</w:t>
      </w:r>
    </w:p>
    <w:tbl>
      <w:tblPr>
        <w:tblStyle w:val="8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3"/>
        <w:gridCol w:w="2100"/>
        <w:gridCol w:w="2111"/>
        <w:gridCol w:w="1812"/>
        <w:gridCol w:w="1562"/>
        <w:gridCol w:w="1041"/>
      </w:tblGrid>
      <w:tr w14:paraId="57E48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EA195">
            <w:pPr>
              <w:pStyle w:val="100"/>
              <w:bidi w:val="0"/>
            </w:pPr>
            <w:r>
              <w:rPr>
                <w:rFonts w:hint="default"/>
                <w:lang w:val="en-US" w:eastAsia="zh-CN"/>
              </w:rPr>
              <w:t>序号</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5CE9">
            <w:pPr>
              <w:pStyle w:val="100"/>
              <w:bidi w:val="0"/>
              <w:rPr>
                <w:rFonts w:hint="default"/>
              </w:rPr>
            </w:pPr>
            <w:r>
              <w:rPr>
                <w:rFonts w:hint="default"/>
                <w:lang w:val="en-US" w:eastAsia="zh-CN"/>
              </w:rPr>
              <w:t>项目名称</w:t>
            </w:r>
          </w:p>
        </w:tc>
        <w:tc>
          <w:tcPr>
            <w:tcW w:w="1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AB90">
            <w:pPr>
              <w:pStyle w:val="100"/>
              <w:bidi w:val="0"/>
              <w:rPr>
                <w:rFonts w:hint="default"/>
              </w:rPr>
            </w:pPr>
            <w:r>
              <w:rPr>
                <w:rFonts w:hint="default"/>
                <w:lang w:val="en-US" w:eastAsia="zh-CN"/>
              </w:rPr>
              <w:t>损毁土地类型</w:t>
            </w:r>
          </w:p>
        </w:tc>
        <w:tc>
          <w:tcPr>
            <w:tcW w:w="9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3DCE8">
            <w:pPr>
              <w:pStyle w:val="100"/>
              <w:bidi w:val="0"/>
              <w:rPr>
                <w:rFonts w:hint="default"/>
              </w:rPr>
            </w:pPr>
            <w:r>
              <w:rPr>
                <w:rFonts w:hint="default"/>
                <w:lang w:val="en-US" w:eastAsia="zh-CN"/>
              </w:rPr>
              <w:t>主要限制因子</w:t>
            </w:r>
          </w:p>
        </w:tc>
        <w:tc>
          <w:tcPr>
            <w:tcW w:w="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73FB">
            <w:pPr>
              <w:pStyle w:val="100"/>
              <w:bidi w:val="0"/>
              <w:rPr>
                <w:rFonts w:hint="default"/>
              </w:rPr>
            </w:pPr>
            <w:r>
              <w:rPr>
                <w:rFonts w:hint="default"/>
                <w:lang w:val="en-US" w:eastAsia="zh-CN"/>
              </w:rPr>
              <w:t>拟采取措施</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CAD62">
            <w:pPr>
              <w:pStyle w:val="100"/>
              <w:bidi w:val="0"/>
              <w:rPr>
                <w:rFonts w:hint="default"/>
              </w:rPr>
            </w:pPr>
            <w:r>
              <w:rPr>
                <w:rFonts w:hint="default"/>
                <w:lang w:val="en-US" w:eastAsia="zh-CN"/>
              </w:rPr>
              <w:t>损毁面积（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default"/>
                <w:lang w:val="en-US" w:eastAsia="zh-CN"/>
              </w:rPr>
              <w:t>）</w:t>
            </w:r>
          </w:p>
        </w:tc>
      </w:tr>
      <w:tr w14:paraId="0375B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C75D2">
            <w:pPr>
              <w:pStyle w:val="100"/>
              <w:bidi w:val="0"/>
              <w:rPr>
                <w:rFonts w:hint="default"/>
              </w:rPr>
            </w:pPr>
            <w:r>
              <w:rPr>
                <w:rFonts w:hint="default"/>
                <w:lang w:val="en-US" w:eastAsia="zh-CN"/>
              </w:rPr>
              <w:t>1</w:t>
            </w:r>
          </w:p>
        </w:tc>
        <w:tc>
          <w:tcPr>
            <w:tcW w:w="11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20B7E">
            <w:pPr>
              <w:pStyle w:val="100"/>
              <w:bidi w:val="0"/>
              <w:rPr>
                <w:rFonts w:hint="default"/>
              </w:rPr>
            </w:pPr>
            <w:r>
              <w:rPr>
                <w:rFonts w:hint="eastAsia"/>
                <w:lang w:val="en-US" w:eastAsia="zh-CN"/>
              </w:rPr>
              <w:t>马T101H井场等两口井压裂施工项目</w:t>
            </w:r>
            <w:r>
              <w:rPr>
                <w:rFonts w:hint="default"/>
                <w:lang w:val="en-US" w:eastAsia="zh-CN"/>
              </w:rPr>
              <w:t>临时用地</w:t>
            </w:r>
          </w:p>
        </w:tc>
        <w:tc>
          <w:tcPr>
            <w:tcW w:w="1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7810">
            <w:pPr>
              <w:pStyle w:val="100"/>
              <w:bidi w:val="0"/>
              <w:ind w:firstLine="0" w:firstLineChars="0"/>
              <w:rPr>
                <w:rFonts w:hint="default"/>
              </w:rPr>
            </w:pPr>
            <w:r>
              <w:rPr>
                <w:rFonts w:hint="eastAsia"/>
                <w:lang w:val="en-US" w:eastAsia="zh-CN"/>
              </w:rPr>
              <w:t>工业</w:t>
            </w:r>
            <w:r>
              <w:rPr>
                <w:rFonts w:hint="default"/>
                <w:lang w:val="en-US" w:eastAsia="zh-CN"/>
              </w:rPr>
              <w:t>用地</w:t>
            </w:r>
          </w:p>
        </w:tc>
        <w:tc>
          <w:tcPr>
            <w:tcW w:w="9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2B2C1">
            <w:pPr>
              <w:pStyle w:val="100"/>
              <w:bidi w:val="0"/>
              <w:rPr>
                <w:rFonts w:hint="default"/>
              </w:rPr>
            </w:pPr>
            <w:r>
              <w:rPr>
                <w:rFonts w:hint="default"/>
                <w:lang w:val="en-US" w:eastAsia="zh-CN"/>
              </w:rPr>
              <w:t>地形、平整度、是否恢复原貌</w:t>
            </w:r>
          </w:p>
        </w:tc>
        <w:tc>
          <w:tcPr>
            <w:tcW w:w="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807E9">
            <w:pPr>
              <w:pStyle w:val="100"/>
              <w:bidi w:val="0"/>
              <w:ind w:firstLine="0" w:firstLineChars="0"/>
              <w:rPr>
                <w:rFonts w:hint="default"/>
              </w:rPr>
            </w:pPr>
            <w:r>
              <w:rPr>
                <w:rFonts w:hint="eastAsia"/>
                <w:lang w:val="en-US" w:eastAsia="zh-CN"/>
              </w:rPr>
              <w:t>工业</w:t>
            </w:r>
            <w:r>
              <w:rPr>
                <w:rFonts w:hint="default"/>
                <w:lang w:val="en-US" w:eastAsia="zh-CN"/>
              </w:rPr>
              <w:t>用地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F8B4">
            <w:pPr>
              <w:pStyle w:val="100"/>
              <w:bidi w:val="0"/>
              <w:ind w:firstLine="0" w:firstLineChars="0"/>
              <w:rPr>
                <w:rFonts w:hint="default"/>
              </w:rPr>
            </w:pPr>
            <w:r>
              <w:rPr>
                <w:rFonts w:hint="eastAsia"/>
                <w:lang w:val="en-US" w:eastAsia="zh-CN"/>
              </w:rPr>
              <w:t>0.0280</w:t>
            </w:r>
          </w:p>
        </w:tc>
      </w:tr>
      <w:tr w14:paraId="0941C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DB718">
            <w:pPr>
              <w:pStyle w:val="100"/>
              <w:bidi w:val="0"/>
              <w:rPr>
                <w:rFonts w:hint="default"/>
              </w:rPr>
            </w:pPr>
          </w:p>
        </w:tc>
        <w:tc>
          <w:tcPr>
            <w:tcW w:w="11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96D3E">
            <w:pPr>
              <w:pStyle w:val="100"/>
              <w:bidi w:val="0"/>
              <w:rPr>
                <w:rFonts w:hint="default"/>
              </w:rPr>
            </w:pPr>
          </w:p>
        </w:tc>
        <w:tc>
          <w:tcPr>
            <w:tcW w:w="1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CEDA">
            <w:pPr>
              <w:pStyle w:val="100"/>
              <w:bidi w:val="0"/>
              <w:ind w:firstLine="0" w:firstLineChars="0"/>
              <w:rPr>
                <w:rFonts w:hint="default"/>
                <w:lang w:val="en-US" w:eastAsia="zh-CN"/>
              </w:rPr>
            </w:pPr>
            <w:r>
              <w:rPr>
                <w:rFonts w:hint="default"/>
                <w:lang w:val="en-US" w:eastAsia="zh-CN"/>
              </w:rPr>
              <w:t>采矿用地</w:t>
            </w:r>
          </w:p>
        </w:tc>
        <w:tc>
          <w:tcPr>
            <w:tcW w:w="9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98A66">
            <w:pPr>
              <w:pStyle w:val="100"/>
              <w:bidi w:val="0"/>
              <w:rPr>
                <w:rFonts w:hint="default"/>
              </w:rPr>
            </w:pPr>
          </w:p>
        </w:tc>
        <w:tc>
          <w:tcPr>
            <w:tcW w:w="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9DDC">
            <w:pPr>
              <w:pStyle w:val="100"/>
              <w:bidi w:val="0"/>
              <w:ind w:firstLine="0" w:firstLineChars="0"/>
              <w:rPr>
                <w:rFonts w:hint="default"/>
                <w:lang w:val="en-US" w:eastAsia="zh-CN"/>
              </w:rPr>
            </w:pPr>
            <w:r>
              <w:rPr>
                <w:rFonts w:hint="default"/>
                <w:lang w:val="en-US" w:eastAsia="zh-CN"/>
              </w:rPr>
              <w:t>采矿用地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CF54">
            <w:pPr>
              <w:pStyle w:val="100"/>
              <w:bidi w:val="0"/>
              <w:ind w:firstLine="0" w:firstLineChars="0"/>
              <w:rPr>
                <w:rFonts w:hint="default"/>
                <w:lang w:val="en-US" w:eastAsia="zh-CN"/>
              </w:rPr>
            </w:pPr>
            <w:r>
              <w:rPr>
                <w:rFonts w:hint="eastAsia"/>
                <w:lang w:val="en-US" w:eastAsia="zh-CN"/>
              </w:rPr>
              <w:t>0.0685</w:t>
            </w:r>
          </w:p>
        </w:tc>
      </w:tr>
      <w:tr w14:paraId="3575D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D99D0">
            <w:pPr>
              <w:pStyle w:val="100"/>
              <w:bidi w:val="0"/>
              <w:rPr>
                <w:rFonts w:hint="default"/>
              </w:rPr>
            </w:pPr>
          </w:p>
        </w:tc>
        <w:tc>
          <w:tcPr>
            <w:tcW w:w="11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B5A8C">
            <w:pPr>
              <w:pStyle w:val="100"/>
              <w:bidi w:val="0"/>
              <w:rPr>
                <w:rFonts w:hint="default"/>
              </w:rPr>
            </w:pPr>
          </w:p>
        </w:tc>
        <w:tc>
          <w:tcPr>
            <w:tcW w:w="1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DA755">
            <w:pPr>
              <w:pStyle w:val="100"/>
              <w:bidi w:val="0"/>
              <w:ind w:firstLine="0" w:firstLineChars="0"/>
              <w:rPr>
                <w:rFonts w:hint="default"/>
              </w:rPr>
            </w:pPr>
            <w:r>
              <w:rPr>
                <w:rFonts w:hint="default"/>
                <w:lang w:val="en-US" w:eastAsia="zh-CN"/>
              </w:rPr>
              <w:t>裸岩石砾地</w:t>
            </w:r>
          </w:p>
        </w:tc>
        <w:tc>
          <w:tcPr>
            <w:tcW w:w="9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7E788">
            <w:pPr>
              <w:pStyle w:val="100"/>
              <w:bidi w:val="0"/>
              <w:rPr>
                <w:rFonts w:hint="default"/>
              </w:rPr>
            </w:pPr>
          </w:p>
        </w:tc>
        <w:tc>
          <w:tcPr>
            <w:tcW w:w="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E9CC">
            <w:pPr>
              <w:pStyle w:val="100"/>
              <w:bidi w:val="0"/>
              <w:ind w:firstLine="0" w:firstLineChars="0"/>
              <w:rPr>
                <w:rFonts w:hint="default"/>
              </w:rPr>
            </w:pPr>
            <w:r>
              <w:rPr>
                <w:rFonts w:hint="default"/>
                <w:lang w:val="en-US" w:eastAsia="zh-CN"/>
              </w:rPr>
              <w:t>裸岩石砾地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9D72">
            <w:pPr>
              <w:pStyle w:val="100"/>
              <w:bidi w:val="0"/>
              <w:ind w:firstLine="0" w:firstLineChars="0"/>
              <w:rPr>
                <w:rFonts w:hint="default"/>
              </w:rPr>
            </w:pPr>
            <w:r>
              <w:rPr>
                <w:rFonts w:hint="eastAsia"/>
                <w:lang w:val="en-US" w:eastAsia="zh-CN"/>
              </w:rPr>
              <w:t>1.8683</w:t>
            </w:r>
          </w:p>
        </w:tc>
      </w:tr>
      <w:tr w14:paraId="2D34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F2873">
            <w:pPr>
              <w:pStyle w:val="100"/>
              <w:bidi w:val="0"/>
              <w:rPr>
                <w:rFonts w:hint="default"/>
              </w:rPr>
            </w:pPr>
          </w:p>
        </w:tc>
        <w:tc>
          <w:tcPr>
            <w:tcW w:w="11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15F0D">
            <w:pPr>
              <w:pStyle w:val="100"/>
              <w:bidi w:val="0"/>
              <w:rPr>
                <w:rFonts w:hint="default"/>
              </w:rPr>
            </w:pPr>
          </w:p>
        </w:tc>
        <w:tc>
          <w:tcPr>
            <w:tcW w:w="1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23753">
            <w:pPr>
              <w:pStyle w:val="100"/>
              <w:bidi w:val="0"/>
              <w:rPr>
                <w:rFonts w:hint="default"/>
              </w:rPr>
            </w:pPr>
            <w:r>
              <w:rPr>
                <w:rFonts w:hint="default"/>
                <w:lang w:val="en-US" w:eastAsia="zh-CN"/>
              </w:rPr>
              <w:t>小计</w:t>
            </w:r>
          </w:p>
        </w:tc>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98C1">
            <w:pPr>
              <w:pStyle w:val="100"/>
              <w:bidi w:val="0"/>
              <w:rPr>
                <w:rFonts w:hint="default"/>
              </w:rPr>
            </w:pPr>
          </w:p>
        </w:tc>
        <w:tc>
          <w:tcPr>
            <w:tcW w:w="8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DF632">
            <w:pPr>
              <w:pStyle w:val="100"/>
              <w:bidi w:val="0"/>
              <w:rPr>
                <w:rFonts w:hint="default"/>
              </w:rPr>
            </w:pPr>
            <w:r>
              <w:rPr>
                <w:rFonts w:hint="default"/>
                <w:lang w:val="en-US" w:eastAsia="zh-CN"/>
              </w:rPr>
              <w:t>/</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4C6B">
            <w:pPr>
              <w:pStyle w:val="100"/>
              <w:bidi w:val="0"/>
              <w:ind w:firstLine="0" w:firstLineChars="0"/>
              <w:rPr>
                <w:rFonts w:hint="default"/>
              </w:rPr>
            </w:pPr>
            <w:r>
              <w:rPr>
                <w:rFonts w:hint="eastAsia"/>
                <w:lang w:val="en-US" w:eastAsia="zh-CN"/>
              </w:rPr>
              <w:t>1.9648</w:t>
            </w:r>
          </w:p>
        </w:tc>
      </w:tr>
    </w:tbl>
    <w:p w14:paraId="18A26869">
      <w:pPr>
        <w:pStyle w:val="5"/>
        <w:rPr>
          <w:rFonts w:hint="eastAsia"/>
          <w:color w:val="auto"/>
        </w:rPr>
      </w:pPr>
      <w:r>
        <w:rPr>
          <w:color w:val="auto"/>
        </w:rPr>
        <w:t>4.4.</w:t>
      </w:r>
      <w:r>
        <w:rPr>
          <w:rFonts w:hint="eastAsia"/>
          <w:color w:val="auto"/>
        </w:rPr>
        <w:t>7 复垦方向确定</w:t>
      </w:r>
    </w:p>
    <w:p w14:paraId="2EFE3EAF">
      <w:pPr>
        <w:ind w:firstLine="480"/>
        <w:jc w:val="left"/>
        <w:rPr>
          <w:color w:val="auto"/>
        </w:rPr>
      </w:pPr>
      <w:r>
        <w:rPr>
          <w:rFonts w:hint="eastAsia"/>
          <w:color w:val="auto"/>
        </w:rPr>
        <w:t>根据损毁土地利用类型、损毁形式，结合复垦土地的主要限制因素以及该限制性因素的可克服性，在经济可行、技术合理的条件下，最终确定合理的土地复垦方向，并划分土地复垦单元。具体情况见表4.4-4。</w:t>
      </w:r>
    </w:p>
    <w:p w14:paraId="0E5883A9">
      <w:pPr>
        <w:pStyle w:val="22"/>
        <w:bidi w:val="0"/>
      </w:pPr>
      <w:r>
        <w:t>表4.4-</w:t>
      </w:r>
      <w:r>
        <w:rPr>
          <w:rFonts w:hint="eastAsia"/>
        </w:rPr>
        <w:t xml:space="preserve">4 </w:t>
      </w:r>
      <w:r>
        <w:t>损毁土地复垦方向的初步方向分析表</w:t>
      </w:r>
    </w:p>
    <w:bookmarkEnd w:id="96"/>
    <w:tbl>
      <w:tblPr>
        <w:tblStyle w:val="8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9"/>
        <w:gridCol w:w="1627"/>
        <w:gridCol w:w="1916"/>
        <w:gridCol w:w="1558"/>
        <w:gridCol w:w="1417"/>
        <w:gridCol w:w="1512"/>
      </w:tblGrid>
      <w:tr w14:paraId="79B8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7B407">
            <w:pPr>
              <w:pStyle w:val="100"/>
              <w:bidi w:val="0"/>
            </w:pPr>
            <w:bookmarkStart w:id="98" w:name="_Toc384127043"/>
            <w:r>
              <w:rPr>
                <w:rFonts w:hint="default"/>
                <w:lang w:val="en-US" w:eastAsia="zh-CN"/>
              </w:rPr>
              <w:t>序号</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4B116">
            <w:pPr>
              <w:pStyle w:val="100"/>
              <w:bidi w:val="0"/>
              <w:rPr>
                <w:rFonts w:hint="default"/>
              </w:rPr>
            </w:pPr>
            <w:r>
              <w:rPr>
                <w:rFonts w:hint="default"/>
                <w:lang w:val="en-US" w:eastAsia="zh-CN"/>
              </w:rPr>
              <w:t>项目名称</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FCA1B">
            <w:pPr>
              <w:pStyle w:val="100"/>
              <w:bidi w:val="0"/>
              <w:rPr>
                <w:rFonts w:hint="default"/>
              </w:rPr>
            </w:pPr>
            <w:r>
              <w:rPr>
                <w:rFonts w:hint="default"/>
                <w:lang w:val="en-US" w:eastAsia="zh-CN"/>
              </w:rPr>
              <w:t>损毁土地类型</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3335A">
            <w:pPr>
              <w:pStyle w:val="100"/>
              <w:bidi w:val="0"/>
              <w:rPr>
                <w:rFonts w:hint="default"/>
              </w:rPr>
            </w:pPr>
            <w:r>
              <w:rPr>
                <w:rFonts w:hint="default"/>
                <w:lang w:val="en-US" w:eastAsia="zh-CN"/>
              </w:rPr>
              <w:t>复垦措施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0F9A7">
            <w:pPr>
              <w:pStyle w:val="100"/>
              <w:bidi w:val="0"/>
              <w:rPr>
                <w:rFonts w:hint="default"/>
              </w:rPr>
            </w:pPr>
            <w:r>
              <w:rPr>
                <w:rFonts w:hint="default"/>
                <w:lang w:val="en-US" w:eastAsia="zh-CN"/>
              </w:rPr>
              <w:t>复垦方向</w:t>
            </w:r>
          </w:p>
        </w:tc>
        <w:tc>
          <w:tcPr>
            <w:tcW w:w="8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2B52">
            <w:pPr>
              <w:pStyle w:val="100"/>
              <w:bidi w:val="0"/>
              <w:rPr>
                <w:rFonts w:hint="default"/>
              </w:rPr>
            </w:pPr>
            <w:r>
              <w:rPr>
                <w:rFonts w:hint="default"/>
                <w:lang w:val="en-US" w:eastAsia="zh-CN"/>
              </w:rPr>
              <w:t>损毁面积（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default"/>
                <w:lang w:val="en-US" w:eastAsia="zh-CN"/>
              </w:rPr>
              <w:t>）</w:t>
            </w:r>
          </w:p>
        </w:tc>
      </w:tr>
      <w:tr w14:paraId="00085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85217">
            <w:pPr>
              <w:pStyle w:val="100"/>
              <w:bidi w:val="0"/>
              <w:rPr>
                <w:rFonts w:hint="default"/>
              </w:rPr>
            </w:pPr>
            <w:r>
              <w:rPr>
                <w:rFonts w:hint="default"/>
                <w:lang w:val="en-US" w:eastAsia="zh-CN"/>
              </w:rPr>
              <w:t>1</w:t>
            </w:r>
          </w:p>
        </w:tc>
        <w:tc>
          <w:tcPr>
            <w:tcW w:w="8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BB577">
            <w:pPr>
              <w:pStyle w:val="100"/>
              <w:bidi w:val="0"/>
              <w:rPr>
                <w:rFonts w:hint="default"/>
              </w:rPr>
            </w:pPr>
            <w:r>
              <w:rPr>
                <w:rFonts w:hint="eastAsia"/>
                <w:lang w:val="en-US" w:eastAsia="zh-CN"/>
              </w:rPr>
              <w:t>马T101H井场等两口井压裂施工项目</w:t>
            </w:r>
            <w:r>
              <w:rPr>
                <w:rFonts w:hint="default"/>
                <w:lang w:val="en-US" w:eastAsia="zh-CN"/>
              </w:rPr>
              <w:t>临时用地</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13AC3">
            <w:pPr>
              <w:pStyle w:val="100"/>
              <w:bidi w:val="0"/>
              <w:ind w:firstLine="0" w:firstLineChars="0"/>
              <w:rPr>
                <w:rFonts w:hint="default"/>
              </w:rPr>
            </w:pPr>
            <w:r>
              <w:rPr>
                <w:rFonts w:hint="eastAsia"/>
                <w:lang w:val="en-US" w:eastAsia="zh-CN"/>
              </w:rPr>
              <w:t>工业</w:t>
            </w:r>
            <w:r>
              <w:rPr>
                <w:rFonts w:hint="default"/>
                <w:lang w:val="en-US" w:eastAsia="zh-CN"/>
              </w:rPr>
              <w:t>用地</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1CE1">
            <w:pPr>
              <w:pStyle w:val="100"/>
              <w:bidi w:val="0"/>
              <w:rPr>
                <w:rFonts w:hint="default"/>
              </w:rPr>
            </w:pPr>
            <w:r>
              <w:rPr>
                <w:rFonts w:hint="default"/>
                <w:lang w:val="en-US" w:eastAsia="zh-CN"/>
              </w:rPr>
              <w:t>土地平整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751B">
            <w:pPr>
              <w:pStyle w:val="100"/>
              <w:bidi w:val="0"/>
              <w:ind w:firstLine="0" w:firstLineChars="0"/>
              <w:rPr>
                <w:rFonts w:hint="default"/>
              </w:rPr>
            </w:pPr>
            <w:r>
              <w:rPr>
                <w:rFonts w:hint="eastAsia"/>
                <w:lang w:val="en-US" w:eastAsia="zh-CN"/>
              </w:rPr>
              <w:t>工业</w:t>
            </w:r>
            <w:r>
              <w:rPr>
                <w:rFonts w:hint="default"/>
                <w:lang w:val="en-US" w:eastAsia="zh-CN"/>
              </w:rPr>
              <w:t>用地</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B371">
            <w:pPr>
              <w:pStyle w:val="100"/>
              <w:bidi w:val="0"/>
              <w:ind w:firstLine="0" w:firstLineChars="0"/>
              <w:rPr>
                <w:rFonts w:hint="default"/>
              </w:rPr>
            </w:pPr>
            <w:r>
              <w:rPr>
                <w:rFonts w:hint="eastAsia"/>
                <w:lang w:val="en-US" w:eastAsia="zh-CN"/>
              </w:rPr>
              <w:t>0.0280</w:t>
            </w:r>
          </w:p>
        </w:tc>
      </w:tr>
      <w:tr w14:paraId="22D4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A5533">
            <w:pPr>
              <w:pStyle w:val="100"/>
              <w:bidi w:val="0"/>
              <w:rPr>
                <w:rFonts w:hint="default"/>
              </w:rPr>
            </w:pPr>
          </w:p>
        </w:tc>
        <w:tc>
          <w:tcPr>
            <w:tcW w:w="8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50465">
            <w:pPr>
              <w:pStyle w:val="100"/>
              <w:bidi w:val="0"/>
              <w:rPr>
                <w:rFonts w:hint="default"/>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14215">
            <w:pPr>
              <w:pStyle w:val="100"/>
              <w:bidi w:val="0"/>
              <w:ind w:firstLine="0" w:firstLineChars="0"/>
              <w:rPr>
                <w:rFonts w:hint="default"/>
                <w:lang w:val="en-US" w:eastAsia="zh-CN"/>
              </w:rPr>
            </w:pPr>
            <w:r>
              <w:rPr>
                <w:rFonts w:hint="default"/>
                <w:lang w:val="en-US" w:eastAsia="zh-CN"/>
              </w:rPr>
              <w:t>采矿用地</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8CE44">
            <w:pPr>
              <w:pStyle w:val="100"/>
              <w:bidi w:val="0"/>
              <w:rPr>
                <w:rFonts w:hint="default"/>
                <w:lang w:val="en-US" w:eastAsia="zh-CN"/>
              </w:rPr>
            </w:pPr>
            <w:r>
              <w:rPr>
                <w:rFonts w:hint="default"/>
                <w:lang w:val="en-US" w:eastAsia="zh-CN"/>
              </w:rPr>
              <w:t>土地平整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F755D">
            <w:pPr>
              <w:pStyle w:val="100"/>
              <w:bidi w:val="0"/>
              <w:ind w:firstLine="0" w:firstLineChars="0"/>
              <w:rPr>
                <w:rFonts w:hint="default"/>
                <w:lang w:val="en-US" w:eastAsia="zh-CN"/>
              </w:rPr>
            </w:pPr>
            <w:r>
              <w:rPr>
                <w:rFonts w:hint="default"/>
                <w:lang w:val="en-US" w:eastAsia="zh-CN"/>
              </w:rPr>
              <w:t>采矿用地</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FED2">
            <w:pPr>
              <w:pStyle w:val="100"/>
              <w:bidi w:val="0"/>
              <w:ind w:firstLine="0" w:firstLineChars="0"/>
              <w:rPr>
                <w:rFonts w:hint="default"/>
                <w:lang w:val="en-US" w:eastAsia="zh-CN"/>
              </w:rPr>
            </w:pPr>
            <w:r>
              <w:rPr>
                <w:rFonts w:hint="eastAsia"/>
                <w:lang w:val="en-US" w:eastAsia="zh-CN"/>
              </w:rPr>
              <w:t>0.0685</w:t>
            </w:r>
          </w:p>
        </w:tc>
      </w:tr>
      <w:tr w14:paraId="43C01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0C3E8">
            <w:pPr>
              <w:pStyle w:val="100"/>
              <w:bidi w:val="0"/>
              <w:rPr>
                <w:rFonts w:hint="default"/>
              </w:rPr>
            </w:pPr>
          </w:p>
        </w:tc>
        <w:tc>
          <w:tcPr>
            <w:tcW w:w="8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6E7F1">
            <w:pPr>
              <w:pStyle w:val="100"/>
              <w:bidi w:val="0"/>
              <w:rPr>
                <w:rFonts w:hint="default"/>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02D85">
            <w:pPr>
              <w:pStyle w:val="100"/>
              <w:bidi w:val="0"/>
              <w:ind w:firstLine="0" w:firstLineChars="0"/>
              <w:rPr>
                <w:rFonts w:hint="default"/>
              </w:rPr>
            </w:pPr>
            <w:r>
              <w:rPr>
                <w:rFonts w:hint="default"/>
                <w:lang w:val="en-US" w:eastAsia="zh-CN"/>
              </w:rPr>
              <w:t>裸岩石砾地</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C079">
            <w:pPr>
              <w:pStyle w:val="100"/>
              <w:bidi w:val="0"/>
              <w:rPr>
                <w:rFonts w:hint="default"/>
              </w:rPr>
            </w:pPr>
            <w:r>
              <w:rPr>
                <w:rFonts w:hint="default"/>
                <w:lang w:val="en-US" w:eastAsia="zh-CN"/>
              </w:rPr>
              <w:t>土地平整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A664">
            <w:pPr>
              <w:pStyle w:val="100"/>
              <w:bidi w:val="0"/>
              <w:ind w:firstLine="0" w:firstLineChars="0"/>
              <w:rPr>
                <w:rFonts w:hint="default"/>
              </w:rPr>
            </w:pPr>
            <w:r>
              <w:rPr>
                <w:rFonts w:hint="default"/>
                <w:lang w:val="en-US" w:eastAsia="zh-CN"/>
              </w:rPr>
              <w:t>裸岩石砾地</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DAB4">
            <w:pPr>
              <w:pStyle w:val="100"/>
              <w:bidi w:val="0"/>
              <w:ind w:firstLine="0" w:firstLineChars="0"/>
              <w:rPr>
                <w:rFonts w:hint="default"/>
              </w:rPr>
            </w:pPr>
            <w:r>
              <w:rPr>
                <w:rFonts w:hint="eastAsia"/>
                <w:lang w:val="en-US" w:eastAsia="zh-CN"/>
              </w:rPr>
              <w:t>1.8683</w:t>
            </w:r>
          </w:p>
        </w:tc>
      </w:tr>
      <w:tr w14:paraId="138B6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31B12">
            <w:pPr>
              <w:pStyle w:val="100"/>
              <w:bidi w:val="0"/>
              <w:rPr>
                <w:rFonts w:hint="default"/>
              </w:rPr>
            </w:pPr>
          </w:p>
        </w:tc>
        <w:tc>
          <w:tcPr>
            <w:tcW w:w="8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2B063">
            <w:pPr>
              <w:pStyle w:val="100"/>
              <w:bidi w:val="0"/>
              <w:rPr>
                <w:rFonts w:hint="default"/>
              </w:rPr>
            </w:pP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AADAC">
            <w:pPr>
              <w:pStyle w:val="100"/>
              <w:bidi w:val="0"/>
              <w:rPr>
                <w:rFonts w:hint="default"/>
              </w:rPr>
            </w:pPr>
            <w:r>
              <w:rPr>
                <w:rFonts w:hint="default"/>
                <w:lang w:val="en-US" w:eastAsia="zh-CN"/>
              </w:rPr>
              <w:t>小计</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45AAF">
            <w:pPr>
              <w:pStyle w:val="100"/>
              <w:bidi w:val="0"/>
              <w:rPr>
                <w:rFonts w:hint="default"/>
              </w:rPr>
            </w:pPr>
            <w:r>
              <w:rPr>
                <w:rFonts w:hint="default"/>
                <w:lang w:val="en-US" w:eastAsia="zh-CN"/>
              </w:rPr>
              <w:t>/</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AF7BE">
            <w:pPr>
              <w:pStyle w:val="100"/>
              <w:bidi w:val="0"/>
              <w:rPr>
                <w:rFonts w:hint="default"/>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24D3">
            <w:pPr>
              <w:pStyle w:val="100"/>
              <w:bidi w:val="0"/>
              <w:ind w:firstLine="0" w:firstLineChars="0"/>
              <w:rPr>
                <w:rFonts w:hint="default"/>
              </w:rPr>
            </w:pPr>
            <w:r>
              <w:rPr>
                <w:rFonts w:hint="eastAsia"/>
                <w:lang w:val="en-US" w:eastAsia="zh-CN"/>
              </w:rPr>
              <w:t>1.9648</w:t>
            </w:r>
          </w:p>
        </w:tc>
      </w:tr>
    </w:tbl>
    <w:p w14:paraId="4F55BE15">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99" w:name="_Toc20525"/>
      <w:r>
        <w:rPr>
          <w:rFonts w:ascii="Times New Roman" w:hAnsi="Times New Roman" w:eastAsia="黑体" w:cs="Times New Roman"/>
          <w:bCs/>
          <w:color w:val="000000"/>
          <w:kern w:val="0"/>
          <w:sz w:val="30"/>
          <w:szCs w:val="30"/>
        </w:rPr>
        <w:t>4.5 水土资源平衡分析</w:t>
      </w:r>
      <w:bookmarkEnd w:id="99"/>
    </w:p>
    <w:bookmarkEnd w:id="98"/>
    <w:p w14:paraId="55F04F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000000"/>
          <w:sz w:val="24"/>
          <w:szCs w:val="24"/>
        </w:rPr>
      </w:pPr>
      <w:bookmarkStart w:id="100" w:name="_Toc384129337"/>
      <w:bookmarkStart w:id="101" w:name="_Toc402958201"/>
      <w:bookmarkStart w:id="102" w:name="_Toc384127044"/>
      <w:r>
        <w:rPr>
          <w:rFonts w:hint="eastAsia" w:ascii="Times New Roman" w:hAnsi="Times New Roman" w:eastAsia="仿宋_GB2312" w:cs="Times New Roman"/>
          <w:color w:val="000000"/>
          <w:sz w:val="24"/>
          <w:szCs w:val="24"/>
        </w:rPr>
        <w:t>（1）土资源平衡分析本项目不</w:t>
      </w:r>
      <w:r>
        <w:rPr>
          <w:rFonts w:hint="eastAsia" w:cs="Times New Roman"/>
          <w:color w:val="000000"/>
          <w:sz w:val="24"/>
          <w:szCs w:val="24"/>
          <w:lang w:eastAsia="zh-CN"/>
        </w:rPr>
        <w:t>涉及</w:t>
      </w:r>
      <w:r>
        <w:rPr>
          <w:rFonts w:hint="eastAsia" w:ascii="Times New Roman" w:hAnsi="Times New Roman" w:eastAsia="仿宋_GB2312" w:cs="Times New Roman"/>
          <w:color w:val="000000"/>
          <w:sz w:val="24"/>
          <w:szCs w:val="24"/>
        </w:rPr>
        <w:t>表土剥离工程。</w:t>
      </w:r>
    </w:p>
    <w:p w14:paraId="1FAFE6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（2）水资源平衡分析本项目不涉及植被恢复工程，因此，不涉及水资源平衡分析。</w:t>
      </w:r>
    </w:p>
    <w:p w14:paraId="63850177">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103" w:name="_Toc30659"/>
      <w:bookmarkStart w:id="104" w:name="_Toc1841"/>
      <w:r>
        <w:rPr>
          <w:rFonts w:ascii="Times New Roman" w:hAnsi="Times New Roman" w:eastAsia="黑体" w:cs="Times New Roman"/>
          <w:bCs/>
          <w:color w:val="000000"/>
          <w:kern w:val="0"/>
          <w:sz w:val="30"/>
          <w:szCs w:val="30"/>
        </w:rPr>
        <w:t>4.</w:t>
      </w:r>
      <w:r>
        <w:rPr>
          <w:rFonts w:hint="eastAsia" w:ascii="Times New Roman" w:hAnsi="Times New Roman" w:eastAsia="黑体" w:cs="Times New Roman"/>
          <w:bCs/>
          <w:color w:val="000000"/>
          <w:kern w:val="0"/>
          <w:sz w:val="30"/>
          <w:szCs w:val="30"/>
        </w:rPr>
        <w:t>6</w:t>
      </w:r>
      <w:r>
        <w:rPr>
          <w:rFonts w:ascii="Times New Roman" w:hAnsi="Times New Roman" w:eastAsia="黑体" w:cs="Times New Roman"/>
          <w:bCs/>
          <w:color w:val="000000"/>
          <w:kern w:val="0"/>
          <w:sz w:val="30"/>
          <w:szCs w:val="30"/>
        </w:rPr>
        <w:t xml:space="preserve"> 土地复垦目标任务</w:t>
      </w:r>
      <w:bookmarkEnd w:id="100"/>
      <w:bookmarkEnd w:id="101"/>
      <w:bookmarkEnd w:id="103"/>
      <w:bookmarkEnd w:id="104"/>
    </w:p>
    <w:p w14:paraId="39F3CB47">
      <w:pPr>
        <w:adjustRightInd w:val="0"/>
        <w:snapToGrid w:val="0"/>
        <w:spacing w:line="360" w:lineRule="auto"/>
        <w:ind w:firstLine="480" w:firstLineChars="200"/>
        <w:rPr>
          <w:rFonts w:ascii="Times New Roman" w:hAnsi="Times New Roman" w:eastAsia="仿宋_GB2312" w:cs="Times New Roman"/>
          <w:color w:val="000000"/>
          <w:kern w:val="0"/>
          <w:sz w:val="24"/>
          <w:szCs w:val="28"/>
        </w:rPr>
      </w:pPr>
      <w:bookmarkStart w:id="105" w:name="_Toc123100799"/>
      <w:bookmarkStart w:id="106" w:name="_Toc123091836"/>
      <w:bookmarkStart w:id="107" w:name="_Toc123095216"/>
      <w:bookmarkStart w:id="108" w:name="_Toc122693506"/>
      <w:bookmarkStart w:id="109" w:name="_Toc122689830"/>
      <w:bookmarkStart w:id="110" w:name="_Toc122748696"/>
      <w:bookmarkStart w:id="111" w:name="_Toc123099560"/>
      <w:bookmarkStart w:id="112" w:name="_Toc122747891"/>
      <w:bookmarkStart w:id="113" w:name="_Toc122747637"/>
      <w:r>
        <w:rPr>
          <w:rFonts w:hint="eastAsia" w:ascii="Times New Roman" w:hAnsi="Times New Roman" w:eastAsia="仿宋_GB2312" w:cs="Times New Roman"/>
          <w:color w:val="000000"/>
          <w:kern w:val="0"/>
          <w:sz w:val="24"/>
          <w:szCs w:val="28"/>
        </w:rPr>
        <w:t>在尽量确保复垦方向与周边土地利用类型相适应、与土地利用总体规划保持一致的情况下，根据土地复垦适宜性评价分析结果，结合项目区自然环境特征，确定土地的最终复垦方向、复垦面积及土地复垦率。</w:t>
      </w:r>
    </w:p>
    <w:p w14:paraId="73FCC35C">
      <w:pPr>
        <w:adjustRightInd w:val="0"/>
        <w:snapToGrid w:val="0"/>
        <w:spacing w:line="360" w:lineRule="auto"/>
        <w:ind w:firstLine="480" w:firstLineChars="200"/>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本方案确定损毁土地在复垦方向为</w:t>
      </w:r>
      <w:r>
        <w:rPr>
          <w:rFonts w:hint="eastAsia" w:ascii="Times New Roman" w:hAnsi="Times New Roman" w:cs="Times New Roman"/>
          <w:color w:val="000000"/>
          <w:kern w:val="0"/>
          <w:sz w:val="24"/>
          <w:szCs w:val="28"/>
          <w:lang w:val="en-US" w:eastAsia="zh-CN"/>
        </w:rPr>
        <w:t>原地类</w:t>
      </w:r>
      <w:r>
        <w:rPr>
          <w:rFonts w:hint="eastAsia" w:ascii="Times New Roman" w:hAnsi="Times New Roman" w:eastAsia="仿宋_GB2312" w:cs="Times New Roman"/>
          <w:color w:val="000000"/>
          <w:kern w:val="0"/>
          <w:sz w:val="24"/>
          <w:szCs w:val="28"/>
        </w:rPr>
        <w:t>，拟复垦</w:t>
      </w:r>
      <w:r>
        <w:rPr>
          <w:rFonts w:hint="eastAsia" w:ascii="Times New Roman" w:hAnsi="Times New Roman" w:eastAsia="仿宋_GB2312" w:cs="Times New Roman"/>
          <w:color w:val="000000"/>
          <w:sz w:val="24"/>
          <w:szCs w:val="24"/>
          <w:lang w:val="en-US" w:eastAsia="zh-CN"/>
        </w:rPr>
        <w:t>工业用地</w:t>
      </w:r>
      <w:r>
        <w:rPr>
          <w:rFonts w:hint="eastAsia" w:cs="Times New Roman"/>
          <w:color w:val="000000"/>
          <w:sz w:val="24"/>
          <w:szCs w:val="24"/>
          <w:lang w:val="en-US" w:eastAsia="zh-CN"/>
        </w:rPr>
        <w:t>0.0280</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、采矿用地</w:t>
      </w:r>
      <w:r>
        <w:rPr>
          <w:rFonts w:hint="eastAsia" w:cs="Times New Roman"/>
          <w:color w:val="000000"/>
          <w:sz w:val="24"/>
          <w:szCs w:val="24"/>
          <w:lang w:val="en-US" w:eastAsia="zh-CN"/>
        </w:rPr>
        <w:t>0.0685</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、裸岩石砾地</w:t>
      </w:r>
      <w:r>
        <w:rPr>
          <w:rFonts w:hint="eastAsia" w:cs="Times New Roman"/>
          <w:color w:val="000000"/>
          <w:sz w:val="24"/>
          <w:szCs w:val="24"/>
          <w:lang w:val="en-US" w:eastAsia="zh-CN"/>
        </w:rPr>
        <w:t>1.8683</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w:t>
      </w:r>
      <w:r>
        <w:rPr>
          <w:rFonts w:hint="eastAsia" w:ascii="Times New Roman" w:hAnsi="Times New Roman" w:eastAsia="仿宋_GB2312" w:cs="Times New Roman"/>
          <w:color w:val="000000"/>
          <w:kern w:val="0"/>
          <w:sz w:val="24"/>
          <w:szCs w:val="28"/>
        </w:rPr>
        <w:t>拟复垦</w:t>
      </w:r>
      <w:r>
        <w:rPr>
          <w:rFonts w:hint="eastAsia" w:ascii="Times New Roman" w:hAnsi="Times New Roman" w:eastAsia="仿宋_GB2312" w:cs="Times New Roman"/>
          <w:color w:val="000000"/>
          <w:kern w:val="0"/>
          <w:sz w:val="24"/>
          <w:szCs w:val="28"/>
          <w:lang w:val="en-US" w:eastAsia="zh-CN"/>
        </w:rPr>
        <w:t>土</w:t>
      </w:r>
      <w:r>
        <w:rPr>
          <w:rFonts w:hint="eastAsia" w:ascii="Times New Roman" w:hAnsi="Times New Roman" w:eastAsia="仿宋_GB2312" w:cs="Times New Roman"/>
          <w:color w:val="000000"/>
          <w:kern w:val="0"/>
          <w:sz w:val="24"/>
          <w:szCs w:val="28"/>
          <w:lang w:eastAsia="zh-CN"/>
        </w:rPr>
        <w:t>地</w:t>
      </w:r>
      <w:r>
        <w:rPr>
          <w:rFonts w:hint="eastAsia" w:ascii="Times New Roman" w:hAnsi="Times New Roman" w:eastAsia="仿宋_GB2312" w:cs="Times New Roman"/>
          <w:color w:val="000000"/>
          <w:kern w:val="0"/>
          <w:sz w:val="24"/>
          <w:szCs w:val="28"/>
        </w:rPr>
        <w:t>面积</w:t>
      </w:r>
      <w:r>
        <w:rPr>
          <w:rFonts w:hint="eastAsia" w:cs="Times New Roman"/>
          <w:color w:val="000000"/>
          <w:kern w:val="0"/>
          <w:sz w:val="24"/>
          <w:szCs w:val="28"/>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kern w:val="0"/>
          <w:sz w:val="24"/>
          <w:szCs w:val="28"/>
          <w:vertAlign w:val="baseline"/>
          <w:lang w:eastAsia="zh-CN"/>
        </w:rPr>
        <w:t>，</w:t>
      </w:r>
      <w:r>
        <w:rPr>
          <w:rFonts w:hint="eastAsia" w:ascii="Times New Roman" w:hAnsi="Times New Roman" w:eastAsia="仿宋_GB2312" w:cs="Times New Roman"/>
          <w:color w:val="000000"/>
          <w:kern w:val="0"/>
          <w:sz w:val="24"/>
          <w:szCs w:val="28"/>
        </w:rPr>
        <w:t>实际复垦土地面积</w:t>
      </w:r>
      <w:r>
        <w:rPr>
          <w:rFonts w:hint="eastAsia" w:cs="Times New Roman"/>
          <w:color w:val="000000"/>
          <w:kern w:val="0"/>
          <w:sz w:val="24"/>
          <w:szCs w:val="28"/>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kern w:val="0"/>
          <w:sz w:val="24"/>
          <w:szCs w:val="28"/>
        </w:rPr>
        <w:t>，土地复垦率为100%。本项目复垦前后土地利用结构调整见下表所示</w:t>
      </w:r>
      <w:r>
        <w:rPr>
          <w:rFonts w:ascii="Times New Roman" w:hAnsi="Times New Roman" w:eastAsia="仿宋_GB2312" w:cs="Times New Roman"/>
          <w:color w:val="000000"/>
          <w:kern w:val="0"/>
          <w:sz w:val="24"/>
          <w:szCs w:val="28"/>
        </w:rPr>
        <w:t>。</w:t>
      </w:r>
    </w:p>
    <w:p w14:paraId="1BEAD993">
      <w:pPr>
        <w:adjustRightInd w:val="0"/>
        <w:snapToGrid w:val="0"/>
        <w:spacing w:line="360" w:lineRule="auto"/>
        <w:ind w:firstLine="480" w:firstLineChars="200"/>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本项目复垦前后土地利用结构调整见下表所示。</w:t>
      </w:r>
    </w:p>
    <w:p w14:paraId="0434414A">
      <w:pPr>
        <w:widowControl/>
        <w:ind w:firstLine="480" w:firstLineChars="200"/>
        <w:jc w:val="right"/>
        <w:rPr>
          <w:rFonts w:ascii="Times New Roman" w:hAnsi="Times New Roman" w:eastAsia="黑体" w:cs="Times New Roman"/>
          <w:color w:val="000000"/>
          <w:kern w:val="0"/>
          <w:szCs w:val="24"/>
        </w:rPr>
      </w:pPr>
      <w:r>
        <w:rPr>
          <w:rFonts w:hint="eastAsia" w:ascii="Times New Roman" w:hAnsi="Times New Roman" w:eastAsia="黑体" w:cs="Times New Roman"/>
          <w:color w:val="000000"/>
          <w:kern w:val="0"/>
          <w:szCs w:val="24"/>
        </w:rPr>
        <w:t>表</w:t>
      </w:r>
      <w:r>
        <w:rPr>
          <w:rFonts w:ascii="Times New Roman" w:hAnsi="Times New Roman" w:eastAsia="黑体" w:cs="Times New Roman"/>
          <w:color w:val="000000"/>
          <w:kern w:val="0"/>
          <w:szCs w:val="24"/>
        </w:rPr>
        <w:t>4.6-1复垦前后土地利用结构调整</w:t>
      </w:r>
      <w:r>
        <w:rPr>
          <w:rFonts w:hint="eastAsia" w:ascii="Times New Roman" w:hAnsi="Times New Roman" w:eastAsia="黑体" w:cs="Times New Roman"/>
          <w:color w:val="000000"/>
          <w:kern w:val="0"/>
          <w:szCs w:val="24"/>
        </w:rPr>
        <w:t xml:space="preserve">表      </w:t>
      </w:r>
      <w:r>
        <w:rPr>
          <w:rFonts w:hint="eastAsia" w:ascii="Times New Roman" w:hAnsi="Times New Roman" w:eastAsia="黑体" w:cs="Times New Roman"/>
          <w:color w:val="000000"/>
          <w:kern w:val="0"/>
          <w:szCs w:val="24"/>
          <w:lang w:val="en-US" w:eastAsia="zh-CN"/>
        </w:rPr>
        <w:t xml:space="preserve">      </w:t>
      </w:r>
      <w:r>
        <w:rPr>
          <w:rFonts w:hint="eastAsia" w:ascii="Times New Roman" w:hAnsi="Times New Roman" w:eastAsia="黑体" w:cs="Times New Roman"/>
          <w:color w:val="000000"/>
          <w:kern w:val="0"/>
          <w:szCs w:val="24"/>
        </w:rPr>
        <w:t xml:space="preserve"> 单位：</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bookmarkEnd w:id="105"/>
    <w:bookmarkEnd w:id="106"/>
    <w:bookmarkEnd w:id="107"/>
    <w:bookmarkEnd w:id="108"/>
    <w:bookmarkEnd w:id="109"/>
    <w:bookmarkEnd w:id="110"/>
    <w:bookmarkEnd w:id="111"/>
    <w:bookmarkEnd w:id="112"/>
    <w:bookmarkEnd w:id="113"/>
    <w:tbl>
      <w:tblPr>
        <w:tblStyle w:val="8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74"/>
        <w:gridCol w:w="2276"/>
        <w:gridCol w:w="1643"/>
        <w:gridCol w:w="1500"/>
        <w:gridCol w:w="1186"/>
      </w:tblGrid>
      <w:tr w14:paraId="1C987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14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F0E7">
            <w:pPr>
              <w:pStyle w:val="100"/>
              <w:bidi w:val="0"/>
            </w:pPr>
            <w:r>
              <w:rPr>
                <w:rFonts w:hint="default"/>
                <w:lang w:val="en-US" w:eastAsia="zh-CN"/>
              </w:rPr>
              <w:t>一级类（编码）</w:t>
            </w:r>
          </w:p>
        </w:tc>
        <w:tc>
          <w:tcPr>
            <w:tcW w:w="12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BC6F">
            <w:pPr>
              <w:pStyle w:val="100"/>
              <w:bidi w:val="0"/>
              <w:rPr>
                <w:rFonts w:hint="default"/>
              </w:rPr>
            </w:pPr>
            <w:r>
              <w:rPr>
                <w:rFonts w:hint="default"/>
                <w:lang w:val="en-US" w:eastAsia="zh-CN"/>
              </w:rPr>
              <w:t>二级类（编码）</w:t>
            </w:r>
          </w:p>
        </w:tc>
        <w:tc>
          <w:tcPr>
            <w:tcW w:w="16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953B">
            <w:pPr>
              <w:pStyle w:val="100"/>
              <w:bidi w:val="0"/>
              <w:rPr>
                <w:rFonts w:hint="default"/>
              </w:rPr>
            </w:pPr>
            <w:r>
              <w:rPr>
                <w:rFonts w:hint="default"/>
                <w:lang w:val="en-US" w:eastAsia="zh-CN"/>
              </w:rPr>
              <w:t>地类</w:t>
            </w:r>
          </w:p>
        </w:tc>
        <w:tc>
          <w:tcPr>
            <w:tcW w:w="6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103BC">
            <w:pPr>
              <w:pStyle w:val="100"/>
              <w:bidi w:val="0"/>
              <w:rPr>
                <w:rFonts w:hint="default"/>
              </w:rPr>
            </w:pPr>
            <w:r>
              <w:rPr>
                <w:rFonts w:hint="default"/>
                <w:lang w:val="en-US" w:eastAsia="zh-CN"/>
              </w:rPr>
              <w:t>变化幅度（</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default"/>
                <w:lang w:val="en-US" w:eastAsia="zh-CN"/>
              </w:rPr>
              <w:t>）</w:t>
            </w:r>
          </w:p>
        </w:tc>
      </w:tr>
      <w:tr w14:paraId="3249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2E23">
            <w:pPr>
              <w:pStyle w:val="100"/>
              <w:bidi w:val="0"/>
              <w:rPr>
                <w:rFonts w:hint="default"/>
              </w:rPr>
            </w:pP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E199">
            <w:pPr>
              <w:pStyle w:val="100"/>
              <w:bidi w:val="0"/>
              <w:rPr>
                <w:rFonts w:hint="default"/>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CF863">
            <w:pPr>
              <w:pStyle w:val="100"/>
              <w:bidi w:val="0"/>
              <w:rPr>
                <w:rFonts w:hint="default"/>
              </w:rPr>
            </w:pPr>
            <w:r>
              <w:rPr>
                <w:rFonts w:hint="default"/>
                <w:lang w:val="en-US" w:eastAsia="zh-CN"/>
              </w:rPr>
              <w:t>复垦前</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3E065">
            <w:pPr>
              <w:pStyle w:val="100"/>
              <w:bidi w:val="0"/>
              <w:rPr>
                <w:rFonts w:hint="default"/>
              </w:rPr>
            </w:pPr>
            <w:r>
              <w:rPr>
                <w:rFonts w:hint="default"/>
                <w:lang w:val="en-US" w:eastAsia="zh-CN"/>
              </w:rPr>
              <w:t>复垦后</w:t>
            </w:r>
          </w:p>
        </w:tc>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AD1A">
            <w:pPr>
              <w:pStyle w:val="100"/>
              <w:bidi w:val="0"/>
              <w:rPr>
                <w:rFonts w:hint="default"/>
              </w:rPr>
            </w:pPr>
          </w:p>
        </w:tc>
      </w:tr>
      <w:tr w14:paraId="39F0C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AD03">
            <w:pPr>
              <w:pStyle w:val="100"/>
              <w:bidi w:val="0"/>
              <w:rPr>
                <w:rFonts w:hint="default"/>
              </w:rPr>
            </w:pPr>
          </w:p>
        </w:tc>
        <w:tc>
          <w:tcPr>
            <w:tcW w:w="12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6160">
            <w:pPr>
              <w:pStyle w:val="100"/>
              <w:bidi w:val="0"/>
              <w:rPr>
                <w:rFonts w:hint="default"/>
              </w:rPr>
            </w:pP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D58E5">
            <w:pPr>
              <w:pStyle w:val="100"/>
              <w:bidi w:val="0"/>
              <w:rPr>
                <w:rFonts w:hint="default"/>
              </w:rPr>
            </w:pPr>
            <w:r>
              <w:rPr>
                <w:rFonts w:hint="default"/>
                <w:lang w:val="en-US" w:eastAsia="zh-CN"/>
              </w:rPr>
              <w:t>（损毁面积）</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78E62">
            <w:pPr>
              <w:pStyle w:val="100"/>
              <w:bidi w:val="0"/>
              <w:rPr>
                <w:rFonts w:hint="default"/>
              </w:rPr>
            </w:pPr>
            <w:r>
              <w:rPr>
                <w:rFonts w:hint="default"/>
                <w:lang w:val="en-US" w:eastAsia="zh-CN"/>
              </w:rPr>
              <w:t>（复垦面积）</w:t>
            </w:r>
          </w:p>
        </w:tc>
        <w:tc>
          <w:tcPr>
            <w:tcW w:w="6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8BE96">
            <w:pPr>
              <w:pStyle w:val="100"/>
              <w:bidi w:val="0"/>
              <w:rPr>
                <w:rFonts w:hint="default"/>
              </w:rPr>
            </w:pPr>
          </w:p>
        </w:tc>
      </w:tr>
      <w:tr w14:paraId="2664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228F3">
            <w:pPr>
              <w:pStyle w:val="100"/>
              <w:bidi w:val="0"/>
              <w:rPr>
                <w:rFonts w:hint="default"/>
              </w:rPr>
            </w:pPr>
            <w:r>
              <w:rPr>
                <w:lang w:val="en-US" w:eastAsia="zh-CN"/>
              </w:rPr>
              <w:t>工矿仓储用地（</w:t>
            </w:r>
            <w:r>
              <w:rPr>
                <w:rFonts w:hint="default"/>
                <w:lang w:val="en-US" w:eastAsia="zh-CN"/>
              </w:rPr>
              <w:t>06</w:t>
            </w:r>
            <w:r>
              <w:rPr>
                <w:lang w:val="en-US" w:eastAsia="zh-CN"/>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9DE7">
            <w:pPr>
              <w:pStyle w:val="100"/>
              <w:bidi w:val="0"/>
              <w:rPr>
                <w:rFonts w:hint="default"/>
              </w:rPr>
            </w:pPr>
            <w:r>
              <w:rPr>
                <w:lang w:val="en-US" w:eastAsia="zh-CN"/>
              </w:rPr>
              <w:t>工业用地（</w:t>
            </w:r>
            <w:r>
              <w:rPr>
                <w:rFonts w:hint="default"/>
                <w:lang w:val="en-US" w:eastAsia="zh-CN"/>
              </w:rPr>
              <w:t>0601</w:t>
            </w:r>
            <w:r>
              <w:rPr>
                <w:lang w:val="en-US" w:eastAsia="zh-CN"/>
              </w:rPr>
              <w:t>）</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A008">
            <w:pPr>
              <w:pStyle w:val="100"/>
              <w:bidi w:val="0"/>
              <w:rPr>
                <w:rFonts w:hint="default"/>
              </w:rPr>
            </w:pPr>
            <w:r>
              <w:rPr>
                <w:rFonts w:hint="eastAsia"/>
                <w:lang w:val="en-US" w:eastAsia="zh-CN"/>
              </w:rPr>
              <w:t>0.0280</w:t>
            </w: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569B">
            <w:pPr>
              <w:pStyle w:val="100"/>
              <w:bidi w:val="0"/>
              <w:ind w:firstLine="0" w:firstLineChars="0"/>
              <w:rPr>
                <w:rFonts w:hint="default"/>
              </w:rPr>
            </w:pPr>
            <w:r>
              <w:rPr>
                <w:rFonts w:hint="eastAsia"/>
                <w:lang w:val="en-US" w:eastAsia="zh-CN"/>
              </w:rPr>
              <w:t>0.0280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C246">
            <w:pPr>
              <w:pStyle w:val="100"/>
              <w:bidi w:val="0"/>
              <w:rPr>
                <w:rFonts w:hint="default"/>
              </w:rPr>
            </w:pPr>
            <w:r>
              <w:rPr>
                <w:rFonts w:hint="default"/>
                <w:lang w:val="en-US" w:eastAsia="zh-CN"/>
              </w:rPr>
              <w:t>0</w:t>
            </w:r>
          </w:p>
        </w:tc>
      </w:tr>
      <w:tr w14:paraId="6D652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844A">
            <w:pPr>
              <w:pStyle w:val="100"/>
              <w:bidi w:val="0"/>
              <w:rPr>
                <w:rFonts w:hint="default"/>
                <w:lang w:val="en-US" w:eastAsia="zh-CN"/>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DD03">
            <w:pPr>
              <w:pStyle w:val="100"/>
              <w:bidi w:val="0"/>
              <w:rPr>
                <w:rFonts w:hint="default"/>
                <w:lang w:val="en-US" w:eastAsia="zh-CN"/>
              </w:rPr>
            </w:pPr>
            <w:r>
              <w:rPr>
                <w:lang w:val="en-US" w:eastAsia="zh-CN"/>
              </w:rPr>
              <w:t>采矿用地（</w:t>
            </w:r>
            <w:r>
              <w:rPr>
                <w:rFonts w:hint="default"/>
                <w:lang w:val="en-US" w:eastAsia="zh-CN"/>
              </w:rPr>
              <w:t>0602</w:t>
            </w:r>
            <w:r>
              <w:rPr>
                <w:lang w:val="en-US" w:eastAsia="zh-CN"/>
              </w:rPr>
              <w:t>）</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A2A7">
            <w:pPr>
              <w:pStyle w:val="100"/>
              <w:bidi w:val="0"/>
              <w:rPr>
                <w:rFonts w:hint="default"/>
                <w:lang w:val="en-US" w:eastAsia="zh-CN"/>
              </w:rPr>
            </w:pPr>
            <w:r>
              <w:rPr>
                <w:rFonts w:hint="eastAsia"/>
                <w:lang w:val="en-US" w:eastAsia="zh-CN"/>
              </w:rPr>
              <w:t>0.0685</w:t>
            </w: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59E5">
            <w:pPr>
              <w:pStyle w:val="100"/>
              <w:bidi w:val="0"/>
              <w:ind w:firstLine="0" w:firstLineChars="0"/>
              <w:rPr>
                <w:rFonts w:hint="default"/>
                <w:lang w:val="en-US" w:eastAsia="zh-CN"/>
              </w:rPr>
            </w:pPr>
            <w:r>
              <w:rPr>
                <w:rFonts w:hint="eastAsia"/>
                <w:lang w:val="en-US" w:eastAsia="zh-CN"/>
              </w:rPr>
              <w:t>0.0685</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E35F">
            <w:pPr>
              <w:pStyle w:val="100"/>
              <w:bidi w:val="0"/>
              <w:rPr>
                <w:rFonts w:hint="default"/>
                <w:lang w:val="en-US" w:eastAsia="zh-CN"/>
              </w:rPr>
            </w:pPr>
            <w:r>
              <w:rPr>
                <w:rFonts w:hint="eastAsia"/>
                <w:lang w:val="en-US" w:eastAsia="zh-CN"/>
              </w:rPr>
              <w:t>0</w:t>
            </w:r>
          </w:p>
        </w:tc>
      </w:tr>
      <w:tr w14:paraId="7B596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FC31C">
            <w:pPr>
              <w:pStyle w:val="100"/>
              <w:bidi w:val="0"/>
              <w:rPr>
                <w:rFonts w:hint="default"/>
              </w:rPr>
            </w:pPr>
            <w:r>
              <w:rPr>
                <w:lang w:val="en-US" w:eastAsia="zh-CN"/>
              </w:rPr>
              <w:t>其他土地（</w:t>
            </w:r>
            <w:r>
              <w:rPr>
                <w:rFonts w:hint="default"/>
                <w:lang w:val="en-US" w:eastAsia="zh-CN"/>
              </w:rPr>
              <w:t>12</w:t>
            </w:r>
            <w:r>
              <w:rPr>
                <w:lang w:val="en-US" w:eastAsia="zh-CN"/>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7D6A">
            <w:pPr>
              <w:pStyle w:val="100"/>
              <w:bidi w:val="0"/>
              <w:rPr>
                <w:rFonts w:hint="default"/>
              </w:rPr>
            </w:pPr>
            <w:r>
              <w:rPr>
                <w:lang w:val="en-US" w:eastAsia="zh-CN"/>
              </w:rPr>
              <w:t>裸岩石砾地（</w:t>
            </w:r>
            <w:r>
              <w:rPr>
                <w:rFonts w:hint="default"/>
                <w:lang w:val="en-US" w:eastAsia="zh-CN"/>
              </w:rPr>
              <w:t>1207</w:t>
            </w:r>
            <w:r>
              <w:rPr>
                <w:lang w:val="en-US" w:eastAsia="zh-CN"/>
              </w:rPr>
              <w:t>）</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4DE51">
            <w:pPr>
              <w:pStyle w:val="100"/>
              <w:bidi w:val="0"/>
              <w:rPr>
                <w:rFonts w:hint="default"/>
              </w:rPr>
            </w:pPr>
            <w:r>
              <w:rPr>
                <w:rFonts w:hint="eastAsia"/>
                <w:lang w:val="en-US" w:eastAsia="zh-CN"/>
              </w:rPr>
              <w:t>1.8683</w:t>
            </w: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428A">
            <w:pPr>
              <w:pStyle w:val="100"/>
              <w:bidi w:val="0"/>
              <w:ind w:firstLine="0" w:firstLineChars="0"/>
              <w:rPr>
                <w:rFonts w:hint="default"/>
              </w:rPr>
            </w:pPr>
            <w:r>
              <w:rPr>
                <w:rFonts w:hint="eastAsia"/>
                <w:lang w:val="en-US" w:eastAsia="zh-CN"/>
              </w:rPr>
              <w:t>1.8683</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9147">
            <w:pPr>
              <w:pStyle w:val="100"/>
              <w:bidi w:val="0"/>
              <w:rPr>
                <w:rFonts w:hint="default"/>
              </w:rPr>
            </w:pPr>
            <w:r>
              <w:rPr>
                <w:rFonts w:hint="default"/>
                <w:lang w:val="en-US" w:eastAsia="zh-CN"/>
              </w:rPr>
              <w:t>0</w:t>
            </w:r>
          </w:p>
        </w:tc>
      </w:tr>
      <w:tr w14:paraId="66B26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66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F737">
            <w:pPr>
              <w:pStyle w:val="100"/>
              <w:bidi w:val="0"/>
              <w:rPr>
                <w:rFonts w:hint="default"/>
              </w:rPr>
            </w:pPr>
            <w:r>
              <w:rPr>
                <w:rFonts w:hint="default"/>
                <w:lang w:val="en-US" w:eastAsia="zh-CN"/>
              </w:rPr>
              <w:t>合计</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B560">
            <w:pPr>
              <w:pStyle w:val="100"/>
              <w:bidi w:val="0"/>
              <w:rPr>
                <w:rFonts w:hint="default"/>
              </w:rPr>
            </w:pPr>
            <w:r>
              <w:rPr>
                <w:rFonts w:hint="eastAsia"/>
                <w:lang w:val="en-US" w:eastAsia="zh-CN"/>
              </w:rPr>
              <w:t>1.9648</w:t>
            </w: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D00A">
            <w:pPr>
              <w:pStyle w:val="100"/>
              <w:bidi w:val="0"/>
              <w:ind w:firstLine="0" w:firstLineChars="0"/>
              <w:rPr>
                <w:rFonts w:hint="default"/>
              </w:rPr>
            </w:pPr>
            <w:r>
              <w:rPr>
                <w:rFonts w:hint="eastAsia"/>
                <w:lang w:val="en-US" w:eastAsia="zh-CN"/>
              </w:rPr>
              <w:t>1.9648</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1FD7">
            <w:pPr>
              <w:pStyle w:val="100"/>
              <w:bidi w:val="0"/>
              <w:rPr>
                <w:rFonts w:hint="default"/>
              </w:rPr>
            </w:pPr>
            <w:r>
              <w:rPr>
                <w:rFonts w:hint="default"/>
                <w:lang w:val="en-US" w:eastAsia="zh-CN"/>
              </w:rPr>
              <w:t>0</w:t>
            </w:r>
          </w:p>
        </w:tc>
      </w:tr>
    </w:tbl>
    <w:p w14:paraId="0327D012">
      <w:pPr>
        <w:adjustRightInd w:val="0"/>
        <w:snapToGrid w:val="0"/>
        <w:spacing w:line="360" w:lineRule="auto"/>
        <w:ind w:firstLine="480" w:firstLineChars="200"/>
        <w:rPr>
          <w:rFonts w:ascii="Times New Roman" w:hAnsi="Times New Roman" w:eastAsia="仿宋_GB2312" w:cs="Times New Roman"/>
          <w:color w:val="000000"/>
          <w:sz w:val="24"/>
          <w:szCs w:val="24"/>
        </w:rPr>
        <w:sectPr>
          <w:pgSz w:w="11906" w:h="16838"/>
          <w:pgMar w:top="1701" w:right="1418" w:bottom="1418" w:left="1418" w:header="851" w:footer="992" w:gutter="0"/>
          <w:pgNumType w:fmt="decimal"/>
          <w:cols w:space="720" w:num="1"/>
          <w:docGrid w:linePitch="312" w:charSpace="0"/>
        </w:sectPr>
      </w:pPr>
    </w:p>
    <w:bookmarkEnd w:id="102"/>
    <w:p w14:paraId="36097799">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sz w:val="32"/>
          <w:szCs w:val="32"/>
        </w:rPr>
      </w:pPr>
      <w:bookmarkStart w:id="114" w:name="_Toc384129338"/>
      <w:bookmarkStart w:id="115" w:name="_Toc22313"/>
      <w:bookmarkStart w:id="116" w:name="_Toc402958202"/>
      <w:bookmarkStart w:id="117" w:name="_Toc17211"/>
      <w:r>
        <w:rPr>
          <w:rFonts w:ascii="Times New Roman" w:hAnsi="Times New Roman" w:eastAsia="黑体" w:cs="Times New Roman"/>
          <w:sz w:val="32"/>
          <w:szCs w:val="32"/>
        </w:rPr>
        <w:t>5 土地复垦质量要求与复垦措施</w:t>
      </w:r>
      <w:bookmarkEnd w:id="114"/>
      <w:bookmarkEnd w:id="115"/>
      <w:bookmarkEnd w:id="116"/>
      <w:bookmarkEnd w:id="117"/>
    </w:p>
    <w:p w14:paraId="5424C421">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118" w:name="_Toc4680"/>
      <w:bookmarkStart w:id="119" w:name="_Toc9713"/>
      <w:bookmarkStart w:id="120" w:name="_Toc402958203"/>
      <w:bookmarkStart w:id="121" w:name="_Toc384129339"/>
      <w:r>
        <w:rPr>
          <w:rFonts w:ascii="Times New Roman" w:hAnsi="Times New Roman" w:eastAsia="黑体" w:cs="Times New Roman"/>
          <w:bCs/>
          <w:color w:val="000000"/>
          <w:kern w:val="0"/>
          <w:sz w:val="30"/>
          <w:szCs w:val="30"/>
        </w:rPr>
        <w:t>5.1 土地复垦质量要求</w:t>
      </w:r>
      <w:bookmarkEnd w:id="118"/>
      <w:bookmarkEnd w:id="119"/>
      <w:bookmarkEnd w:id="120"/>
      <w:bookmarkEnd w:id="121"/>
    </w:p>
    <w:p w14:paraId="5D710C03">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22" w:name="_Toc384127050"/>
      <w:r>
        <w:rPr>
          <w:rFonts w:ascii="Times New Roman" w:hAnsi="Times New Roman" w:eastAsia="黑体" w:cs="Times New Roman"/>
          <w:bCs/>
          <w:color w:val="000000"/>
          <w:sz w:val="28"/>
          <w:szCs w:val="28"/>
        </w:rPr>
        <w:t>5.1.1 土地复垦质量要求制定依据</w:t>
      </w:r>
      <w:bookmarkEnd w:id="122"/>
    </w:p>
    <w:p w14:paraId="681ACBDE">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a）国家及行业的技术标准 </w:t>
      </w:r>
    </w:p>
    <w:p w14:paraId="58F875B5">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1）《土地利用现状分类》（GB/T21010-20</w:t>
      </w: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 xml:space="preserve">7）； </w:t>
      </w:r>
    </w:p>
    <w:p w14:paraId="4570B69C">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2）《土地复垦条例》（2011年）； </w:t>
      </w:r>
    </w:p>
    <w:p w14:paraId="6F47B736">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3）《土地复垦质量控制标准》（TD/T 1036-2013）；</w:t>
      </w:r>
    </w:p>
    <w:p w14:paraId="4E4D8598">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b）项目区土地利用水平 </w:t>
      </w:r>
    </w:p>
    <w:p w14:paraId="1FFB42D8">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项目自身生态环境特征，遵循因地制宜的原则，复垦方向与原（或周边）土地利用类型尽可能保持一致，采取合适的预防控制和工程措施，使损毁的土地恢复到原生产条件和生产水平，制定的复垦标准原则上不能低于原（或周边）土地利用类型的土壤质量和生产水平。</w:t>
      </w:r>
    </w:p>
    <w:p w14:paraId="2EF9542D">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c）土地复垦适宜性分析的结果 </w:t>
      </w:r>
    </w:p>
    <w:p w14:paraId="04075FA5">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根据国家及行业标准、项目区自然和社会经济条件，结合土地复垦适宜性分析结果，针对不同复垦方向分别制定相应的复垦标准，选择相适宜的复垦措施。</w:t>
      </w:r>
    </w:p>
    <w:p w14:paraId="73CD8CCD">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d）项目所在地相关权利人的调查意见 </w:t>
      </w:r>
    </w:p>
    <w:p w14:paraId="6F38DC5A">
      <w:pPr>
        <w:autoSpaceDE w:val="0"/>
        <w:autoSpaceDN w:val="0"/>
        <w:snapToGrid w:val="0"/>
        <w:spacing w:line="360" w:lineRule="auto"/>
        <w:ind w:firstLine="480" w:firstLineChars="200"/>
        <w:jc w:val="left"/>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积极调查和听取相关权利人的相关意见和建议，可以提高土地复垦标准的合理性和可行性。本方案在制定复垦标准时，积极与当地自然资源主管部门进行意见交流，深入和调查走访损毁土地的原土地使用权人，结合调查结果，合理确定复垦标准。</w:t>
      </w:r>
    </w:p>
    <w:p w14:paraId="5DAC950F">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23" w:name="_Toc384127051"/>
      <w:r>
        <w:rPr>
          <w:rFonts w:ascii="Times New Roman" w:hAnsi="Times New Roman" w:eastAsia="黑体" w:cs="Times New Roman"/>
          <w:bCs/>
          <w:color w:val="000000"/>
          <w:sz w:val="28"/>
          <w:szCs w:val="28"/>
        </w:rPr>
        <w:t xml:space="preserve">5.1.2 </w:t>
      </w:r>
      <w:bookmarkEnd w:id="123"/>
      <w:r>
        <w:rPr>
          <w:rFonts w:ascii="Times New Roman" w:hAnsi="Times New Roman" w:eastAsia="黑体" w:cs="Times New Roman"/>
          <w:bCs/>
          <w:color w:val="000000"/>
          <w:sz w:val="28"/>
          <w:szCs w:val="28"/>
        </w:rPr>
        <w:t>土地复垦质量标准</w:t>
      </w:r>
    </w:p>
    <w:p w14:paraId="601252A2">
      <w:pPr>
        <w:adjustRightInd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bookmarkStart w:id="124" w:name="_Toc384127053"/>
      <w:bookmarkStart w:id="125" w:name="_Toc15840"/>
      <w:bookmarkStart w:id="126" w:name="_Toc402958204"/>
      <w:bookmarkStart w:id="127" w:name="_Toc384129341"/>
      <w:r>
        <w:rPr>
          <w:rFonts w:ascii="Times New Roman" w:hAnsi="Times New Roman" w:eastAsia="仿宋_GB2312" w:cs="Times New Roman"/>
          <w:color w:val="000000"/>
          <w:kern w:val="0"/>
          <w:sz w:val="24"/>
          <w:szCs w:val="24"/>
        </w:rPr>
        <w:t>项目区损毁土地类型</w:t>
      </w:r>
      <w:r>
        <w:rPr>
          <w:rFonts w:hint="eastAsia" w:cs="Times New Roman"/>
          <w:color w:val="000000"/>
          <w:kern w:val="0"/>
          <w:sz w:val="24"/>
          <w:szCs w:val="24"/>
          <w:lang w:val="en-US" w:eastAsia="zh-CN"/>
        </w:rPr>
        <w:t>主要</w:t>
      </w:r>
      <w:r>
        <w:rPr>
          <w:rFonts w:ascii="Times New Roman" w:hAnsi="Times New Roman" w:eastAsia="仿宋_GB2312" w:cs="Times New Roman"/>
          <w:color w:val="000000"/>
          <w:kern w:val="0"/>
          <w:sz w:val="24"/>
          <w:szCs w:val="24"/>
        </w:rPr>
        <w:t>为</w:t>
      </w:r>
      <w:r>
        <w:rPr>
          <w:rFonts w:hint="eastAsia" w:ascii="Times New Roman" w:hAnsi="Times New Roman" w:eastAsia="仿宋_GB2312" w:cs="Times New Roman"/>
          <w:color w:val="000000"/>
          <w:kern w:val="0"/>
          <w:sz w:val="24"/>
          <w:szCs w:val="28"/>
          <w:lang w:val="en-US" w:eastAsia="zh-CN"/>
        </w:rPr>
        <w:t>裸岩石砾地</w:t>
      </w:r>
      <w:r>
        <w:rPr>
          <w:rFonts w:hint="eastAsia" w:ascii="Times New Roman" w:hAnsi="Times New Roman" w:eastAsia="仿宋_GB2312" w:cs="Times New Roman"/>
          <w:color w:val="000000"/>
          <w:kern w:val="0"/>
          <w:sz w:val="24"/>
          <w:szCs w:val="24"/>
        </w:rPr>
        <w:t>，由于</w:t>
      </w:r>
      <w:r>
        <w:rPr>
          <w:rFonts w:hint="eastAsia" w:cs="Times New Roman"/>
          <w:color w:val="000000"/>
          <w:kern w:val="0"/>
          <w:sz w:val="24"/>
          <w:szCs w:val="24"/>
          <w:lang w:eastAsia="zh-CN"/>
        </w:rPr>
        <w:t>项目</w:t>
      </w:r>
      <w:r>
        <w:rPr>
          <w:rFonts w:hint="eastAsia" w:ascii="Times New Roman" w:hAnsi="Times New Roman" w:eastAsia="仿宋_GB2312" w:cs="Times New Roman"/>
          <w:color w:val="000000"/>
          <w:kern w:val="0"/>
          <w:sz w:val="24"/>
          <w:szCs w:val="24"/>
        </w:rPr>
        <w:t>工程的特殊性，</w:t>
      </w:r>
      <w:r>
        <w:rPr>
          <w:rFonts w:ascii="Times New Roman" w:hAnsi="Times New Roman" w:eastAsia="仿宋_GB2312" w:cs="Times New Roman"/>
          <w:color w:val="000000"/>
          <w:kern w:val="0"/>
          <w:sz w:val="24"/>
          <w:szCs w:val="24"/>
        </w:rPr>
        <w:t>本方案考虑项目的自然条件因素以及其它限制因素，在制定具体复垦质量标准时以可行性为主，</w:t>
      </w:r>
    </w:p>
    <w:p w14:paraId="48524CC9">
      <w:pPr>
        <w:adjustRightInd w:val="0"/>
        <w:snapToGrid w:val="0"/>
        <w:spacing w:line="360" w:lineRule="auto"/>
        <w:ind w:firstLine="480" w:firstLineChars="200"/>
        <w:textAlignment w:val="center"/>
        <w:rPr>
          <w:rFonts w:hint="eastAsia" w:ascii="Times New Roman" w:hAnsi="Times New Roman" w:eastAsia="仿宋_GB2312" w:cs="Times New Roman"/>
          <w:bCs/>
          <w:color w:val="000000"/>
          <w:kern w:val="0"/>
          <w:sz w:val="24"/>
          <w:szCs w:val="24"/>
        </w:rPr>
      </w:pPr>
      <w:r>
        <w:rPr>
          <w:rFonts w:ascii="Times New Roman" w:hAnsi="Times New Roman" w:eastAsia="仿宋_GB2312" w:cs="Times New Roman"/>
          <w:color w:val="000000"/>
          <w:kern w:val="0"/>
          <w:sz w:val="24"/>
          <w:szCs w:val="24"/>
        </w:rPr>
        <w:t>项目拟损毁</w:t>
      </w:r>
      <w:r>
        <w:rPr>
          <w:rFonts w:ascii="Times New Roman" w:hAnsi="Times New Roman" w:eastAsia="仿宋_GB2312" w:cs="Times New Roman"/>
          <w:bCs/>
          <w:color w:val="000000"/>
          <w:kern w:val="0"/>
          <w:sz w:val="24"/>
          <w:szCs w:val="24"/>
        </w:rPr>
        <w:t>面积为</w:t>
      </w:r>
      <w:r>
        <w:rPr>
          <w:rFonts w:hint="eastAsia" w:cs="Times New Roman"/>
          <w:bCs/>
          <w:color w:val="000000"/>
          <w:kern w:val="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ascii="Times New Roman" w:hAnsi="Times New Roman" w:eastAsia="仿宋_GB2312" w:cs="Times New Roman"/>
          <w:bCs/>
          <w:color w:val="000000"/>
          <w:kern w:val="0"/>
          <w:sz w:val="24"/>
          <w:szCs w:val="24"/>
        </w:rPr>
        <w:t>，结合现场调查及项目水保、环评等资料，本次复垦标准制定时，对</w:t>
      </w:r>
      <w:r>
        <w:rPr>
          <w:rFonts w:hint="eastAsia" w:ascii="Times New Roman" w:hAnsi="Times New Roman" w:eastAsia="仿宋_GB2312" w:cs="Times New Roman"/>
          <w:bCs/>
          <w:color w:val="000000"/>
          <w:kern w:val="0"/>
          <w:sz w:val="24"/>
          <w:szCs w:val="24"/>
        </w:rPr>
        <w:t>项目用地</w:t>
      </w:r>
      <w:r>
        <w:rPr>
          <w:rFonts w:ascii="Times New Roman" w:hAnsi="Times New Roman" w:eastAsia="仿宋_GB2312" w:cs="Times New Roman"/>
          <w:bCs/>
          <w:color w:val="000000"/>
          <w:kern w:val="0"/>
          <w:sz w:val="24"/>
          <w:szCs w:val="24"/>
        </w:rPr>
        <w:t>的复垦</w:t>
      </w:r>
      <w:r>
        <w:rPr>
          <w:rFonts w:hint="eastAsia" w:ascii="Times New Roman" w:hAnsi="Times New Roman" w:eastAsia="仿宋_GB2312" w:cs="Times New Roman"/>
          <w:bCs/>
          <w:color w:val="000000"/>
          <w:kern w:val="0"/>
          <w:sz w:val="24"/>
          <w:szCs w:val="24"/>
        </w:rPr>
        <w:t>质量标准如下：</w:t>
      </w:r>
    </w:p>
    <w:bookmarkEnd w:id="124"/>
    <w:p w14:paraId="2AD76329">
      <w:pPr>
        <w:pStyle w:val="166"/>
        <w:ind w:firstLine="482"/>
        <w:jc w:val="left"/>
        <w:rPr>
          <w:rFonts w:cs="Times New Roman"/>
          <w:b w:val="0"/>
          <w:bCs w:val="0"/>
          <w:color w:val="auto"/>
        </w:rPr>
      </w:pPr>
      <w:r>
        <w:rPr>
          <w:rFonts w:hint="eastAsia" w:cs="Times New Roman"/>
          <w:b w:val="0"/>
          <w:bCs w:val="0"/>
        </w:rPr>
        <w:t>工矿用地</w:t>
      </w:r>
      <w:r>
        <w:rPr>
          <w:rFonts w:cs="Times New Roman"/>
          <w:b w:val="0"/>
          <w:bCs w:val="0"/>
        </w:rPr>
        <w:t>复垦标准</w:t>
      </w:r>
    </w:p>
    <w:p w14:paraId="51130A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center"/>
        <w:rPr>
          <w:rFonts w:hint="eastAsia" w:ascii="仿宋_GB2312" w:hAnsi="仿宋_GB2312" w:eastAsia="仿宋_GB2312" w:cs="仿宋_GB2312"/>
          <w:color w:val="000000"/>
          <w:kern w:val="0"/>
          <w:sz w:val="24"/>
          <w:szCs w:val="24"/>
          <w:lang w:val="en-US" w:eastAsia="zh-CN"/>
        </w:rPr>
      </w:pPr>
      <w:r>
        <w:rPr>
          <w:rFonts w:hint="eastAsia"/>
          <w:color w:val="auto"/>
          <w:lang w:val="en-US" w:eastAsia="zh-CN"/>
        </w:rPr>
        <w:t>为保证恢复其原有用地功能</w:t>
      </w:r>
      <w:r>
        <w:rPr>
          <w:rFonts w:hint="eastAsia" w:cs="Times New Roman"/>
          <w:color w:val="auto"/>
        </w:rPr>
        <w:t>，待</w:t>
      </w:r>
      <w:r>
        <w:rPr>
          <w:rFonts w:hint="eastAsia" w:cs="Times New Roman"/>
          <w:color w:val="auto"/>
          <w:lang w:eastAsia="zh-CN"/>
        </w:rPr>
        <w:t>项目建设结束后</w:t>
      </w:r>
      <w:r>
        <w:rPr>
          <w:rFonts w:hint="eastAsia" w:cs="Times New Roman"/>
          <w:color w:val="auto"/>
        </w:rPr>
        <w:t>进行场地基本整平，与区域自然环境和周边景观相协调一致。</w:t>
      </w:r>
    </w:p>
    <w:p w14:paraId="548BB1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val="en-US" w:eastAsia="zh-CN"/>
        </w:rPr>
        <w:t>裸岩石砾地复垦质量标准</w:t>
      </w:r>
    </w:p>
    <w:p w14:paraId="24C8D3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center"/>
        <w:rPr>
          <w:rFonts w:hint="eastAsia"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rPr>
        <w:t>1</w:t>
      </w:r>
      <w:r>
        <w:rPr>
          <w:rFonts w:hint="eastAsia" w:ascii="Times New Roman" w:hAnsi="Times New Roman" w:eastAsia="仿宋_GB2312" w:cs="Times New Roman"/>
          <w:color w:val="000000"/>
          <w:kern w:val="0"/>
          <w:sz w:val="24"/>
          <w:szCs w:val="24"/>
          <w:lang w:val="en-US" w:eastAsia="zh-CN"/>
        </w:rPr>
        <w:t>）稳定性：保证压占土地复垦后场地稳定，并且与周边地貌相适应；</w:t>
      </w:r>
    </w:p>
    <w:p w14:paraId="00EC09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center"/>
        <w:rPr>
          <w:rFonts w:hint="eastAsia"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rPr>
        <w:t>2</w:t>
      </w:r>
      <w:r>
        <w:rPr>
          <w:rFonts w:hint="eastAsia" w:ascii="Times New Roman" w:hAnsi="Times New Roman" w:eastAsia="仿宋_GB2312" w:cs="Times New Roman"/>
          <w:color w:val="000000"/>
          <w:kern w:val="0"/>
          <w:sz w:val="24"/>
          <w:szCs w:val="24"/>
          <w:lang w:val="en-US" w:eastAsia="zh-CN"/>
        </w:rPr>
        <w:t>）污染程度：场地污染物水平降低至人体可接受的污染风险范围内；</w:t>
      </w:r>
    </w:p>
    <w:p w14:paraId="54F0E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center"/>
        <w:rPr>
          <w:rFonts w:hint="eastAsia"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lang w:val="en-US" w:eastAsia="zh-CN"/>
        </w:rPr>
        <w:t>3</w:t>
      </w:r>
      <w:r>
        <w:rPr>
          <w:rFonts w:hint="eastAsia" w:ascii="Times New Roman" w:hAnsi="Times New Roman" w:eastAsia="仿宋_GB2312" w:cs="Times New Roman"/>
          <w:color w:val="000000"/>
          <w:kern w:val="0"/>
          <w:sz w:val="24"/>
          <w:szCs w:val="24"/>
          <w:lang w:val="en-US" w:eastAsia="zh-CN"/>
        </w:rPr>
        <w:t>）水土保持能力：复垦后场地不会造成新的水土流失，提高场地防涝能力</w:t>
      </w:r>
      <w:r>
        <w:rPr>
          <w:rFonts w:hint="eastAsia" w:ascii="Times New Roman" w:hAnsi="Times New Roman" w:eastAsia="仿宋_GB2312" w:cs="Times New Roman"/>
          <w:color w:val="000000"/>
          <w:sz w:val="24"/>
          <w:szCs w:val="24"/>
        </w:rPr>
        <w:t>。</w:t>
      </w:r>
    </w:p>
    <w:p w14:paraId="552BE631">
      <w:pPr>
        <w:keepNext/>
        <w:keepLines/>
        <w:spacing w:line="360" w:lineRule="auto"/>
        <w:ind w:firstLine="560" w:firstLineChars="200"/>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5.</w:t>
      </w:r>
      <w:r>
        <w:rPr>
          <w:rFonts w:hint="eastAsia" w:ascii="Times New Roman" w:hAnsi="Times New Roman" w:eastAsia="黑体" w:cs="Times New Roman"/>
          <w:bCs/>
          <w:color w:val="000000"/>
          <w:sz w:val="28"/>
          <w:szCs w:val="28"/>
          <w:lang w:val="en-US" w:eastAsia="zh-CN"/>
        </w:rPr>
        <w:t>1</w:t>
      </w:r>
      <w:r>
        <w:rPr>
          <w:rFonts w:ascii="Times New Roman" w:hAnsi="Times New Roman" w:eastAsia="黑体" w:cs="Times New Roman"/>
          <w:bCs/>
          <w:color w:val="000000"/>
          <w:sz w:val="28"/>
          <w:szCs w:val="28"/>
        </w:rPr>
        <w:t>.</w:t>
      </w:r>
      <w:r>
        <w:rPr>
          <w:rFonts w:hint="eastAsia" w:ascii="Times New Roman" w:hAnsi="Times New Roman" w:eastAsia="黑体" w:cs="Times New Roman"/>
          <w:bCs/>
          <w:color w:val="000000"/>
          <w:sz w:val="28"/>
          <w:szCs w:val="28"/>
          <w:lang w:val="en-US" w:eastAsia="zh-CN"/>
        </w:rPr>
        <w:t>3</w:t>
      </w:r>
      <w:r>
        <w:rPr>
          <w:rFonts w:ascii="Times New Roman" w:hAnsi="Times New Roman" w:eastAsia="黑体" w:cs="Times New Roman"/>
          <w:bCs/>
          <w:color w:val="000000"/>
          <w:sz w:val="28"/>
          <w:szCs w:val="28"/>
        </w:rPr>
        <w:t xml:space="preserve"> 管护措施</w:t>
      </w:r>
    </w:p>
    <w:p w14:paraId="0363AC1A">
      <w:pPr>
        <w:snapToGrid w:val="0"/>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lang w:val="en-US" w:eastAsia="zh-CN"/>
        </w:rPr>
        <w:t>本项目</w:t>
      </w:r>
      <w:r>
        <w:rPr>
          <w:rFonts w:hint="eastAsia" w:ascii="Times New Roman" w:hAnsi="Times New Roman" w:cs="Times New Roman"/>
          <w:color w:val="000000"/>
          <w:sz w:val="24"/>
          <w:szCs w:val="24"/>
          <w:lang w:val="en-US" w:eastAsia="zh-CN"/>
        </w:rPr>
        <w:t>不</w:t>
      </w:r>
      <w:r>
        <w:rPr>
          <w:rFonts w:hint="eastAsia" w:ascii="Times New Roman" w:hAnsi="Times New Roman" w:eastAsia="仿宋_GB2312" w:cs="Times New Roman"/>
          <w:color w:val="000000"/>
          <w:sz w:val="24"/>
          <w:szCs w:val="24"/>
          <w:lang w:val="en-US" w:eastAsia="zh-CN"/>
        </w:rPr>
        <w:t>涉及管护措施</w:t>
      </w:r>
      <w:r>
        <w:rPr>
          <w:rFonts w:hint="eastAsia" w:ascii="Times New Roman" w:hAnsi="Times New Roman" w:eastAsia="仿宋_GB2312" w:cs="Times New Roman"/>
          <w:color w:val="000000"/>
          <w:sz w:val="24"/>
          <w:szCs w:val="24"/>
        </w:rPr>
        <w:t>。</w:t>
      </w:r>
    </w:p>
    <w:p w14:paraId="78D28C4C">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128" w:name="_Toc26703"/>
      <w:r>
        <w:rPr>
          <w:rFonts w:ascii="Times New Roman" w:hAnsi="Times New Roman" w:eastAsia="黑体" w:cs="Times New Roman"/>
          <w:bCs/>
          <w:color w:val="000000"/>
          <w:kern w:val="0"/>
          <w:sz w:val="30"/>
          <w:szCs w:val="30"/>
        </w:rPr>
        <w:t>5.2 预防控制措施</w:t>
      </w:r>
      <w:bookmarkEnd w:id="125"/>
      <w:bookmarkEnd w:id="128"/>
    </w:p>
    <w:p w14:paraId="1CA4BAB5">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按照“统一规划、控制源头、防复结合”的原则，结合项目特点、生产方式与工艺等，针对</w:t>
      </w:r>
      <w:r>
        <w:rPr>
          <w:rFonts w:hint="eastAsia" w:ascii="Times New Roman" w:hAnsi="Times New Roman" w:eastAsia="仿宋_GB2312" w:cs="Times New Roman"/>
          <w:color w:val="000000"/>
          <w:kern w:val="0"/>
          <w:sz w:val="24"/>
          <w:szCs w:val="24"/>
          <w:lang w:eastAsia="zh-CN"/>
        </w:rPr>
        <w:t>中国石油吐哈油田三塘湖采油管理区</w:t>
      </w:r>
      <w:r>
        <w:rPr>
          <w:rFonts w:hint="eastAsia" w:cs="Times New Roman"/>
          <w:color w:val="000000"/>
          <w:kern w:val="0"/>
          <w:sz w:val="24"/>
          <w:szCs w:val="24"/>
          <w:lang w:eastAsia="zh-CN"/>
        </w:rPr>
        <w:t>马T101H井场等两口井压裂施工项目</w:t>
      </w:r>
      <w:r>
        <w:rPr>
          <w:rFonts w:hint="eastAsia" w:ascii="Times New Roman" w:hAnsi="Times New Roman" w:eastAsia="仿宋_GB2312" w:cs="Times New Roman"/>
          <w:bCs/>
          <w:color w:val="000000"/>
          <w:kern w:val="0"/>
          <w:sz w:val="24"/>
          <w:szCs w:val="24"/>
        </w:rPr>
        <w:t>施工</w:t>
      </w:r>
      <w:r>
        <w:rPr>
          <w:rFonts w:hint="eastAsia" w:ascii="Times New Roman" w:hAnsi="Times New Roman" w:eastAsia="仿宋_GB2312" w:cs="Times New Roman"/>
          <w:color w:val="000000"/>
          <w:kern w:val="0"/>
          <w:sz w:val="24"/>
          <w:szCs w:val="24"/>
        </w:rPr>
        <w:t>对土地的损毁形式，在项目建设中对</w:t>
      </w:r>
      <w:r>
        <w:rPr>
          <w:rFonts w:hint="eastAsia" w:cs="Times New Roman"/>
          <w:color w:val="000000"/>
          <w:kern w:val="0"/>
          <w:sz w:val="24"/>
          <w:szCs w:val="24"/>
          <w:lang w:eastAsia="zh-CN"/>
        </w:rPr>
        <w:t>项目</w:t>
      </w:r>
      <w:r>
        <w:rPr>
          <w:rFonts w:hint="eastAsia" w:cs="Times New Roman"/>
          <w:color w:val="000000"/>
          <w:kern w:val="0"/>
          <w:sz w:val="24"/>
          <w:szCs w:val="24"/>
          <w:lang w:val="en-US" w:eastAsia="zh-CN"/>
        </w:rPr>
        <w:t>临时</w:t>
      </w:r>
      <w:r>
        <w:rPr>
          <w:rFonts w:hint="eastAsia" w:ascii="Times New Roman" w:hAnsi="Times New Roman" w:eastAsia="仿宋_GB2312" w:cs="Times New Roman"/>
          <w:color w:val="000000"/>
          <w:kern w:val="0"/>
          <w:sz w:val="24"/>
          <w:szCs w:val="24"/>
          <w:lang w:eastAsia="zh-CN"/>
        </w:rPr>
        <w:t>用地</w:t>
      </w:r>
      <w:r>
        <w:rPr>
          <w:rFonts w:hint="eastAsia" w:ascii="Times New Roman" w:hAnsi="Times New Roman" w:eastAsia="仿宋_GB2312" w:cs="Times New Roman"/>
          <w:color w:val="000000"/>
          <w:kern w:val="0"/>
          <w:sz w:val="24"/>
          <w:szCs w:val="24"/>
        </w:rPr>
        <w:t>进行预防控制措施如下：</w:t>
      </w:r>
    </w:p>
    <w:p w14:paraId="6B0E089B">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a）要严格控制用地布设范围，从而减少用地面积；</w:t>
      </w:r>
    </w:p>
    <w:p w14:paraId="39490276">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b）板房架设尽量选取地势平坦地带，减少土方开挖，避免造成水土流失；</w:t>
      </w:r>
    </w:p>
    <w:p w14:paraId="51265864">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c）严格遵循作业技术规程，减少施工车辆人员对地表的扰动造成水土流失。</w:t>
      </w:r>
    </w:p>
    <w:bookmarkEnd w:id="126"/>
    <w:bookmarkEnd w:id="127"/>
    <w:p w14:paraId="657B480F">
      <w:pPr>
        <w:keepNext/>
        <w:keepLines/>
        <w:snapToGrid w:val="0"/>
        <w:spacing w:before="120" w:beforeLines="50" w:after="120" w:afterLines="50" w:line="500" w:lineRule="exact"/>
        <w:ind w:firstLine="600"/>
        <w:jc w:val="left"/>
        <w:outlineLvl w:val="1"/>
        <w:rPr>
          <w:rFonts w:ascii="Times New Roman" w:hAnsi="Times New Roman" w:eastAsia="黑体" w:cs="Times New Roman"/>
          <w:bCs/>
          <w:color w:val="000000"/>
          <w:kern w:val="0"/>
          <w:sz w:val="30"/>
          <w:szCs w:val="30"/>
        </w:rPr>
      </w:pPr>
      <w:bookmarkStart w:id="129" w:name="_Toc18355"/>
      <w:bookmarkStart w:id="130" w:name="_Toc30370"/>
      <w:bookmarkStart w:id="131" w:name="_Toc3201"/>
      <w:r>
        <w:rPr>
          <w:rFonts w:ascii="Times New Roman" w:hAnsi="Times New Roman" w:eastAsia="黑体" w:cs="Times New Roman"/>
          <w:bCs/>
          <w:color w:val="000000"/>
          <w:kern w:val="0"/>
          <w:sz w:val="30"/>
          <w:szCs w:val="30"/>
        </w:rPr>
        <w:t>5.3 土地复垦措施</w:t>
      </w:r>
      <w:bookmarkEnd w:id="129"/>
      <w:bookmarkEnd w:id="130"/>
      <w:bookmarkEnd w:id="131"/>
    </w:p>
    <w:p w14:paraId="09AA33E0">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32" w:name="_Toc384127059"/>
      <w:r>
        <w:rPr>
          <w:rFonts w:ascii="Times New Roman" w:hAnsi="Times New Roman" w:eastAsia="黑体" w:cs="Times New Roman"/>
          <w:bCs/>
          <w:color w:val="000000"/>
          <w:sz w:val="28"/>
          <w:szCs w:val="28"/>
        </w:rPr>
        <w:t>5.3.1 工程技术措施</w:t>
      </w:r>
      <w:bookmarkEnd w:id="132"/>
    </w:p>
    <w:p w14:paraId="48455171">
      <w:pPr>
        <w:adjustRightInd w:val="0"/>
        <w:snapToGrid w:val="0"/>
        <w:spacing w:line="360" w:lineRule="auto"/>
        <w:ind w:firstLine="480" w:firstLineChars="200"/>
        <w:rPr>
          <w:rFonts w:hint="eastAsia" w:ascii="Times New Roman" w:hAnsi="Times New Roman" w:eastAsia="仿宋_GB2312" w:cs="Times New Roman"/>
          <w:color w:val="000000"/>
          <w:kern w:val="0"/>
          <w:sz w:val="24"/>
          <w:szCs w:val="24"/>
        </w:rPr>
      </w:pPr>
      <w:bookmarkStart w:id="133" w:name="_Toc285629005"/>
      <w:r>
        <w:rPr>
          <w:rFonts w:hint="eastAsia" w:ascii="Times New Roman" w:hAnsi="Times New Roman" w:eastAsia="仿宋_GB2312" w:cs="Times New Roman"/>
          <w:color w:val="000000"/>
          <w:kern w:val="0"/>
          <w:sz w:val="24"/>
          <w:szCs w:val="24"/>
        </w:rPr>
        <w:t>工程技术措施是指工程复垦中，按照所在地区自然环境条件和复垦土地利用方向要求，对受影响的土地采取各种工程手段，恢复受损土地的生态系统。本方案根据项目所在区域的自然生态环境特征和复垦目标，结合项目井场大修施工项目等地面工程的施工建设工艺，参照周边类似复垦项目生态重建技术的工作原理、复垦工艺、适用条件等，采取适用于本项目的复垦工程技术措施，主要有：</w:t>
      </w:r>
    </w:p>
    <w:p w14:paraId="4DFD06D1">
      <w:pPr>
        <w:adjustRightInd w:val="0"/>
        <w:snapToGrid w:val="0"/>
        <w:spacing w:line="360" w:lineRule="auto"/>
        <w:ind w:firstLine="480" w:firstLineChars="200"/>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1.土地平整</w:t>
      </w:r>
    </w:p>
    <w:p w14:paraId="747629C7">
      <w:pPr>
        <w:adjustRightInd w:val="0"/>
        <w:snapToGrid w:val="0"/>
        <w:spacing w:line="360" w:lineRule="auto"/>
        <w:ind w:firstLine="48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lang w:eastAsia="zh-CN"/>
        </w:rPr>
        <w:t>以用地区域为一个平整单元，以平整单元内部土方挖填平衡为基础，对场地高低不平区域进行推平，采用74KW推土机平整土地，局部机械无法进入的边角采用人工推平，为后期表土回覆等创造条件。平均平整厚度</w:t>
      </w:r>
      <w:r>
        <w:rPr>
          <w:rFonts w:hint="eastAsia" w:ascii="Times New Roman" w:hAnsi="Times New Roman" w:eastAsia="仿宋_GB2312" w:cs="Times New Roman"/>
          <w:color w:val="000000"/>
          <w:kern w:val="0"/>
          <w:sz w:val="24"/>
          <w:szCs w:val="24"/>
          <w:lang w:val="en-US" w:eastAsia="zh-CN"/>
        </w:rPr>
        <w:t>20cm</w:t>
      </w:r>
      <w:r>
        <w:rPr>
          <w:rFonts w:hint="eastAsia" w:ascii="Times New Roman" w:hAnsi="Times New Roman" w:eastAsia="仿宋_GB2312" w:cs="Times New Roman"/>
          <w:color w:val="000000"/>
          <w:kern w:val="0"/>
          <w:sz w:val="24"/>
          <w:szCs w:val="24"/>
          <w:lang w:eastAsia="zh-CN"/>
        </w:rPr>
        <w:t>，土地平整面积为</w:t>
      </w:r>
      <w:r>
        <w:rPr>
          <w:rFonts w:hint="eastAsia" w:cs="Times New Roman"/>
          <w:color w:val="000000"/>
          <w:kern w:val="0"/>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kern w:val="0"/>
          <w:sz w:val="24"/>
          <w:szCs w:val="24"/>
          <w:lang w:eastAsia="zh-CN"/>
        </w:rPr>
        <w:t>。</w:t>
      </w:r>
    </w:p>
    <w:bookmarkEnd w:id="133"/>
    <w:p w14:paraId="547087D4">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34" w:name="_Toc384127060"/>
      <w:r>
        <w:rPr>
          <w:rFonts w:ascii="Times New Roman" w:hAnsi="Times New Roman" w:eastAsia="黑体" w:cs="Times New Roman"/>
          <w:bCs/>
          <w:color w:val="000000"/>
          <w:sz w:val="28"/>
          <w:szCs w:val="28"/>
        </w:rPr>
        <w:t>5.3.2 生物化学措施</w:t>
      </w:r>
      <w:bookmarkEnd w:id="134"/>
    </w:p>
    <w:p w14:paraId="760C213C">
      <w:pPr>
        <w:keepNext w:val="0"/>
        <w:keepLines w:val="0"/>
        <w:pageBreakBefore w:val="0"/>
        <w:widowControl w:val="0"/>
        <w:tabs>
          <w:tab w:val="left" w:pos="564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仿宋_GB2312" w:cs="Times New Roman"/>
          <w:color w:val="000000"/>
          <w:sz w:val="24"/>
          <w:szCs w:val="24"/>
          <w:lang w:eastAsia="zh-CN"/>
        </w:rPr>
      </w:pPr>
      <w:r>
        <w:rPr>
          <w:rFonts w:hint="eastAsia" w:ascii="Times New Roman" w:hAnsi="Times New Roman" w:eastAsia="仿宋_GB2312" w:cs="Times New Roman"/>
          <w:color w:val="000000"/>
          <w:sz w:val="24"/>
          <w:szCs w:val="24"/>
          <w:lang w:eastAsia="zh-CN"/>
        </w:rPr>
        <w:t>本方案不</w:t>
      </w:r>
      <w:r>
        <w:rPr>
          <w:rFonts w:hint="eastAsia" w:cs="Times New Roman"/>
          <w:color w:val="000000"/>
          <w:sz w:val="24"/>
          <w:szCs w:val="24"/>
          <w:lang w:eastAsia="zh-CN"/>
        </w:rPr>
        <w:t>涉及</w:t>
      </w:r>
      <w:r>
        <w:rPr>
          <w:rFonts w:hint="eastAsia" w:ascii="Times New Roman" w:hAnsi="Times New Roman" w:eastAsia="仿宋_GB2312" w:cs="Times New Roman"/>
          <w:color w:val="000000"/>
          <w:sz w:val="24"/>
          <w:szCs w:val="24"/>
          <w:lang w:eastAsia="zh-CN"/>
        </w:rPr>
        <w:t>植被恢复工程，因此，不涉及生物化学措施。</w:t>
      </w:r>
    </w:p>
    <w:p w14:paraId="3D1180A6">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35" w:name="_Toc384127061"/>
      <w:r>
        <w:rPr>
          <w:rFonts w:ascii="Times New Roman" w:hAnsi="Times New Roman" w:eastAsia="黑体" w:cs="Times New Roman"/>
          <w:bCs/>
          <w:color w:val="000000"/>
          <w:sz w:val="28"/>
          <w:szCs w:val="28"/>
        </w:rPr>
        <w:t>5.3.3 监测措施</w:t>
      </w:r>
      <w:bookmarkEnd w:id="135"/>
    </w:p>
    <w:p w14:paraId="5879A5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开展土地复垦监测，及时掌握土地损毁情况，是保证复垦效果的重要手段。土地复垦监测工程包括土地损毁监测和复垦效果监测，</w:t>
      </w:r>
      <w:r>
        <w:rPr>
          <w:rFonts w:hint="eastAsia" w:ascii="Times New Roman" w:hAnsi="Times New Roman" w:eastAsia="仿宋_GB2312" w:cs="Times New Roman"/>
          <w:color w:val="000000"/>
          <w:sz w:val="24"/>
          <w:szCs w:val="24"/>
          <w:lang w:val="en-US" w:eastAsia="zh-CN"/>
        </w:rPr>
        <w:t>由于本项目损毁土地只涉及</w:t>
      </w:r>
      <w:r>
        <w:rPr>
          <w:rFonts w:hint="eastAsia" w:cs="Times New Roman"/>
          <w:color w:val="000000"/>
          <w:sz w:val="24"/>
          <w:szCs w:val="24"/>
          <w:lang w:val="en-US" w:eastAsia="zh-CN"/>
        </w:rPr>
        <w:t>工业用地、采矿用地及裸岩石砾地</w:t>
      </w:r>
      <w:r>
        <w:rPr>
          <w:rFonts w:hint="eastAsia" w:ascii="Times New Roman" w:hAnsi="Times New Roman" w:eastAsia="仿宋_GB2312" w:cs="Times New Roman"/>
          <w:color w:val="000000"/>
          <w:sz w:val="24"/>
          <w:szCs w:val="24"/>
          <w:lang w:val="en-US" w:eastAsia="zh-CN"/>
        </w:rPr>
        <w:t>，所以只需采取</w:t>
      </w:r>
      <w:r>
        <w:rPr>
          <w:rFonts w:hint="eastAsia" w:ascii="Times New Roman" w:hAnsi="Times New Roman" w:eastAsia="仿宋_GB2312" w:cs="Times New Roman"/>
          <w:color w:val="000000"/>
          <w:sz w:val="24"/>
          <w:szCs w:val="24"/>
        </w:rPr>
        <w:t>土地损毁监测</w:t>
      </w:r>
      <w:r>
        <w:rPr>
          <w:rFonts w:hint="eastAsia" w:ascii="Times New Roman" w:hAnsi="Times New Roman" w:eastAsia="仿宋_GB2312" w:cs="Times New Roman"/>
          <w:color w:val="000000"/>
          <w:sz w:val="24"/>
          <w:szCs w:val="24"/>
          <w:lang w:eastAsia="zh-CN"/>
        </w:rPr>
        <w:t>，</w:t>
      </w:r>
      <w:r>
        <w:rPr>
          <w:rFonts w:hint="eastAsia" w:ascii="Times New Roman" w:hAnsi="Times New Roman" w:eastAsia="仿宋_GB2312" w:cs="Times New Roman"/>
          <w:color w:val="000000"/>
          <w:sz w:val="24"/>
          <w:szCs w:val="24"/>
        </w:rPr>
        <w:t>土地损毁监测主要内容为项目临时设施的土地损毁范围、损毁土地面积、损毁土地程度、损毁土地类型等情况。</w:t>
      </w:r>
    </w:p>
    <w:p w14:paraId="06BE1C90">
      <w:pP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br w:type="page"/>
      </w:r>
    </w:p>
    <w:p w14:paraId="03D80FDE">
      <w:pPr>
        <w:pStyle w:val="34"/>
      </w:pPr>
    </w:p>
    <w:p w14:paraId="4EBC0A32">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136" w:name="_Toc23044"/>
      <w:bookmarkStart w:id="137" w:name="_Toc19620"/>
      <w:bookmarkStart w:id="138" w:name="_Toc402958205"/>
      <w:bookmarkStart w:id="139" w:name="_Toc384129342"/>
      <w:bookmarkStart w:id="140" w:name="_Toc260918500"/>
      <w:bookmarkStart w:id="141" w:name="_Toc272330988"/>
      <w:bookmarkStart w:id="142" w:name="_Toc247964573"/>
      <w:bookmarkStart w:id="143" w:name="_Toc384127073"/>
      <w:bookmarkStart w:id="144" w:name="_Toc247623521"/>
      <w:bookmarkStart w:id="145" w:name="_Toc234999494"/>
      <w:bookmarkStart w:id="146" w:name="_Toc242845578"/>
      <w:bookmarkStart w:id="147" w:name="_Toc172786439"/>
      <w:bookmarkStart w:id="148" w:name="_Toc205788751"/>
      <w:bookmarkStart w:id="149" w:name="_Toc272330981"/>
      <w:bookmarkStart w:id="150" w:name="_Toc323225497"/>
      <w:bookmarkStart w:id="151" w:name="_Toc260918493"/>
      <w:r>
        <w:rPr>
          <w:rFonts w:ascii="Times New Roman" w:hAnsi="Times New Roman" w:eastAsia="黑体" w:cs="Times New Roman"/>
          <w:color w:val="000000"/>
          <w:sz w:val="32"/>
          <w:szCs w:val="32"/>
        </w:rPr>
        <w:t>6 土地复垦工程设计及工程量测算</w:t>
      </w:r>
      <w:bookmarkEnd w:id="136"/>
      <w:bookmarkEnd w:id="137"/>
      <w:bookmarkEnd w:id="138"/>
      <w:bookmarkEnd w:id="139"/>
    </w:p>
    <w:p w14:paraId="18EBC8BB">
      <w:pPr>
        <w:keepNext/>
        <w:keepLines/>
        <w:numPr>
          <w:ilvl w:val="1"/>
          <w:numId w:val="0"/>
        </w:numPr>
        <w:tabs>
          <w:tab w:val="left" w:pos="5640"/>
        </w:tabs>
        <w:snapToGrid w:val="0"/>
        <w:spacing w:before="120" w:beforeLines="50" w:after="120" w:afterLines="50" w:line="360" w:lineRule="auto"/>
        <w:jc w:val="left"/>
        <w:outlineLvl w:val="1"/>
        <w:rPr>
          <w:rFonts w:ascii="Times New Roman" w:hAnsi="Times New Roman" w:eastAsia="黑体" w:cs="Times New Roman"/>
          <w:color w:val="000000"/>
          <w:sz w:val="30"/>
          <w:szCs w:val="28"/>
        </w:rPr>
      </w:pPr>
      <w:bookmarkStart w:id="152" w:name="_Toc246128448"/>
      <w:bookmarkStart w:id="153" w:name="_Toc384129343"/>
      <w:bookmarkStart w:id="154" w:name="_Toc247623515"/>
      <w:bookmarkStart w:id="155" w:name="_Toc247964567"/>
      <w:bookmarkStart w:id="156" w:name="_Toc272330982"/>
      <w:bookmarkStart w:id="157" w:name="_Toc28957"/>
      <w:bookmarkStart w:id="158" w:name="_Toc323225498"/>
      <w:bookmarkStart w:id="159" w:name="_Toc26015"/>
      <w:bookmarkStart w:id="160" w:name="_Toc402958206"/>
      <w:bookmarkStart w:id="161" w:name="_Toc260918494"/>
      <w:bookmarkStart w:id="162" w:name="_Toc176058291"/>
      <w:r>
        <w:rPr>
          <w:rFonts w:ascii="Times New Roman" w:hAnsi="Times New Roman" w:eastAsia="黑体" w:cs="Times New Roman"/>
          <w:color w:val="000000"/>
          <w:sz w:val="30"/>
          <w:szCs w:val="28"/>
        </w:rPr>
        <w:t>6.1 土地复垦单元工程设计</w:t>
      </w:r>
      <w:bookmarkEnd w:id="152"/>
      <w:bookmarkEnd w:id="153"/>
      <w:bookmarkEnd w:id="154"/>
      <w:bookmarkEnd w:id="155"/>
      <w:bookmarkEnd w:id="156"/>
      <w:bookmarkEnd w:id="157"/>
      <w:bookmarkEnd w:id="158"/>
      <w:bookmarkEnd w:id="159"/>
      <w:bookmarkEnd w:id="160"/>
      <w:bookmarkEnd w:id="161"/>
    </w:p>
    <w:p w14:paraId="49BE2FC6">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63" w:name="_Toc384127065"/>
      <w:bookmarkStart w:id="164" w:name="_Toc247964568"/>
      <w:bookmarkStart w:id="165" w:name="_Toc247623516"/>
      <w:bookmarkStart w:id="166" w:name="_Toc272330983"/>
      <w:bookmarkStart w:id="167" w:name="_Toc260918495"/>
      <w:r>
        <w:rPr>
          <w:rFonts w:ascii="Times New Roman" w:hAnsi="Times New Roman" w:eastAsia="黑体" w:cs="Times New Roman"/>
          <w:bCs/>
          <w:color w:val="000000"/>
          <w:sz w:val="28"/>
          <w:szCs w:val="28"/>
        </w:rPr>
        <w:t>6.1.1 复垦设计对象和范围</w:t>
      </w:r>
      <w:bookmarkEnd w:id="163"/>
      <w:bookmarkEnd w:id="164"/>
      <w:bookmarkEnd w:id="165"/>
      <w:bookmarkEnd w:id="166"/>
      <w:bookmarkEnd w:id="167"/>
    </w:p>
    <w:p w14:paraId="48C7ED39">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根据土地复垦方案编制规程的有关要求，结合本项目施工建设情况，本方案复垦工程设计对象为施工建设过程中临时损毁的土地，面积为</w:t>
      </w:r>
      <w:r>
        <w:rPr>
          <w:rFonts w:hint="eastAsia" w:cs="Times New Roman"/>
          <w:color w:val="000000"/>
          <w:sz w:val="24"/>
          <w:szCs w:val="24"/>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。根据第4章的复垦适宜性评价结果，本项目划分1个复垦单元，即</w:t>
      </w:r>
      <w:r>
        <w:rPr>
          <w:rFonts w:hint="eastAsia" w:cs="Times New Roman"/>
          <w:color w:val="000000"/>
          <w:sz w:val="24"/>
          <w:szCs w:val="24"/>
          <w:lang w:eastAsia="zh-CN"/>
        </w:rPr>
        <w:t>临时</w:t>
      </w:r>
      <w:r>
        <w:rPr>
          <w:rFonts w:hint="eastAsia" w:ascii="Times New Roman" w:hAnsi="Times New Roman" w:eastAsia="仿宋_GB2312" w:cs="Times New Roman"/>
          <w:color w:val="000000"/>
          <w:sz w:val="24"/>
          <w:szCs w:val="24"/>
          <w:lang w:eastAsia="zh-CN"/>
        </w:rPr>
        <w:t>用地</w:t>
      </w:r>
      <w:r>
        <w:rPr>
          <w:rFonts w:hint="eastAsia" w:ascii="Times New Roman" w:hAnsi="Times New Roman" w:eastAsia="仿宋_GB2312" w:cs="Times New Roman"/>
          <w:color w:val="000000"/>
          <w:sz w:val="24"/>
          <w:szCs w:val="24"/>
        </w:rPr>
        <w:t>单元进行复垦工程设计</w:t>
      </w:r>
      <w:r>
        <w:rPr>
          <w:rFonts w:ascii="Times New Roman" w:hAnsi="Times New Roman" w:eastAsia="仿宋_GB2312" w:cs="Times New Roman"/>
          <w:color w:val="000000"/>
          <w:sz w:val="24"/>
          <w:szCs w:val="24"/>
        </w:rPr>
        <w:t>。</w:t>
      </w:r>
    </w:p>
    <w:p w14:paraId="51A6D06C">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68" w:name="_Toc384127068"/>
      <w:r>
        <w:rPr>
          <w:rFonts w:ascii="Times New Roman" w:hAnsi="Times New Roman" w:eastAsia="黑体" w:cs="Times New Roman"/>
          <w:bCs/>
          <w:color w:val="000000"/>
          <w:sz w:val="28"/>
          <w:szCs w:val="28"/>
        </w:rPr>
        <w:t>6.1.2 复垦工程设计</w:t>
      </w:r>
    </w:p>
    <w:bookmarkEnd w:id="162"/>
    <w:bookmarkEnd w:id="168"/>
    <w:p w14:paraId="05F555E0">
      <w:pPr>
        <w:bidi w:val="0"/>
        <w:rPr>
          <w:rFonts w:hint="eastAsia"/>
        </w:rPr>
      </w:pPr>
      <w:bookmarkStart w:id="169" w:name="_Toc247964572"/>
      <w:bookmarkStart w:id="170" w:name="_Toc215496743"/>
      <w:bookmarkStart w:id="171" w:name="_Toc272330987"/>
      <w:bookmarkStart w:id="172" w:name="_Toc402958207"/>
      <w:bookmarkStart w:id="173" w:name="_Toc215496817"/>
      <w:bookmarkStart w:id="174" w:name="_Toc215548463"/>
      <w:bookmarkStart w:id="175" w:name="_Toc215548388"/>
      <w:bookmarkStart w:id="176" w:name="_Toc323225499"/>
      <w:bookmarkStart w:id="177" w:name="_Toc384129344"/>
      <w:bookmarkStart w:id="178" w:name="_Toc260918499"/>
      <w:r>
        <w:rPr>
          <w:rFonts w:hint="eastAsia"/>
        </w:rPr>
        <w:t>本项目</w:t>
      </w:r>
      <w:r>
        <w:rPr>
          <w:rFonts w:hint="eastAsia"/>
          <w:lang w:eastAsia="zh-CN"/>
        </w:rPr>
        <w:t>临时用地</w:t>
      </w:r>
      <w:r>
        <w:rPr>
          <w:rFonts w:hint="eastAsia"/>
        </w:rPr>
        <w:t>复垦土地面积为</w:t>
      </w:r>
      <w:r>
        <w:rPr>
          <w:rFonts w:hint="eastAsia"/>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rPr>
        <w:t>，全部为拟损毁，损毁土地类型为：</w:t>
      </w:r>
      <w:r>
        <w:rPr>
          <w:rFonts w:hint="eastAsia" w:cs="Times New Roman"/>
          <w:color w:val="000000"/>
          <w:kern w:val="0"/>
          <w:sz w:val="24"/>
          <w:szCs w:val="24"/>
          <w:lang w:val="en-US" w:eastAsia="zh-CN"/>
        </w:rPr>
        <w:t>工业用地、采矿用地及裸岩石砾地</w:t>
      </w:r>
      <w:r>
        <w:rPr>
          <w:rFonts w:hint="eastAsia"/>
        </w:rPr>
        <w:t>，</w:t>
      </w:r>
      <w:r>
        <w:rPr>
          <w:rFonts w:hint="eastAsia"/>
          <w:lang w:val="en-US" w:eastAsia="zh-CN"/>
        </w:rPr>
        <w:t>其中</w:t>
      </w:r>
      <w:r>
        <w:rPr>
          <w:rFonts w:hint="eastAsia"/>
        </w:rPr>
        <w:t>复垦为</w:t>
      </w:r>
      <w:r>
        <w:rPr>
          <w:rFonts w:hint="eastAsia" w:ascii="Times New Roman" w:hAnsi="Times New Roman" w:eastAsia="仿宋_GB2312" w:cs="Times New Roman"/>
          <w:color w:val="000000"/>
          <w:sz w:val="24"/>
          <w:szCs w:val="24"/>
          <w:lang w:val="en-US" w:eastAsia="zh-CN"/>
        </w:rPr>
        <w:t>工业用地</w:t>
      </w:r>
      <w:r>
        <w:rPr>
          <w:rFonts w:hint="eastAsia" w:cs="Times New Roman"/>
          <w:color w:val="000000"/>
          <w:sz w:val="24"/>
          <w:szCs w:val="24"/>
          <w:lang w:val="en-US" w:eastAsia="zh-CN"/>
        </w:rPr>
        <w:t>0.0280</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、采矿用地</w:t>
      </w:r>
      <w:r>
        <w:rPr>
          <w:rFonts w:hint="eastAsia" w:cs="Times New Roman"/>
          <w:color w:val="000000"/>
          <w:sz w:val="24"/>
          <w:szCs w:val="24"/>
          <w:lang w:val="en-US" w:eastAsia="zh-CN"/>
        </w:rPr>
        <w:t>0.0685</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、裸岩石砾地</w:t>
      </w:r>
      <w:r>
        <w:rPr>
          <w:rFonts w:hint="eastAsia" w:cs="Times New Roman"/>
          <w:color w:val="000000"/>
          <w:sz w:val="24"/>
          <w:szCs w:val="24"/>
          <w:lang w:val="en-US" w:eastAsia="zh-CN"/>
        </w:rPr>
        <w:t>1.8683</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lang w:val="en-US" w:eastAsia="zh-CN"/>
        </w:rPr>
        <w:t>，</w:t>
      </w:r>
      <w:r>
        <w:rPr>
          <w:rFonts w:hint="eastAsia"/>
        </w:rPr>
        <w:t>复垦措施主要是土地平整。</w:t>
      </w:r>
    </w:p>
    <w:p w14:paraId="404233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r>
        <w:rPr>
          <w:rFonts w:hint="eastAsia" w:ascii="Times New Roman" w:hAnsi="Times New Roman" w:eastAsia="仿宋_GB2312" w:cs="Times New Roman"/>
          <w:kern w:val="0"/>
          <w:sz w:val="24"/>
          <w:szCs w:val="24"/>
          <w:lang w:eastAsia="zh-CN"/>
        </w:rPr>
        <w:t>）土地平整</w:t>
      </w:r>
    </w:p>
    <w:p w14:paraId="1B8CD2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以用地区域为一个平整单元，以平整单元内部土方挖填平衡为基础，对场地高低不平区域进行推平，采用74KW推土机平整土地，局部机械无法进入的边角采用人工推平，为后期表土回覆等创造条件。平均平整厚度</w:t>
      </w:r>
      <w:r>
        <w:rPr>
          <w:rFonts w:hint="eastAsia" w:cs="Times New Roman"/>
          <w:kern w:val="0"/>
          <w:sz w:val="24"/>
          <w:szCs w:val="24"/>
          <w:lang w:val="en-US" w:eastAsia="zh-CN"/>
        </w:rPr>
        <w:t>20</w:t>
      </w:r>
      <w:r>
        <w:rPr>
          <w:rFonts w:hint="eastAsia" w:ascii="Times New Roman" w:hAnsi="Times New Roman" w:eastAsia="仿宋_GB2312" w:cs="Times New Roman"/>
          <w:kern w:val="0"/>
          <w:sz w:val="24"/>
          <w:szCs w:val="24"/>
          <w:lang w:eastAsia="zh-CN"/>
        </w:rPr>
        <w:t>cm，土地平整面积为</w:t>
      </w:r>
      <w:r>
        <w:rPr>
          <w:rFonts w:hint="eastAsia"/>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kern w:val="0"/>
          <w:sz w:val="24"/>
          <w:szCs w:val="24"/>
          <w:lang w:eastAsia="zh-CN"/>
        </w:rPr>
        <w:t>。</w:t>
      </w:r>
    </w:p>
    <w:p w14:paraId="3D16B20B">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hint="eastAsia" w:ascii="Times New Roman" w:hAnsi="Times New Roman" w:eastAsia="黑体" w:cs="Times New Roman"/>
          <w:bCs/>
          <w:color w:val="000000"/>
          <w:sz w:val="28"/>
          <w:szCs w:val="28"/>
        </w:rPr>
        <w:t>6.1.3 监测措施设计</w:t>
      </w:r>
    </w:p>
    <w:p w14:paraId="6B879A77">
      <w:pPr>
        <w:bidi w:val="0"/>
        <w:rPr>
          <w:rFonts w:hint="eastAsia"/>
        </w:rPr>
      </w:pPr>
      <w:bookmarkStart w:id="179" w:name="_Toc384127069"/>
      <w:r>
        <w:rPr>
          <w:rFonts w:hint="eastAsia"/>
        </w:rPr>
        <w:t>土地复垦监测既是落实土地复垦责任、保障复垦工作顺利进行的重要措施，也是调整土地复垦方案中复垦目标、标准、措施及计划安排的重要依据。</w:t>
      </w:r>
    </w:p>
    <w:p w14:paraId="48684B09">
      <w:pPr>
        <w:bidi w:val="0"/>
        <w:rPr>
          <w:rFonts w:hint="eastAsia"/>
        </w:rPr>
      </w:pPr>
      <w:r>
        <w:rPr>
          <w:rFonts w:hint="eastAsia"/>
        </w:rPr>
        <w:t>a）监测内容</w:t>
      </w:r>
    </w:p>
    <w:p w14:paraId="3E7D29BF">
      <w:pPr>
        <w:bidi w:val="0"/>
        <w:rPr>
          <w:rFonts w:hint="eastAsia"/>
        </w:rPr>
      </w:pPr>
      <w:r>
        <w:rPr>
          <w:rFonts w:hint="eastAsia"/>
        </w:rPr>
        <w:t>本方案监测内容具体主要包括土地损毁监测。</w:t>
      </w:r>
    </w:p>
    <w:p w14:paraId="26CCBC72">
      <w:pPr>
        <w:bidi w:val="0"/>
        <w:rPr>
          <w:rFonts w:hint="eastAsia"/>
        </w:rPr>
      </w:pPr>
      <w:r>
        <w:rPr>
          <w:rFonts w:hint="eastAsia"/>
        </w:rPr>
        <w:t>1）土地损毁监测</w:t>
      </w:r>
    </w:p>
    <w:p w14:paraId="4AC217E5">
      <w:pPr>
        <w:bidi w:val="0"/>
        <w:rPr>
          <w:rFonts w:hint="eastAsia"/>
        </w:rPr>
      </w:pPr>
      <w:r>
        <w:rPr>
          <w:rFonts w:hint="eastAsia"/>
        </w:rPr>
        <w:t>主要监测</w:t>
      </w:r>
      <w:r>
        <w:rPr>
          <w:rFonts w:hint="eastAsia"/>
          <w:lang w:val="en-US" w:eastAsia="zh-CN"/>
        </w:rPr>
        <w:t>设施用地</w:t>
      </w:r>
      <w:r>
        <w:rPr>
          <w:rFonts w:hint="eastAsia"/>
        </w:rPr>
        <w:t>的占地面积及损毁程度。</w:t>
      </w:r>
    </w:p>
    <w:p w14:paraId="6CB781C3">
      <w:pPr>
        <w:bidi w:val="0"/>
        <w:rPr>
          <w:rFonts w:hint="eastAsia"/>
        </w:rPr>
      </w:pPr>
      <w:r>
        <w:rPr>
          <w:rFonts w:hint="eastAsia"/>
        </w:rPr>
        <w:t>b）监测点布设原则</w:t>
      </w:r>
    </w:p>
    <w:p w14:paraId="32E0309B">
      <w:pPr>
        <w:bidi w:val="0"/>
        <w:rPr>
          <w:rFonts w:hint="eastAsia"/>
          <w:lang w:eastAsia="zh-CN"/>
        </w:rPr>
      </w:pPr>
      <w:r>
        <w:rPr>
          <w:rFonts w:hint="eastAsia"/>
        </w:rPr>
        <w:t>土地损毁监测主要是实施动态监测临时用地的损毁土地面积、范围及损毁程度等，布设原则为针对每个损毁土地复垦单元布设，临近复垦单元可合计布设1个</w:t>
      </w:r>
      <w:r>
        <w:rPr>
          <w:rFonts w:hint="eastAsia"/>
          <w:lang w:eastAsia="zh-CN"/>
        </w:rPr>
        <w:t>。</w:t>
      </w:r>
    </w:p>
    <w:p w14:paraId="3909C0A9">
      <w:pPr>
        <w:bidi w:val="0"/>
        <w:rPr>
          <w:rFonts w:hint="eastAsia"/>
        </w:rPr>
      </w:pPr>
      <w:r>
        <w:rPr>
          <w:rFonts w:hint="eastAsia"/>
        </w:rPr>
        <w:t>c）监测方法及频率</w:t>
      </w:r>
    </w:p>
    <w:p w14:paraId="4CCBC91A">
      <w:pPr>
        <w:bidi w:val="0"/>
        <w:rPr>
          <w:rFonts w:hint="eastAsia"/>
        </w:rPr>
      </w:pPr>
      <w:r>
        <w:rPr>
          <w:rFonts w:hint="eastAsia"/>
        </w:rPr>
        <w:t>1）土地损毁监测方法及频次</w:t>
      </w:r>
    </w:p>
    <w:p w14:paraId="02D4B979">
      <w:pPr>
        <w:bidi w:val="0"/>
        <w:rPr>
          <w:rFonts w:hint="eastAsia"/>
        </w:rPr>
      </w:pPr>
      <w:r>
        <w:rPr>
          <w:rFonts w:hint="eastAsia"/>
        </w:rPr>
        <w:t>采取皮尺、卷尺、照相机等器材工具定期对项目建设过程中部署的临时用地工程损毁土地面积、范围进行测绘，并标注在复垦区土地利用现状图上，填表记录土地损毁情况。本方案以项目施工放线的水准点作为水准基点，以土地损毁基本单元为基准，布设</w:t>
      </w:r>
      <w:r>
        <w:rPr>
          <w:rFonts w:hint="eastAsia"/>
          <w:lang w:val="en-US" w:eastAsia="zh-CN"/>
        </w:rPr>
        <w:t>2</w:t>
      </w:r>
      <w:r>
        <w:rPr>
          <w:rFonts w:hint="eastAsia"/>
        </w:rPr>
        <w:t>个土地损毁监测点</w:t>
      </w:r>
      <w:r>
        <w:rPr>
          <w:rFonts w:hint="eastAsia"/>
          <w:lang w:eastAsia="zh-CN"/>
        </w:rPr>
        <w:t>，</w:t>
      </w:r>
      <w:r>
        <w:rPr>
          <w:rFonts w:hint="eastAsia"/>
        </w:rPr>
        <w:t>布设</w:t>
      </w:r>
      <w:r>
        <w:rPr>
          <w:rFonts w:hint="eastAsia"/>
          <w:lang w:val="en-US" w:eastAsia="zh-CN"/>
        </w:rPr>
        <w:t>于临时用地内部，具体位置可根据现场实际状况确定</w:t>
      </w:r>
      <w:r>
        <w:rPr>
          <w:rFonts w:hint="eastAsia"/>
        </w:rPr>
        <w:t>。</w:t>
      </w:r>
      <w:r>
        <w:rPr>
          <w:rFonts w:hint="eastAsia"/>
          <w:lang w:val="en-US" w:eastAsia="zh-CN"/>
        </w:rPr>
        <w:t>监测频率为项目建设期每年1次</w:t>
      </w:r>
      <w:r>
        <w:rPr>
          <w:rFonts w:hint="eastAsia"/>
        </w:rPr>
        <w:t>，监测期限为</w:t>
      </w:r>
      <w:r>
        <w:rPr>
          <w:rFonts w:hint="eastAsia"/>
          <w:lang w:val="en-US" w:eastAsia="zh-CN"/>
        </w:rPr>
        <w:t>项目建设期2</w:t>
      </w:r>
      <w:r>
        <w:rPr>
          <w:rFonts w:hint="eastAsia"/>
        </w:rPr>
        <w:t>年。</w:t>
      </w:r>
    </w:p>
    <w:p w14:paraId="2D968A01">
      <w:pPr>
        <w:bidi w:val="0"/>
        <w:rPr>
          <w:rFonts w:hint="eastAsia"/>
        </w:rPr>
      </w:pPr>
      <w:r>
        <w:rPr>
          <w:rFonts w:hint="eastAsia"/>
        </w:rPr>
        <w:t>d）监测技术标准和要求</w:t>
      </w:r>
    </w:p>
    <w:p w14:paraId="4844A62B">
      <w:pPr>
        <w:bidi w:val="0"/>
        <w:rPr>
          <w:rFonts w:hint="eastAsia"/>
        </w:rPr>
      </w:pPr>
      <w:r>
        <w:rPr>
          <w:rFonts w:hint="eastAsia"/>
        </w:rPr>
        <w:t>监测技术标准主要参考《水土保持监测技术规范》（SL 227-2002）、《土壤环境监测技术规范》（HJ 166-2004）、《土地复垦质量控制标准》（TD/T 1036-2013）、《草原资源与生态监测技术规程》（NY/T 1233-2006）等。</w:t>
      </w:r>
    </w:p>
    <w:p w14:paraId="4F191D35">
      <w:pPr>
        <w:bidi w:val="0"/>
        <w:rPr>
          <w:rFonts w:hint="eastAsia"/>
        </w:rPr>
      </w:pPr>
      <w:r>
        <w:rPr>
          <w:rFonts w:hint="eastAsia"/>
        </w:rPr>
        <w:t>e）监测机构</w:t>
      </w:r>
    </w:p>
    <w:p w14:paraId="7510204F">
      <w:pPr>
        <w:bidi w:val="0"/>
        <w:rPr>
          <w:rFonts w:hint="eastAsia"/>
        </w:rPr>
      </w:pPr>
      <w:r>
        <w:rPr>
          <w:rFonts w:hint="eastAsia"/>
        </w:rPr>
        <w:t>本项目监测工作由项目建设单位组织完成，并对获取的监测数据要进行整理和汇总入库，可委托具有土地复垦监测或相关监测资质的单位承担监测工作，由委托方对监测工作进行协调和监督。</w:t>
      </w:r>
    </w:p>
    <w:p w14:paraId="27456831">
      <w:pPr>
        <w:bidi w:val="0"/>
        <w:rPr>
          <w:rFonts w:hint="eastAsia"/>
        </w:rPr>
      </w:pPr>
      <w:r>
        <w:rPr>
          <w:rFonts w:hint="eastAsia"/>
        </w:rPr>
        <w:t>f）监测成果管理</w:t>
      </w:r>
    </w:p>
    <w:p w14:paraId="1A1ECECE">
      <w:pPr>
        <w:bidi w:val="0"/>
        <w:rPr>
          <w:rFonts w:hint="eastAsia"/>
        </w:rPr>
      </w:pPr>
      <w:r>
        <w:rPr>
          <w:rFonts w:hint="eastAsia"/>
        </w:rPr>
        <w:t>土地复垦监测需要对监测工作形成监测工作成果报告，每次土地复垦监测工作完成后需要将监测工作报告装订成册，报送业主并存于档案室专门管理，便于今后查阅。</w:t>
      </w:r>
    </w:p>
    <w:p w14:paraId="25392982">
      <w:pPr>
        <w:pStyle w:val="22"/>
        <w:bidi w:val="0"/>
        <w:rPr>
          <w:rFonts w:hint="eastAsia"/>
        </w:rPr>
      </w:pPr>
      <w:r>
        <w:rPr>
          <w:rFonts w:hint="eastAsia"/>
        </w:rPr>
        <w:t>6</w:t>
      </w:r>
      <w:r>
        <w:rPr>
          <w:rFonts w:hint="eastAsia"/>
          <w:lang w:val="en-US" w:eastAsia="zh-CN"/>
        </w:rPr>
        <w:t>.1</w:t>
      </w:r>
      <w:r>
        <w:rPr>
          <w:rFonts w:hint="eastAsia"/>
        </w:rPr>
        <w:t>-</w:t>
      </w:r>
      <w:r>
        <w:rPr>
          <w:rFonts w:hint="eastAsia"/>
          <w:lang w:val="en-US" w:eastAsia="zh-CN"/>
        </w:rPr>
        <w:t>1</w:t>
      </w:r>
      <w:r>
        <w:rPr>
          <w:rFonts w:hint="eastAsia"/>
        </w:rPr>
        <w:t xml:space="preserve">  监测点数统计表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860"/>
        <w:gridCol w:w="1635"/>
        <w:gridCol w:w="2032"/>
        <w:gridCol w:w="1605"/>
        <w:gridCol w:w="1534"/>
      </w:tblGrid>
      <w:tr w14:paraId="1D80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3" w:type="pct"/>
            <w:shd w:val="clear" w:color="auto" w:fill="auto"/>
            <w:noWrap/>
            <w:vAlign w:val="center"/>
          </w:tcPr>
          <w:p w14:paraId="3C96CBC9">
            <w:pPr>
              <w:pStyle w:val="100"/>
              <w:bidi w:val="0"/>
              <w:rPr>
                <w:rFonts w:hint="eastAsia"/>
              </w:rPr>
            </w:pPr>
            <w:r>
              <w:rPr>
                <w:rFonts w:hint="eastAsia"/>
              </w:rPr>
              <w:t>序号</w:t>
            </w:r>
          </w:p>
        </w:tc>
        <w:tc>
          <w:tcPr>
            <w:tcW w:w="1001" w:type="pct"/>
            <w:shd w:val="clear" w:color="auto" w:fill="auto"/>
            <w:noWrap/>
            <w:vAlign w:val="center"/>
          </w:tcPr>
          <w:p w14:paraId="7BED5ABA">
            <w:pPr>
              <w:pStyle w:val="100"/>
              <w:bidi w:val="0"/>
              <w:rPr>
                <w:rFonts w:hint="eastAsia"/>
              </w:rPr>
            </w:pPr>
            <w:r>
              <w:rPr>
                <w:rFonts w:hint="eastAsia"/>
              </w:rPr>
              <w:t>工程名称</w:t>
            </w:r>
          </w:p>
        </w:tc>
        <w:tc>
          <w:tcPr>
            <w:tcW w:w="880" w:type="pct"/>
            <w:shd w:val="clear" w:color="auto" w:fill="auto"/>
            <w:noWrap/>
            <w:vAlign w:val="center"/>
          </w:tcPr>
          <w:p w14:paraId="1B8BBBF8">
            <w:pPr>
              <w:pStyle w:val="100"/>
              <w:bidi w:val="0"/>
              <w:rPr>
                <w:rFonts w:hint="eastAsia"/>
              </w:rPr>
            </w:pPr>
            <w:r>
              <w:rPr>
                <w:rFonts w:hint="eastAsia"/>
              </w:rPr>
              <w:t>监测点个数（个）</w:t>
            </w:r>
          </w:p>
        </w:tc>
        <w:tc>
          <w:tcPr>
            <w:tcW w:w="1094" w:type="pct"/>
            <w:shd w:val="clear" w:color="auto" w:fill="auto"/>
            <w:noWrap/>
            <w:vAlign w:val="center"/>
          </w:tcPr>
          <w:p w14:paraId="03D24F39">
            <w:pPr>
              <w:pStyle w:val="100"/>
              <w:bidi w:val="0"/>
              <w:rPr>
                <w:rFonts w:hint="eastAsia"/>
              </w:rPr>
            </w:pPr>
            <w:r>
              <w:rPr>
                <w:rFonts w:hint="eastAsia"/>
              </w:rPr>
              <w:t>监测频率（次/年）</w:t>
            </w:r>
          </w:p>
        </w:tc>
        <w:tc>
          <w:tcPr>
            <w:tcW w:w="864" w:type="pct"/>
            <w:shd w:val="clear" w:color="auto" w:fill="auto"/>
            <w:noWrap/>
            <w:vAlign w:val="center"/>
          </w:tcPr>
          <w:p w14:paraId="5A6BC27A">
            <w:pPr>
              <w:pStyle w:val="100"/>
              <w:bidi w:val="0"/>
              <w:rPr>
                <w:rFonts w:hint="eastAsia"/>
              </w:rPr>
            </w:pPr>
            <w:r>
              <w:rPr>
                <w:rFonts w:hint="eastAsia"/>
              </w:rPr>
              <w:t>监测年限（年）</w:t>
            </w:r>
          </w:p>
        </w:tc>
        <w:tc>
          <w:tcPr>
            <w:tcW w:w="825" w:type="pct"/>
            <w:shd w:val="clear" w:color="auto" w:fill="auto"/>
            <w:noWrap/>
            <w:vAlign w:val="center"/>
          </w:tcPr>
          <w:p w14:paraId="692704E3">
            <w:pPr>
              <w:pStyle w:val="100"/>
              <w:bidi w:val="0"/>
              <w:rPr>
                <w:rFonts w:hint="eastAsia"/>
              </w:rPr>
            </w:pPr>
            <w:r>
              <w:rPr>
                <w:rFonts w:hint="eastAsia"/>
              </w:rPr>
              <w:t>监测工程量（次）</w:t>
            </w:r>
          </w:p>
        </w:tc>
      </w:tr>
      <w:tr w14:paraId="6A37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3" w:type="pct"/>
            <w:shd w:val="clear" w:color="auto" w:fill="auto"/>
            <w:noWrap/>
            <w:vAlign w:val="center"/>
          </w:tcPr>
          <w:p w14:paraId="26BEF70C">
            <w:pPr>
              <w:pStyle w:val="100"/>
              <w:bidi w:val="0"/>
              <w:rPr>
                <w:rFonts w:hint="eastAsia"/>
              </w:rPr>
            </w:pPr>
            <w:r>
              <w:rPr>
                <w:rFonts w:hint="eastAsia"/>
              </w:rPr>
              <w:t>1</w:t>
            </w:r>
          </w:p>
        </w:tc>
        <w:tc>
          <w:tcPr>
            <w:tcW w:w="1001" w:type="pct"/>
            <w:shd w:val="clear" w:color="auto" w:fill="auto"/>
            <w:noWrap/>
            <w:vAlign w:val="center"/>
          </w:tcPr>
          <w:p w14:paraId="17F44E22">
            <w:pPr>
              <w:pStyle w:val="100"/>
              <w:bidi w:val="0"/>
              <w:rPr>
                <w:rFonts w:hint="eastAsia"/>
              </w:rPr>
            </w:pPr>
            <w:r>
              <w:rPr>
                <w:rFonts w:hint="eastAsia"/>
              </w:rPr>
              <w:t>损毁情况监测</w:t>
            </w:r>
          </w:p>
        </w:tc>
        <w:tc>
          <w:tcPr>
            <w:tcW w:w="880" w:type="pct"/>
            <w:shd w:val="clear" w:color="auto" w:fill="auto"/>
            <w:noWrap/>
            <w:vAlign w:val="center"/>
          </w:tcPr>
          <w:p w14:paraId="1697A3AC">
            <w:pPr>
              <w:pStyle w:val="100"/>
              <w:bidi w:val="0"/>
              <w:rPr>
                <w:rFonts w:hint="eastAsia"/>
                <w:lang w:val="en-US" w:eastAsia="zh-CN"/>
              </w:rPr>
            </w:pPr>
            <w:r>
              <w:rPr>
                <w:rFonts w:hint="eastAsia"/>
                <w:lang w:val="en-US" w:eastAsia="zh-CN"/>
              </w:rPr>
              <w:t>2</w:t>
            </w:r>
          </w:p>
        </w:tc>
        <w:tc>
          <w:tcPr>
            <w:tcW w:w="1094" w:type="pct"/>
            <w:shd w:val="clear" w:color="auto" w:fill="auto"/>
            <w:noWrap/>
            <w:vAlign w:val="center"/>
          </w:tcPr>
          <w:p w14:paraId="3A1316AA">
            <w:pPr>
              <w:pStyle w:val="100"/>
              <w:bidi w:val="0"/>
              <w:rPr>
                <w:rFonts w:hint="eastAsia"/>
                <w:lang w:eastAsia="zh-CN"/>
              </w:rPr>
            </w:pPr>
            <w:r>
              <w:rPr>
                <w:rFonts w:hint="eastAsia"/>
                <w:lang w:val="en-US" w:eastAsia="zh-CN"/>
              </w:rPr>
              <w:t>2</w:t>
            </w:r>
          </w:p>
        </w:tc>
        <w:tc>
          <w:tcPr>
            <w:tcW w:w="864" w:type="pct"/>
            <w:shd w:val="clear" w:color="auto" w:fill="auto"/>
            <w:noWrap/>
            <w:vAlign w:val="center"/>
          </w:tcPr>
          <w:p w14:paraId="44178A98">
            <w:pPr>
              <w:pStyle w:val="100"/>
              <w:bidi w:val="0"/>
              <w:rPr>
                <w:rFonts w:hint="eastAsia"/>
                <w:lang w:eastAsia="zh-CN"/>
              </w:rPr>
            </w:pPr>
            <w:r>
              <w:rPr>
                <w:rFonts w:hint="eastAsia"/>
                <w:lang w:val="en-US" w:eastAsia="zh-CN"/>
              </w:rPr>
              <w:t>2</w:t>
            </w:r>
          </w:p>
        </w:tc>
        <w:tc>
          <w:tcPr>
            <w:tcW w:w="825" w:type="pct"/>
            <w:shd w:val="clear" w:color="auto" w:fill="auto"/>
            <w:noWrap/>
            <w:vAlign w:val="center"/>
          </w:tcPr>
          <w:p w14:paraId="28D69CFE">
            <w:pPr>
              <w:pStyle w:val="100"/>
              <w:bidi w:val="0"/>
              <w:rPr>
                <w:rFonts w:hint="eastAsia"/>
                <w:lang w:val="en-US" w:eastAsia="zh-CN"/>
              </w:rPr>
            </w:pPr>
            <w:r>
              <w:rPr>
                <w:rFonts w:hint="eastAsia"/>
                <w:lang w:val="en-US" w:eastAsia="zh-CN"/>
              </w:rPr>
              <w:t>8</w:t>
            </w:r>
          </w:p>
        </w:tc>
      </w:tr>
      <w:tr w14:paraId="7FF5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35" w:type="pct"/>
            <w:gridSpan w:val="2"/>
            <w:shd w:val="clear" w:color="auto" w:fill="auto"/>
            <w:noWrap/>
            <w:vAlign w:val="center"/>
          </w:tcPr>
          <w:p w14:paraId="730634B7">
            <w:pPr>
              <w:pStyle w:val="100"/>
              <w:bidi w:val="0"/>
              <w:rPr>
                <w:rFonts w:hint="eastAsia"/>
              </w:rPr>
            </w:pPr>
            <w:r>
              <w:rPr>
                <w:rFonts w:hint="eastAsia"/>
              </w:rPr>
              <w:t>合计</w:t>
            </w:r>
          </w:p>
        </w:tc>
        <w:tc>
          <w:tcPr>
            <w:tcW w:w="880" w:type="pct"/>
            <w:shd w:val="clear" w:color="auto" w:fill="auto"/>
            <w:noWrap/>
            <w:vAlign w:val="center"/>
          </w:tcPr>
          <w:p w14:paraId="25E5A1F8">
            <w:pPr>
              <w:pStyle w:val="100"/>
              <w:bidi w:val="0"/>
              <w:rPr>
                <w:rFonts w:hint="eastAsia"/>
              </w:rPr>
            </w:pPr>
            <w:r>
              <w:rPr>
                <w:rFonts w:hint="eastAsia"/>
              </w:rPr>
              <w:t>-</w:t>
            </w:r>
          </w:p>
        </w:tc>
        <w:tc>
          <w:tcPr>
            <w:tcW w:w="1094" w:type="pct"/>
            <w:shd w:val="clear" w:color="auto" w:fill="auto"/>
            <w:noWrap/>
            <w:vAlign w:val="center"/>
          </w:tcPr>
          <w:p w14:paraId="7AD152EA">
            <w:pPr>
              <w:pStyle w:val="100"/>
              <w:bidi w:val="0"/>
              <w:rPr>
                <w:rFonts w:hint="eastAsia"/>
              </w:rPr>
            </w:pPr>
            <w:r>
              <w:rPr>
                <w:rFonts w:hint="eastAsia"/>
              </w:rPr>
              <w:t>-</w:t>
            </w:r>
          </w:p>
        </w:tc>
        <w:tc>
          <w:tcPr>
            <w:tcW w:w="864" w:type="pct"/>
            <w:shd w:val="clear" w:color="auto" w:fill="auto"/>
            <w:noWrap/>
            <w:vAlign w:val="center"/>
          </w:tcPr>
          <w:p w14:paraId="04A7686E">
            <w:pPr>
              <w:pStyle w:val="100"/>
              <w:bidi w:val="0"/>
              <w:rPr>
                <w:rFonts w:hint="eastAsia"/>
              </w:rPr>
            </w:pPr>
            <w:r>
              <w:rPr>
                <w:rFonts w:hint="eastAsia"/>
              </w:rPr>
              <w:t>-</w:t>
            </w:r>
          </w:p>
        </w:tc>
        <w:tc>
          <w:tcPr>
            <w:tcW w:w="825" w:type="pct"/>
            <w:shd w:val="clear" w:color="auto" w:fill="auto"/>
            <w:noWrap/>
            <w:vAlign w:val="center"/>
          </w:tcPr>
          <w:p w14:paraId="403A2E31">
            <w:pPr>
              <w:pStyle w:val="100"/>
              <w:bidi w:val="0"/>
              <w:rPr>
                <w:rFonts w:hint="eastAsia"/>
                <w:lang w:val="en-US" w:eastAsia="zh-CN"/>
              </w:rPr>
            </w:pPr>
            <w:r>
              <w:rPr>
                <w:rFonts w:hint="eastAsia"/>
                <w:lang w:val="en-US" w:eastAsia="zh-CN"/>
              </w:rPr>
              <w:t>8</w:t>
            </w:r>
          </w:p>
        </w:tc>
      </w:tr>
    </w:tbl>
    <w:p w14:paraId="4500CFA2">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hint="eastAsia" w:ascii="Times New Roman" w:hAnsi="Times New Roman" w:eastAsia="黑体" w:cs="Times New Roman"/>
          <w:bCs/>
          <w:color w:val="000000"/>
          <w:sz w:val="28"/>
          <w:szCs w:val="28"/>
        </w:rPr>
        <w:t>6.1.4 管护工程设计</w:t>
      </w:r>
    </w:p>
    <w:p w14:paraId="58E5231A">
      <w:pPr>
        <w:tabs>
          <w:tab w:val="left" w:pos="5640"/>
        </w:tabs>
        <w:adjustRightInd w:val="0"/>
        <w:snapToGrid w:val="0"/>
        <w:spacing w:line="360" w:lineRule="auto"/>
        <w:ind w:firstLine="480" w:firstLineChars="200"/>
        <w:jc w:val="left"/>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本方案不涉及管护工程。</w:t>
      </w:r>
    </w:p>
    <w:bookmarkEnd w:id="179"/>
    <w:p w14:paraId="61F423EB">
      <w:pPr>
        <w:keepNext/>
        <w:keepLines/>
        <w:numPr>
          <w:ilvl w:val="1"/>
          <w:numId w:val="0"/>
        </w:numPr>
        <w:tabs>
          <w:tab w:val="left" w:pos="5640"/>
        </w:tabs>
        <w:snapToGrid w:val="0"/>
        <w:spacing w:line="360" w:lineRule="auto"/>
        <w:jc w:val="left"/>
        <w:outlineLvl w:val="1"/>
        <w:rPr>
          <w:rFonts w:ascii="Times New Roman" w:hAnsi="Times New Roman" w:eastAsia="黑体" w:cs="Times New Roman"/>
          <w:color w:val="000000"/>
          <w:sz w:val="30"/>
          <w:szCs w:val="28"/>
        </w:rPr>
      </w:pPr>
      <w:bookmarkStart w:id="180" w:name="_Toc17753"/>
      <w:bookmarkStart w:id="181" w:name="_Toc21481"/>
      <w:r>
        <w:rPr>
          <w:rFonts w:ascii="Times New Roman" w:hAnsi="Times New Roman" w:eastAsia="黑体" w:cs="Times New Roman"/>
          <w:color w:val="000000"/>
          <w:sz w:val="30"/>
          <w:szCs w:val="28"/>
        </w:rPr>
        <w:t>6.2 土地复垦工程量测算</w:t>
      </w:r>
      <w:bookmarkEnd w:id="169"/>
      <w:bookmarkEnd w:id="170"/>
      <w:bookmarkEnd w:id="171"/>
      <w:bookmarkEnd w:id="172"/>
      <w:bookmarkEnd w:id="173"/>
      <w:bookmarkEnd w:id="174"/>
      <w:bookmarkEnd w:id="175"/>
      <w:bookmarkEnd w:id="176"/>
      <w:bookmarkEnd w:id="177"/>
      <w:bookmarkEnd w:id="178"/>
      <w:bookmarkEnd w:id="180"/>
      <w:bookmarkEnd w:id="181"/>
      <w:r>
        <w:rPr>
          <w:rFonts w:ascii="Times New Roman" w:hAnsi="Times New Roman" w:eastAsia="黑体" w:cs="Times New Roman"/>
          <w:color w:val="000000"/>
          <w:sz w:val="30"/>
          <w:szCs w:val="28"/>
        </w:rPr>
        <w:t xml:space="preserve"> </w:t>
      </w:r>
    </w:p>
    <w:p w14:paraId="7812E385">
      <w:pPr>
        <w:keepNext/>
        <w:keepLines/>
        <w:tabs>
          <w:tab w:val="left" w:pos="5640"/>
        </w:tabs>
        <w:adjustRightInd w:val="0"/>
        <w:snapToGrid w:val="0"/>
        <w:spacing w:before="120" w:beforeLines="50" w:after="120" w:afterLines="50" w:line="500" w:lineRule="exact"/>
        <w:ind w:firstLine="560"/>
        <w:jc w:val="left"/>
        <w:outlineLvl w:val="2"/>
        <w:rPr>
          <w:rFonts w:hint="eastAsia"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6.2.</w:t>
      </w:r>
      <w:r>
        <w:rPr>
          <w:rFonts w:hint="eastAsia" w:ascii="Times New Roman" w:hAnsi="Times New Roman" w:eastAsia="黑体" w:cs="Times New Roman"/>
          <w:bCs/>
          <w:color w:val="000000"/>
          <w:sz w:val="28"/>
          <w:szCs w:val="28"/>
          <w:lang w:val="en-US" w:eastAsia="zh-CN"/>
        </w:rPr>
        <w:t>1复垦</w:t>
      </w:r>
      <w:r>
        <w:rPr>
          <w:rFonts w:ascii="Times New Roman" w:hAnsi="Times New Roman" w:eastAsia="黑体" w:cs="Times New Roman"/>
          <w:bCs/>
          <w:color w:val="000000"/>
          <w:sz w:val="28"/>
          <w:szCs w:val="28"/>
        </w:rPr>
        <w:t>工程量统计</w:t>
      </w:r>
    </w:p>
    <w:p w14:paraId="4ED05074">
      <w:pPr>
        <w:adjustRightInd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本方案复垦</w:t>
      </w:r>
      <w:r>
        <w:rPr>
          <w:rFonts w:hint="eastAsia" w:cs="Times New Roman"/>
          <w:color w:val="000000"/>
          <w:sz w:val="24"/>
          <w:szCs w:val="24"/>
          <w:lang w:eastAsia="zh-CN"/>
        </w:rPr>
        <w:t>临时用地</w:t>
      </w:r>
      <w:r>
        <w:rPr>
          <w:rFonts w:hint="eastAsia" w:ascii="Times New Roman" w:hAnsi="Times New Roman" w:eastAsia="仿宋_GB2312" w:cs="Times New Roman"/>
          <w:color w:val="000000"/>
          <w:sz w:val="24"/>
          <w:szCs w:val="24"/>
        </w:rPr>
        <w:t>面积</w:t>
      </w:r>
      <w:r>
        <w:rPr>
          <w:rFonts w:hint="eastAsia" w:cs="Times New Roman"/>
          <w:kern w:val="0"/>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，根据复垦措施设计，所采取的复垦措施主要土地平整，具体工程量如下：</w:t>
      </w:r>
    </w:p>
    <w:p w14:paraId="76396DB3">
      <w:pPr>
        <w:pStyle w:val="787"/>
        <w:ind w:firstLine="420"/>
        <w:rPr>
          <w:rFonts w:hint="eastAsia" w:ascii="Times New Roman" w:hAnsi="Times New Roman" w:cs="Times New Roman"/>
          <w:color w:val="auto"/>
          <w:lang w:val="en-US" w:eastAsia="zh-CN"/>
        </w:rPr>
      </w:pPr>
    </w:p>
    <w:p w14:paraId="5D33C993">
      <w:pPr>
        <w:pStyle w:val="22"/>
        <w:bidi w:val="0"/>
        <w:rPr>
          <w:rFonts w:hint="eastAsia"/>
          <w:lang w:val="en-US" w:eastAsia="zh-CN"/>
        </w:rPr>
      </w:pPr>
    </w:p>
    <w:p w14:paraId="471C80C2">
      <w:pPr>
        <w:pStyle w:val="22"/>
        <w:bidi w:val="0"/>
        <w:rPr>
          <w:rFonts w:hint="eastAsia"/>
          <w:lang w:val="en-US" w:eastAsia="zh-CN"/>
        </w:rPr>
      </w:pPr>
    </w:p>
    <w:p w14:paraId="74B36E32">
      <w:pPr>
        <w:pStyle w:val="22"/>
        <w:bidi w:val="0"/>
        <w:rPr>
          <w:rFonts w:hint="default"/>
          <w:lang w:val="en-US" w:eastAsia="zh-CN"/>
        </w:rPr>
      </w:pPr>
      <w:r>
        <w:rPr>
          <w:rFonts w:hint="eastAsia"/>
          <w:lang w:val="en-US" w:eastAsia="zh-CN"/>
        </w:rPr>
        <w:t>表6.2-1 复垦工程量表</w:t>
      </w:r>
    </w:p>
    <w:tbl>
      <w:tblPr>
        <w:tblStyle w:val="88"/>
        <w:tblW w:w="4996" w:type="pct"/>
        <w:tblInd w:w="0" w:type="dxa"/>
        <w:tblLayout w:type="autofit"/>
        <w:tblCellMar>
          <w:top w:w="0" w:type="dxa"/>
          <w:left w:w="108" w:type="dxa"/>
          <w:bottom w:w="0" w:type="dxa"/>
          <w:right w:w="108" w:type="dxa"/>
        </w:tblCellMar>
      </w:tblPr>
      <w:tblGrid>
        <w:gridCol w:w="1317"/>
        <w:gridCol w:w="3812"/>
        <w:gridCol w:w="2048"/>
        <w:gridCol w:w="2102"/>
      </w:tblGrid>
      <w:tr w14:paraId="459CEBEA">
        <w:tblPrEx>
          <w:tblCellMar>
            <w:top w:w="0" w:type="dxa"/>
            <w:left w:w="108" w:type="dxa"/>
            <w:bottom w:w="0" w:type="dxa"/>
            <w:right w:w="108" w:type="dxa"/>
          </w:tblCellMar>
        </w:tblPrEx>
        <w:trPr>
          <w:trHeight w:val="270" w:hRule="atLeast"/>
          <w:tblHeader/>
        </w:trPr>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F484">
            <w:pPr>
              <w:pStyle w:val="100"/>
              <w:bidi w:val="0"/>
              <w:rPr>
                <w:rFonts w:hint="eastAsia"/>
              </w:rPr>
            </w:pPr>
            <w:r>
              <w:rPr>
                <w:rFonts w:hint="eastAsia"/>
              </w:rPr>
              <w:t>序号</w:t>
            </w:r>
          </w:p>
        </w:tc>
        <w:tc>
          <w:tcPr>
            <w:tcW w:w="2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3B7B">
            <w:pPr>
              <w:pStyle w:val="100"/>
              <w:bidi w:val="0"/>
              <w:rPr>
                <w:rFonts w:hint="eastAsia"/>
                <w:lang w:eastAsia="zh-CN"/>
              </w:rPr>
            </w:pPr>
            <w:r>
              <w:rPr>
                <w:rFonts w:hint="eastAsia"/>
                <w:lang w:eastAsia="zh-CN"/>
              </w:rPr>
              <w:t>单项名称</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A59C">
            <w:pPr>
              <w:pStyle w:val="100"/>
              <w:bidi w:val="0"/>
              <w:rPr>
                <w:rFonts w:hint="eastAsia"/>
                <w:lang w:eastAsia="zh-CN"/>
              </w:rPr>
            </w:pPr>
            <w:r>
              <w:rPr>
                <w:rFonts w:hint="eastAsia"/>
                <w:lang w:eastAsia="zh-CN"/>
              </w:rPr>
              <w:t>单位</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620A">
            <w:pPr>
              <w:pStyle w:val="100"/>
              <w:bidi w:val="0"/>
              <w:rPr>
                <w:rFonts w:hint="eastAsia"/>
                <w:lang w:eastAsia="zh-CN"/>
              </w:rPr>
            </w:pPr>
            <w:r>
              <w:rPr>
                <w:rFonts w:hint="eastAsia"/>
                <w:lang w:eastAsia="zh-CN"/>
              </w:rPr>
              <w:t>工程量</w:t>
            </w:r>
          </w:p>
        </w:tc>
      </w:tr>
      <w:tr w14:paraId="5E3F719B">
        <w:tblPrEx>
          <w:tblCellMar>
            <w:top w:w="0" w:type="dxa"/>
            <w:left w:w="108" w:type="dxa"/>
            <w:bottom w:w="0" w:type="dxa"/>
            <w:right w:w="108" w:type="dxa"/>
          </w:tblCellMar>
        </w:tblPrEx>
        <w:trPr>
          <w:trHeight w:val="270" w:hRule="atLeast"/>
        </w:trPr>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E990">
            <w:pPr>
              <w:pStyle w:val="100"/>
              <w:bidi w:val="0"/>
              <w:rPr>
                <w:rFonts w:hint="eastAsia"/>
              </w:rPr>
            </w:pPr>
            <w:r>
              <w:rPr>
                <w:rFonts w:hint="eastAsia"/>
              </w:rPr>
              <w:t>一</w:t>
            </w:r>
          </w:p>
        </w:tc>
        <w:tc>
          <w:tcPr>
            <w:tcW w:w="2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B2F2">
            <w:pPr>
              <w:pStyle w:val="100"/>
              <w:bidi w:val="0"/>
              <w:rPr>
                <w:rFonts w:hint="eastAsia"/>
                <w:lang w:eastAsia="zh-CN"/>
              </w:rPr>
            </w:pPr>
            <w:r>
              <w:rPr>
                <w:rFonts w:hint="eastAsia"/>
                <w:lang w:eastAsia="zh-CN"/>
              </w:rPr>
              <w:t>项目区</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E103">
            <w:pPr>
              <w:pStyle w:val="100"/>
              <w:bidi w:val="0"/>
              <w:rPr>
                <w:rFonts w:hint="eastAsia"/>
                <w:lang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2A790">
            <w:pPr>
              <w:pStyle w:val="100"/>
              <w:bidi w:val="0"/>
              <w:rPr>
                <w:rFonts w:hint="eastAsia"/>
                <w:lang w:eastAsia="zh-CN"/>
              </w:rPr>
            </w:pPr>
          </w:p>
        </w:tc>
      </w:tr>
      <w:tr w14:paraId="7BC7D519">
        <w:tblPrEx>
          <w:tblCellMar>
            <w:top w:w="0" w:type="dxa"/>
            <w:left w:w="108" w:type="dxa"/>
            <w:bottom w:w="0" w:type="dxa"/>
            <w:right w:w="108" w:type="dxa"/>
          </w:tblCellMar>
        </w:tblPrEx>
        <w:trPr>
          <w:trHeight w:val="247" w:hRule="atLeast"/>
        </w:trPr>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6A6C">
            <w:pPr>
              <w:pStyle w:val="100"/>
              <w:bidi w:val="0"/>
              <w:rPr>
                <w:rFonts w:hint="eastAsia"/>
                <w:lang w:eastAsia="zh-CN"/>
              </w:rPr>
            </w:pPr>
            <w:r>
              <w:rPr>
                <w:rFonts w:hint="eastAsia"/>
                <w:lang w:val="en-US" w:eastAsia="zh-CN"/>
              </w:rPr>
              <w:t>1</w:t>
            </w:r>
          </w:p>
        </w:tc>
        <w:tc>
          <w:tcPr>
            <w:tcW w:w="2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ABDF">
            <w:pPr>
              <w:pStyle w:val="100"/>
              <w:bidi w:val="0"/>
              <w:rPr>
                <w:rFonts w:hint="eastAsia"/>
                <w:lang w:eastAsia="zh-CN"/>
              </w:rPr>
            </w:pPr>
            <w:r>
              <w:rPr>
                <w:rFonts w:hint="eastAsia"/>
                <w:lang w:eastAsia="zh-CN"/>
              </w:rPr>
              <w:t>平整工程</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43BD">
            <w:pPr>
              <w:pStyle w:val="100"/>
              <w:bidi w:val="0"/>
              <w:rPr>
                <w:rFonts w:hint="eastAsia"/>
                <w:lang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CEE5">
            <w:pPr>
              <w:pStyle w:val="100"/>
              <w:bidi w:val="0"/>
              <w:rPr>
                <w:rFonts w:hint="eastAsia"/>
                <w:lang w:eastAsia="zh-CN"/>
              </w:rPr>
            </w:pPr>
          </w:p>
        </w:tc>
      </w:tr>
      <w:tr w14:paraId="2C816B78">
        <w:tblPrEx>
          <w:tblCellMar>
            <w:top w:w="0" w:type="dxa"/>
            <w:left w:w="108" w:type="dxa"/>
            <w:bottom w:w="0" w:type="dxa"/>
            <w:right w:w="108" w:type="dxa"/>
          </w:tblCellMar>
        </w:tblPrEx>
        <w:trPr>
          <w:trHeight w:val="270" w:hRule="atLeast"/>
        </w:trPr>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3549">
            <w:pPr>
              <w:pStyle w:val="100"/>
              <w:bidi w:val="0"/>
              <w:rPr>
                <w:rFonts w:hint="eastAsia"/>
              </w:rPr>
            </w:pPr>
            <w:r>
              <w:rPr>
                <w:rFonts w:hint="eastAsia"/>
                <w:lang w:val="en-US" w:eastAsia="zh-CN"/>
              </w:rPr>
              <w:t>1</w:t>
            </w:r>
            <w:r>
              <w:rPr>
                <w:rFonts w:hint="eastAsia"/>
              </w:rPr>
              <w:t>.1</w:t>
            </w:r>
          </w:p>
        </w:tc>
        <w:tc>
          <w:tcPr>
            <w:tcW w:w="2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1D13">
            <w:pPr>
              <w:pStyle w:val="100"/>
              <w:bidi w:val="0"/>
              <w:rPr>
                <w:rFonts w:hint="eastAsia"/>
                <w:lang w:eastAsia="zh-CN"/>
              </w:rPr>
            </w:pPr>
            <w:r>
              <w:rPr>
                <w:rFonts w:hint="eastAsia"/>
                <w:lang w:eastAsia="zh-CN"/>
              </w:rPr>
              <w:t>土地平整</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5B6B">
            <w:pPr>
              <w:pStyle w:val="100"/>
              <w:bidi w:val="0"/>
              <w:rPr>
                <w:rFonts w:hint="eastAsia"/>
                <w:lang w:eastAsia="zh-CN"/>
              </w:rPr>
            </w:pPr>
            <w:r>
              <w:rPr>
                <w:rFonts w:hint="eastAsia"/>
                <w:lang w:val="en-US" w:eastAsia="zh-CN"/>
              </w:rPr>
              <w:t>100</w:t>
            </w:r>
            <w:r>
              <w:rPr>
                <w:rFonts w:hint="eastAsia"/>
                <w:lang w:eastAsia="zh-CN"/>
              </w:rPr>
              <w:t>m</w:t>
            </w:r>
            <w:r>
              <w:rPr>
                <w:rFonts w:hint="eastAsia"/>
                <w:vertAlign w:val="superscript"/>
                <w:lang w:val="en-US" w:eastAsia="zh-CN"/>
              </w:rPr>
              <w:t>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201747">
            <w:pPr>
              <w:pStyle w:val="100"/>
              <w:bidi w:val="0"/>
              <w:rPr>
                <w:rFonts w:hint="default"/>
                <w:lang w:val="en-US" w:eastAsia="zh-CN"/>
              </w:rPr>
            </w:pPr>
            <w:r>
              <w:rPr>
                <w:rFonts w:hint="eastAsia"/>
                <w:lang w:val="en-US" w:eastAsia="zh-CN"/>
              </w:rPr>
              <w:t>39.296</w:t>
            </w:r>
          </w:p>
        </w:tc>
      </w:tr>
    </w:tbl>
    <w:p w14:paraId="7E70607F">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bookmarkStart w:id="182" w:name="_Toc384127077"/>
      <w:bookmarkStart w:id="183" w:name="_Toc529353679"/>
      <w:r>
        <w:rPr>
          <w:rFonts w:ascii="Times New Roman" w:hAnsi="Times New Roman" w:eastAsia="黑体" w:cs="Times New Roman"/>
          <w:bCs/>
          <w:color w:val="000000"/>
          <w:sz w:val="28"/>
          <w:szCs w:val="28"/>
        </w:rPr>
        <w:t>6.2.</w:t>
      </w:r>
      <w:r>
        <w:rPr>
          <w:rFonts w:hint="eastAsia" w:eastAsia="黑体" w:cs="Times New Roman"/>
          <w:bCs/>
          <w:color w:val="000000"/>
          <w:sz w:val="28"/>
          <w:szCs w:val="28"/>
          <w:lang w:val="en-US" w:eastAsia="zh-CN"/>
        </w:rPr>
        <w:t>2</w:t>
      </w:r>
      <w:r>
        <w:rPr>
          <w:rFonts w:ascii="Times New Roman" w:hAnsi="Times New Roman" w:eastAsia="黑体" w:cs="Times New Roman"/>
          <w:bCs/>
          <w:color w:val="000000"/>
          <w:sz w:val="28"/>
          <w:szCs w:val="28"/>
        </w:rPr>
        <w:t>监测工程量统计</w:t>
      </w:r>
      <w:bookmarkEnd w:id="182"/>
      <w:bookmarkEnd w:id="183"/>
    </w:p>
    <w:p w14:paraId="52A029CE">
      <w:pPr>
        <w:adjustRightInd w:val="0"/>
        <w:snapToGrid w:val="0"/>
        <w:spacing w:line="360" w:lineRule="auto"/>
        <w:ind w:firstLine="480" w:firstLineChars="200"/>
        <w:rPr>
          <w:rFonts w:ascii="Times New Roman" w:hAnsi="Times New Roman" w:eastAsia="仿宋_GB2312" w:cs="Times New Roman"/>
          <w:bCs/>
          <w:color w:val="000000"/>
          <w:sz w:val="24"/>
          <w:szCs w:val="24"/>
        </w:rPr>
      </w:pPr>
      <w:bookmarkStart w:id="184" w:name="_Toc384127078"/>
      <w:bookmarkStart w:id="185" w:name="_Toc529353680"/>
      <w:r>
        <w:rPr>
          <w:rFonts w:hint="eastAsia" w:ascii="Times New Roman" w:hAnsi="Times New Roman" w:eastAsia="仿宋_GB2312" w:cs="Times New Roman"/>
          <w:bCs/>
          <w:color w:val="000000"/>
          <w:sz w:val="24"/>
          <w:szCs w:val="24"/>
        </w:rPr>
        <w:t>本项目</w:t>
      </w:r>
      <w:r>
        <w:rPr>
          <w:rFonts w:ascii="Times New Roman" w:hAnsi="Times New Roman" w:eastAsia="仿宋_GB2312" w:cs="Times New Roman"/>
          <w:bCs/>
          <w:color w:val="000000"/>
          <w:sz w:val="24"/>
          <w:szCs w:val="24"/>
        </w:rPr>
        <w:t>的</w:t>
      </w:r>
      <w:r>
        <w:rPr>
          <w:rFonts w:hint="eastAsia" w:ascii="Times New Roman" w:hAnsi="Times New Roman" w:eastAsia="仿宋_GB2312" w:cs="Times New Roman"/>
          <w:bCs/>
          <w:color w:val="000000"/>
          <w:sz w:val="24"/>
          <w:szCs w:val="24"/>
        </w:rPr>
        <w:t>土地损毁</w:t>
      </w:r>
      <w:r>
        <w:rPr>
          <w:rFonts w:ascii="Times New Roman" w:hAnsi="Times New Roman" w:eastAsia="仿宋_GB2312" w:cs="Times New Roman"/>
          <w:bCs/>
          <w:color w:val="000000"/>
          <w:sz w:val="24"/>
          <w:szCs w:val="24"/>
        </w:rPr>
        <w:t>监测</w:t>
      </w:r>
      <w:r>
        <w:rPr>
          <w:rFonts w:hint="eastAsia" w:ascii="Times New Roman" w:hAnsi="Times New Roman" w:eastAsia="仿宋_GB2312" w:cs="Times New Roman"/>
          <w:bCs/>
          <w:color w:val="000000"/>
          <w:sz w:val="24"/>
          <w:szCs w:val="24"/>
        </w:rPr>
        <w:t>及土地复垦效果监测工程量表6.2-</w:t>
      </w:r>
      <w:r>
        <w:rPr>
          <w:rFonts w:hint="eastAsia" w:ascii="Times New Roman" w:hAnsi="Times New Roman" w:cs="Times New Roman"/>
          <w:bCs/>
          <w:color w:val="000000"/>
          <w:sz w:val="24"/>
          <w:szCs w:val="24"/>
          <w:lang w:val="en-US" w:eastAsia="zh-CN"/>
        </w:rPr>
        <w:t>2</w:t>
      </w:r>
      <w:r>
        <w:rPr>
          <w:rFonts w:ascii="Times New Roman" w:hAnsi="Times New Roman" w:eastAsia="仿宋_GB2312" w:cs="Times New Roman"/>
          <w:bCs/>
          <w:color w:val="000000"/>
          <w:sz w:val="24"/>
          <w:szCs w:val="24"/>
        </w:rPr>
        <w:t>。</w:t>
      </w:r>
    </w:p>
    <w:p w14:paraId="7F376D7A">
      <w:pPr>
        <w:pStyle w:val="22"/>
        <w:bidi w:val="0"/>
        <w:rPr>
          <w:rFonts w:hint="eastAsia"/>
          <w:lang w:val="en-US" w:eastAsia="zh-CN"/>
        </w:rPr>
      </w:pPr>
      <w:r>
        <w:rPr>
          <w:rFonts w:hint="default"/>
          <w:lang w:val="en-US" w:eastAsia="zh-CN"/>
        </w:rPr>
        <w:t>表</w:t>
      </w:r>
      <w:r>
        <w:rPr>
          <w:rFonts w:hint="eastAsia"/>
          <w:lang w:val="en-US" w:eastAsia="zh-CN"/>
        </w:rPr>
        <w:t>6.2-2  土地损毁监测及土地复垦效果监测工程量表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722"/>
        <w:gridCol w:w="1557"/>
        <w:gridCol w:w="1901"/>
        <w:gridCol w:w="1641"/>
        <w:gridCol w:w="1843"/>
      </w:tblGrid>
      <w:tr w14:paraId="715B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shd w:val="clear" w:color="auto" w:fill="auto"/>
            <w:noWrap/>
            <w:vAlign w:val="center"/>
          </w:tcPr>
          <w:p w14:paraId="2A29ACFE">
            <w:pPr>
              <w:pStyle w:val="100"/>
              <w:bidi w:val="0"/>
              <w:rPr>
                <w:lang w:val="en-US" w:eastAsia="zh-CN"/>
              </w:rPr>
            </w:pPr>
            <w:r>
              <w:rPr>
                <w:rFonts w:hint="eastAsia"/>
                <w:lang w:val="en-US" w:eastAsia="zh-CN"/>
              </w:rPr>
              <w:t>序号</w:t>
            </w:r>
          </w:p>
        </w:tc>
        <w:tc>
          <w:tcPr>
            <w:tcW w:w="927" w:type="pct"/>
            <w:shd w:val="clear" w:color="auto" w:fill="auto"/>
            <w:noWrap/>
            <w:vAlign w:val="center"/>
          </w:tcPr>
          <w:p w14:paraId="02D7B7EB">
            <w:pPr>
              <w:pStyle w:val="100"/>
              <w:bidi w:val="0"/>
              <w:rPr>
                <w:lang w:val="en-US" w:eastAsia="zh-CN"/>
              </w:rPr>
            </w:pPr>
            <w:r>
              <w:rPr>
                <w:rFonts w:hint="eastAsia"/>
                <w:lang w:val="en-US" w:eastAsia="zh-CN"/>
              </w:rPr>
              <w:t>工程名称</w:t>
            </w:r>
          </w:p>
        </w:tc>
        <w:tc>
          <w:tcPr>
            <w:tcW w:w="838" w:type="pct"/>
            <w:shd w:val="clear" w:color="auto" w:fill="auto"/>
            <w:noWrap/>
            <w:vAlign w:val="center"/>
          </w:tcPr>
          <w:p w14:paraId="51D5F3B0">
            <w:pPr>
              <w:pStyle w:val="100"/>
              <w:bidi w:val="0"/>
              <w:rPr>
                <w:lang w:val="en-US" w:eastAsia="zh-CN"/>
              </w:rPr>
            </w:pPr>
            <w:r>
              <w:rPr>
                <w:rFonts w:hint="eastAsia"/>
                <w:lang w:val="en-US" w:eastAsia="zh-CN"/>
              </w:rPr>
              <w:t>监测点个数（个）</w:t>
            </w:r>
          </w:p>
        </w:tc>
        <w:tc>
          <w:tcPr>
            <w:tcW w:w="1023" w:type="pct"/>
            <w:shd w:val="clear" w:color="auto" w:fill="auto"/>
            <w:noWrap/>
            <w:vAlign w:val="center"/>
          </w:tcPr>
          <w:p w14:paraId="0FCF5587">
            <w:pPr>
              <w:pStyle w:val="100"/>
              <w:bidi w:val="0"/>
              <w:rPr>
                <w:lang w:val="en-US" w:eastAsia="zh-CN"/>
              </w:rPr>
            </w:pPr>
            <w:r>
              <w:rPr>
                <w:rFonts w:hint="eastAsia"/>
                <w:lang w:val="en-US" w:eastAsia="zh-CN"/>
              </w:rPr>
              <w:t>监测频率（次/年）</w:t>
            </w:r>
          </w:p>
        </w:tc>
        <w:tc>
          <w:tcPr>
            <w:tcW w:w="883" w:type="pct"/>
            <w:shd w:val="clear" w:color="auto" w:fill="auto"/>
            <w:noWrap/>
            <w:vAlign w:val="center"/>
          </w:tcPr>
          <w:p w14:paraId="2F451FFE">
            <w:pPr>
              <w:pStyle w:val="100"/>
              <w:bidi w:val="0"/>
              <w:rPr>
                <w:lang w:val="en-US" w:eastAsia="zh-CN"/>
              </w:rPr>
            </w:pPr>
            <w:r>
              <w:rPr>
                <w:rFonts w:hint="eastAsia"/>
                <w:lang w:val="en-US" w:eastAsia="zh-CN"/>
              </w:rPr>
              <w:t>监测年限（年）</w:t>
            </w:r>
          </w:p>
        </w:tc>
        <w:tc>
          <w:tcPr>
            <w:tcW w:w="992" w:type="pct"/>
            <w:shd w:val="clear" w:color="auto" w:fill="auto"/>
            <w:noWrap/>
            <w:vAlign w:val="center"/>
          </w:tcPr>
          <w:p w14:paraId="0E201B91">
            <w:pPr>
              <w:pStyle w:val="100"/>
              <w:bidi w:val="0"/>
              <w:rPr>
                <w:lang w:val="en-US" w:eastAsia="zh-CN"/>
              </w:rPr>
            </w:pPr>
            <w:r>
              <w:rPr>
                <w:lang w:val="en-US" w:eastAsia="zh-CN"/>
              </w:rPr>
              <w:t>监测工程量</w:t>
            </w:r>
            <w:r>
              <w:rPr>
                <w:rFonts w:hint="eastAsia"/>
                <w:lang w:val="en-US" w:eastAsia="zh-CN"/>
              </w:rPr>
              <w:t>（次）</w:t>
            </w:r>
          </w:p>
        </w:tc>
      </w:tr>
      <w:tr w14:paraId="5E0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shd w:val="clear" w:color="auto" w:fill="auto"/>
            <w:noWrap/>
            <w:vAlign w:val="center"/>
          </w:tcPr>
          <w:p w14:paraId="713C8496">
            <w:pPr>
              <w:pStyle w:val="100"/>
              <w:bidi w:val="0"/>
              <w:rPr>
                <w:lang w:val="en-US" w:eastAsia="zh-CN"/>
              </w:rPr>
            </w:pPr>
            <w:r>
              <w:rPr>
                <w:rFonts w:hint="eastAsia"/>
                <w:lang w:val="en-US" w:eastAsia="zh-CN"/>
              </w:rPr>
              <w:t>1</w:t>
            </w:r>
          </w:p>
        </w:tc>
        <w:tc>
          <w:tcPr>
            <w:tcW w:w="927" w:type="pct"/>
            <w:shd w:val="clear" w:color="auto" w:fill="auto"/>
            <w:noWrap/>
            <w:vAlign w:val="center"/>
          </w:tcPr>
          <w:p w14:paraId="7576BC75">
            <w:pPr>
              <w:pStyle w:val="100"/>
              <w:bidi w:val="0"/>
              <w:rPr>
                <w:lang w:val="en-US" w:eastAsia="zh-CN"/>
              </w:rPr>
            </w:pPr>
            <w:r>
              <w:rPr>
                <w:rFonts w:hint="eastAsia"/>
                <w:lang w:val="en-US" w:eastAsia="zh-CN"/>
              </w:rPr>
              <w:t>损毁情况监测</w:t>
            </w:r>
          </w:p>
        </w:tc>
        <w:tc>
          <w:tcPr>
            <w:tcW w:w="838" w:type="pct"/>
            <w:shd w:val="clear" w:color="auto" w:fill="auto"/>
            <w:noWrap/>
            <w:vAlign w:val="center"/>
          </w:tcPr>
          <w:p w14:paraId="44E649B2">
            <w:pPr>
              <w:pStyle w:val="100"/>
              <w:bidi w:val="0"/>
              <w:rPr>
                <w:rFonts w:hint="default"/>
                <w:lang w:val="en-US" w:eastAsia="zh-CN"/>
              </w:rPr>
            </w:pPr>
            <w:r>
              <w:rPr>
                <w:rFonts w:hint="eastAsia"/>
                <w:lang w:val="en-US" w:eastAsia="zh-CN"/>
              </w:rPr>
              <w:t>2</w:t>
            </w:r>
          </w:p>
        </w:tc>
        <w:tc>
          <w:tcPr>
            <w:tcW w:w="1023" w:type="pct"/>
            <w:shd w:val="clear" w:color="auto" w:fill="auto"/>
            <w:noWrap/>
            <w:vAlign w:val="center"/>
          </w:tcPr>
          <w:p w14:paraId="2AE93526">
            <w:pPr>
              <w:pStyle w:val="100"/>
              <w:bidi w:val="0"/>
              <w:rPr>
                <w:rFonts w:hint="eastAsia" w:eastAsia="仿宋_GB2312"/>
                <w:lang w:val="en-US" w:eastAsia="zh-CN"/>
              </w:rPr>
            </w:pPr>
            <w:r>
              <w:rPr>
                <w:rFonts w:hint="eastAsia"/>
                <w:lang w:val="en-US" w:eastAsia="zh-CN"/>
              </w:rPr>
              <w:t>2</w:t>
            </w:r>
          </w:p>
        </w:tc>
        <w:tc>
          <w:tcPr>
            <w:tcW w:w="883" w:type="pct"/>
            <w:shd w:val="clear" w:color="auto" w:fill="auto"/>
            <w:noWrap/>
            <w:vAlign w:val="center"/>
          </w:tcPr>
          <w:p w14:paraId="44A1B245">
            <w:pPr>
              <w:pStyle w:val="100"/>
              <w:bidi w:val="0"/>
              <w:rPr>
                <w:rFonts w:hint="default"/>
                <w:lang w:val="en-US" w:eastAsia="zh-CN"/>
              </w:rPr>
            </w:pPr>
            <w:r>
              <w:rPr>
                <w:rFonts w:hint="eastAsia"/>
                <w:lang w:val="en-US" w:eastAsia="zh-CN"/>
              </w:rPr>
              <w:t>2</w:t>
            </w:r>
          </w:p>
        </w:tc>
        <w:tc>
          <w:tcPr>
            <w:tcW w:w="992" w:type="pct"/>
            <w:shd w:val="clear" w:color="auto" w:fill="auto"/>
            <w:noWrap/>
            <w:vAlign w:val="center"/>
          </w:tcPr>
          <w:p w14:paraId="6B396A63">
            <w:pPr>
              <w:pStyle w:val="100"/>
              <w:bidi w:val="0"/>
              <w:rPr>
                <w:rFonts w:hint="default"/>
                <w:lang w:val="en-US" w:eastAsia="zh-CN"/>
              </w:rPr>
            </w:pPr>
            <w:r>
              <w:rPr>
                <w:rFonts w:hint="eastAsia"/>
                <w:lang w:val="en-US" w:eastAsia="zh-CN"/>
              </w:rPr>
              <w:t>8</w:t>
            </w:r>
          </w:p>
        </w:tc>
      </w:tr>
      <w:tr w14:paraId="1BAC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2" w:type="pct"/>
            <w:gridSpan w:val="2"/>
            <w:shd w:val="clear" w:color="auto" w:fill="auto"/>
            <w:noWrap/>
            <w:vAlign w:val="center"/>
          </w:tcPr>
          <w:p w14:paraId="412EA709">
            <w:pPr>
              <w:pStyle w:val="100"/>
              <w:bidi w:val="0"/>
              <w:rPr>
                <w:lang w:val="en-US" w:eastAsia="zh-CN"/>
              </w:rPr>
            </w:pPr>
            <w:r>
              <w:rPr>
                <w:rFonts w:hint="eastAsia"/>
                <w:lang w:val="en-US" w:eastAsia="zh-CN"/>
              </w:rPr>
              <w:t>合计</w:t>
            </w:r>
          </w:p>
        </w:tc>
        <w:tc>
          <w:tcPr>
            <w:tcW w:w="838" w:type="pct"/>
            <w:shd w:val="clear" w:color="auto" w:fill="auto"/>
            <w:noWrap/>
            <w:vAlign w:val="center"/>
          </w:tcPr>
          <w:p w14:paraId="0769582C">
            <w:pPr>
              <w:pStyle w:val="100"/>
              <w:bidi w:val="0"/>
              <w:rPr>
                <w:lang w:val="en-US" w:eastAsia="zh-CN"/>
              </w:rPr>
            </w:pPr>
            <w:r>
              <w:rPr>
                <w:rFonts w:hint="eastAsia"/>
                <w:lang w:val="en-US" w:eastAsia="zh-CN"/>
              </w:rPr>
              <w:t>-</w:t>
            </w:r>
          </w:p>
        </w:tc>
        <w:tc>
          <w:tcPr>
            <w:tcW w:w="1023" w:type="pct"/>
            <w:shd w:val="clear" w:color="auto" w:fill="auto"/>
            <w:noWrap/>
            <w:vAlign w:val="center"/>
          </w:tcPr>
          <w:p w14:paraId="7FB61FA6">
            <w:pPr>
              <w:pStyle w:val="100"/>
              <w:bidi w:val="0"/>
              <w:rPr>
                <w:lang w:val="en-US" w:eastAsia="zh-CN"/>
              </w:rPr>
            </w:pPr>
            <w:r>
              <w:rPr>
                <w:rFonts w:hint="eastAsia"/>
                <w:lang w:val="en-US" w:eastAsia="zh-CN"/>
              </w:rPr>
              <w:t>-</w:t>
            </w:r>
          </w:p>
        </w:tc>
        <w:tc>
          <w:tcPr>
            <w:tcW w:w="883" w:type="pct"/>
            <w:shd w:val="clear" w:color="auto" w:fill="auto"/>
            <w:noWrap/>
            <w:vAlign w:val="center"/>
          </w:tcPr>
          <w:p w14:paraId="3029F147">
            <w:pPr>
              <w:pStyle w:val="100"/>
              <w:bidi w:val="0"/>
              <w:rPr>
                <w:lang w:val="en-US" w:eastAsia="zh-CN"/>
              </w:rPr>
            </w:pPr>
            <w:r>
              <w:rPr>
                <w:rFonts w:hint="eastAsia"/>
                <w:lang w:val="en-US" w:eastAsia="zh-CN"/>
              </w:rPr>
              <w:t>-</w:t>
            </w:r>
          </w:p>
        </w:tc>
        <w:tc>
          <w:tcPr>
            <w:tcW w:w="992" w:type="pct"/>
            <w:shd w:val="clear" w:color="auto" w:fill="auto"/>
            <w:noWrap/>
            <w:vAlign w:val="center"/>
          </w:tcPr>
          <w:p w14:paraId="7BA3CAB5">
            <w:pPr>
              <w:pStyle w:val="100"/>
              <w:bidi w:val="0"/>
              <w:rPr>
                <w:rFonts w:hint="default"/>
                <w:lang w:val="en-US" w:eastAsia="zh-CN"/>
              </w:rPr>
            </w:pPr>
            <w:r>
              <w:rPr>
                <w:rFonts w:hint="eastAsia"/>
                <w:lang w:val="en-US" w:eastAsia="zh-CN"/>
              </w:rPr>
              <w:t>8</w:t>
            </w:r>
          </w:p>
        </w:tc>
      </w:tr>
    </w:tbl>
    <w:p w14:paraId="21C06D2B">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6.2.</w:t>
      </w:r>
      <w:r>
        <w:rPr>
          <w:rFonts w:hint="eastAsia" w:eastAsia="黑体" w:cs="Times New Roman"/>
          <w:bCs/>
          <w:color w:val="000000"/>
          <w:sz w:val="28"/>
          <w:szCs w:val="28"/>
          <w:lang w:val="en-US" w:eastAsia="zh-CN"/>
        </w:rPr>
        <w:t>3</w:t>
      </w:r>
      <w:r>
        <w:rPr>
          <w:rFonts w:ascii="Times New Roman" w:hAnsi="Times New Roman" w:eastAsia="黑体" w:cs="Times New Roman"/>
          <w:bCs/>
          <w:color w:val="000000"/>
          <w:sz w:val="28"/>
          <w:szCs w:val="28"/>
        </w:rPr>
        <w:t>管护工程量</w:t>
      </w:r>
      <w:bookmarkEnd w:id="184"/>
      <w:bookmarkEnd w:id="185"/>
    </w:p>
    <w:p w14:paraId="44F05803">
      <w:pPr>
        <w:spacing w:line="360" w:lineRule="auto"/>
        <w:ind w:firstLine="480" w:firstLineChars="200"/>
        <w:textAlignment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本方案不涉及管护工程。</w:t>
      </w:r>
    </w:p>
    <w:p w14:paraId="2A282785">
      <w:pPr>
        <w:keepNext/>
        <w:keepLines/>
        <w:tabs>
          <w:tab w:val="left" w:pos="5640"/>
        </w:tabs>
        <w:adjustRightInd w:val="0"/>
        <w:snapToGrid w:val="0"/>
        <w:spacing w:before="120" w:beforeLines="50" w:after="120" w:afterLines="50" w:line="500" w:lineRule="exact"/>
        <w:ind w:firstLine="56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6.2.</w:t>
      </w:r>
      <w:r>
        <w:rPr>
          <w:rFonts w:hint="eastAsia" w:eastAsia="黑体" w:cs="Times New Roman"/>
          <w:bCs/>
          <w:color w:val="000000"/>
          <w:sz w:val="28"/>
          <w:szCs w:val="28"/>
          <w:lang w:val="en-US" w:eastAsia="zh-CN"/>
        </w:rPr>
        <w:t>4</w:t>
      </w:r>
      <w:r>
        <w:rPr>
          <w:rFonts w:ascii="Times New Roman" w:hAnsi="Times New Roman" w:eastAsia="黑体" w:cs="Times New Roman"/>
          <w:bCs/>
          <w:color w:val="000000"/>
          <w:sz w:val="28"/>
          <w:szCs w:val="28"/>
        </w:rPr>
        <w:t>各复垦单元工程量汇总</w:t>
      </w:r>
    </w:p>
    <w:p w14:paraId="43F76711">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各</w:t>
      </w:r>
      <w:r>
        <w:rPr>
          <w:rFonts w:hint="eastAsia" w:ascii="Times New Roman" w:hAnsi="Times New Roman" w:eastAsia="仿宋_GB2312" w:cs="Times New Roman"/>
          <w:color w:val="000000"/>
          <w:sz w:val="24"/>
          <w:szCs w:val="24"/>
        </w:rPr>
        <w:t>复垦</w:t>
      </w:r>
      <w:r>
        <w:rPr>
          <w:rFonts w:ascii="Times New Roman" w:hAnsi="Times New Roman" w:eastAsia="仿宋_GB2312" w:cs="Times New Roman"/>
          <w:color w:val="000000"/>
          <w:sz w:val="24"/>
          <w:szCs w:val="24"/>
        </w:rPr>
        <w:t>单元工程量汇总见表6.2-</w:t>
      </w:r>
      <w:r>
        <w:rPr>
          <w:rFonts w:hint="eastAsia" w:ascii="Times New Roman" w:hAnsi="Times New Roman" w:cs="Times New Roman"/>
          <w:color w:val="000000"/>
          <w:sz w:val="24"/>
          <w:szCs w:val="24"/>
          <w:lang w:val="en-US" w:eastAsia="zh-CN"/>
        </w:rPr>
        <w:t>3</w:t>
      </w:r>
      <w:r>
        <w:rPr>
          <w:rFonts w:ascii="Times New Roman" w:hAnsi="Times New Roman" w:eastAsia="仿宋_GB2312" w:cs="Times New Roman"/>
          <w:color w:val="000000"/>
          <w:sz w:val="24"/>
          <w:szCs w:val="24"/>
        </w:rPr>
        <w:t>。</w:t>
      </w:r>
    </w:p>
    <w:p w14:paraId="0ABEDEC6">
      <w:pPr>
        <w:pStyle w:val="22"/>
        <w:bidi w:val="0"/>
      </w:pPr>
      <w:r>
        <w:rPr>
          <w:rFonts w:hint="default"/>
        </w:rPr>
        <w:t>6</w:t>
      </w:r>
      <w:r>
        <w:rPr>
          <w:rFonts w:hint="default"/>
          <w:lang w:val="en-US" w:eastAsia="zh-CN"/>
        </w:rPr>
        <w:t>.2</w:t>
      </w:r>
      <w:r>
        <w:rPr>
          <w:rFonts w:hint="default"/>
        </w:rPr>
        <w:t>-</w:t>
      </w:r>
      <w:r>
        <w:rPr>
          <w:rFonts w:hint="default"/>
          <w:lang w:val="en-US" w:eastAsia="zh-CN"/>
        </w:rPr>
        <w:t>3</w:t>
      </w:r>
      <w:r>
        <w:rPr>
          <w:rFonts w:hint="default"/>
        </w:rPr>
        <w:t xml:space="preserve">  临时用地项目复垦单元工程量汇总表</w:t>
      </w:r>
    </w:p>
    <w:tbl>
      <w:tblPr>
        <w:tblStyle w:val="88"/>
        <w:tblW w:w="4996" w:type="pct"/>
        <w:tblInd w:w="0" w:type="dxa"/>
        <w:tblLayout w:type="autofit"/>
        <w:tblCellMar>
          <w:top w:w="0" w:type="dxa"/>
          <w:left w:w="108" w:type="dxa"/>
          <w:bottom w:w="0" w:type="dxa"/>
          <w:right w:w="108" w:type="dxa"/>
        </w:tblCellMar>
      </w:tblPr>
      <w:tblGrid>
        <w:gridCol w:w="1316"/>
        <w:gridCol w:w="3813"/>
        <w:gridCol w:w="2048"/>
        <w:gridCol w:w="2102"/>
      </w:tblGrid>
      <w:tr w14:paraId="26863E7B">
        <w:trPr>
          <w:trHeight w:val="270" w:hRule="atLeast"/>
          <w:tblHeader/>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8AED">
            <w:pPr>
              <w:pStyle w:val="100"/>
              <w:bidi w:val="0"/>
              <w:rPr>
                <w:rFonts w:hint="eastAsia"/>
              </w:rPr>
            </w:pPr>
            <w:r>
              <w:rPr>
                <w:rFonts w:hint="eastAsia"/>
              </w:rPr>
              <w:t>序号</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58A7">
            <w:pPr>
              <w:pStyle w:val="100"/>
              <w:bidi w:val="0"/>
              <w:rPr>
                <w:rFonts w:hint="eastAsia"/>
                <w:lang w:eastAsia="zh-CN"/>
              </w:rPr>
            </w:pPr>
            <w:r>
              <w:rPr>
                <w:rFonts w:hint="eastAsia"/>
                <w:lang w:eastAsia="zh-CN"/>
              </w:rPr>
              <w:t>单项名称</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0BF4">
            <w:pPr>
              <w:pStyle w:val="100"/>
              <w:bidi w:val="0"/>
              <w:rPr>
                <w:rFonts w:hint="eastAsia"/>
                <w:lang w:eastAsia="zh-CN"/>
              </w:rPr>
            </w:pPr>
            <w:r>
              <w:rPr>
                <w:rFonts w:hint="eastAsia"/>
                <w:lang w:eastAsia="zh-CN"/>
              </w:rPr>
              <w:t>单位</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DE90">
            <w:pPr>
              <w:pStyle w:val="100"/>
              <w:bidi w:val="0"/>
              <w:rPr>
                <w:rFonts w:hint="eastAsia"/>
                <w:lang w:eastAsia="zh-CN"/>
              </w:rPr>
            </w:pPr>
            <w:r>
              <w:rPr>
                <w:rFonts w:hint="eastAsia"/>
                <w:lang w:eastAsia="zh-CN"/>
              </w:rPr>
              <w:t>工程量</w:t>
            </w:r>
          </w:p>
        </w:tc>
      </w:tr>
      <w:tr w14:paraId="159CC90C">
        <w:tblPrEx>
          <w:tblCellMar>
            <w:top w:w="0" w:type="dxa"/>
            <w:left w:w="108" w:type="dxa"/>
            <w:bottom w:w="0" w:type="dxa"/>
            <w:right w:w="108" w:type="dxa"/>
          </w:tblCellMar>
        </w:tblPrEx>
        <w:trPr>
          <w:trHeight w:val="27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B6CB">
            <w:pPr>
              <w:pStyle w:val="100"/>
              <w:bidi w:val="0"/>
              <w:rPr>
                <w:rFonts w:hint="eastAsia"/>
              </w:rPr>
            </w:pPr>
            <w:r>
              <w:rPr>
                <w:rFonts w:hint="eastAsia"/>
              </w:rPr>
              <w:t>一</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041C">
            <w:pPr>
              <w:pStyle w:val="100"/>
              <w:bidi w:val="0"/>
              <w:rPr>
                <w:rFonts w:hint="eastAsia"/>
                <w:lang w:eastAsia="zh-CN"/>
              </w:rPr>
            </w:pPr>
            <w:r>
              <w:rPr>
                <w:rFonts w:hint="eastAsia"/>
                <w:lang w:eastAsia="zh-CN"/>
              </w:rPr>
              <w:t>项目区</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8405">
            <w:pPr>
              <w:pStyle w:val="100"/>
              <w:bidi w:val="0"/>
              <w:rPr>
                <w:rFonts w:hint="eastAsia"/>
                <w:lang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7F60">
            <w:pPr>
              <w:pStyle w:val="100"/>
              <w:bidi w:val="0"/>
              <w:rPr>
                <w:rFonts w:hint="eastAsia"/>
                <w:lang w:eastAsia="zh-CN"/>
              </w:rPr>
            </w:pPr>
          </w:p>
        </w:tc>
      </w:tr>
      <w:tr w14:paraId="6774723C">
        <w:tblPrEx>
          <w:tblCellMar>
            <w:top w:w="0" w:type="dxa"/>
            <w:left w:w="108" w:type="dxa"/>
            <w:bottom w:w="0" w:type="dxa"/>
            <w:right w:w="108" w:type="dxa"/>
          </w:tblCellMar>
        </w:tblPrEx>
        <w:trPr>
          <w:trHeight w:val="247"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0BEB">
            <w:pPr>
              <w:pStyle w:val="100"/>
              <w:bidi w:val="0"/>
              <w:rPr>
                <w:rFonts w:hint="eastAsia"/>
                <w:lang w:eastAsia="zh-CN"/>
              </w:rPr>
            </w:pPr>
            <w:r>
              <w:rPr>
                <w:rFonts w:hint="eastAsia"/>
                <w:lang w:val="en-US" w:eastAsia="zh-CN"/>
              </w:rPr>
              <w:t>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2D31">
            <w:pPr>
              <w:pStyle w:val="100"/>
              <w:bidi w:val="0"/>
              <w:rPr>
                <w:rFonts w:hint="eastAsia"/>
                <w:lang w:eastAsia="zh-CN"/>
              </w:rPr>
            </w:pPr>
            <w:r>
              <w:rPr>
                <w:rFonts w:hint="eastAsia"/>
                <w:lang w:eastAsia="zh-CN"/>
              </w:rPr>
              <w:t>平整工程</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4A252">
            <w:pPr>
              <w:pStyle w:val="100"/>
              <w:bidi w:val="0"/>
              <w:rPr>
                <w:rFonts w:hint="eastAsia"/>
                <w:lang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F492">
            <w:pPr>
              <w:pStyle w:val="100"/>
              <w:bidi w:val="0"/>
              <w:rPr>
                <w:rFonts w:hint="eastAsia"/>
                <w:lang w:eastAsia="zh-CN"/>
              </w:rPr>
            </w:pPr>
          </w:p>
        </w:tc>
      </w:tr>
      <w:tr w14:paraId="5C507D7F">
        <w:trPr>
          <w:trHeight w:val="273"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7353">
            <w:pPr>
              <w:pStyle w:val="100"/>
              <w:bidi w:val="0"/>
              <w:rPr>
                <w:rFonts w:hint="eastAsia"/>
              </w:rPr>
            </w:pPr>
            <w:r>
              <w:rPr>
                <w:rFonts w:hint="eastAsia"/>
                <w:lang w:val="en-US" w:eastAsia="zh-CN"/>
              </w:rPr>
              <w:t>1</w:t>
            </w:r>
            <w:r>
              <w:rPr>
                <w:rFonts w:hint="eastAsia"/>
              </w:rPr>
              <w:t>.1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9AD22">
            <w:pPr>
              <w:pStyle w:val="100"/>
              <w:bidi w:val="0"/>
              <w:rPr>
                <w:rFonts w:hint="eastAsia"/>
                <w:lang w:eastAsia="zh-CN"/>
              </w:rPr>
            </w:pPr>
            <w:r>
              <w:rPr>
                <w:rFonts w:hint="eastAsia"/>
                <w:lang w:eastAsia="zh-CN"/>
              </w:rPr>
              <w:t>土地平整</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86EC">
            <w:pPr>
              <w:pStyle w:val="100"/>
              <w:bidi w:val="0"/>
              <w:rPr>
                <w:rFonts w:hint="eastAsia"/>
                <w:lang w:eastAsia="zh-CN"/>
              </w:rPr>
            </w:pPr>
            <w:r>
              <w:rPr>
                <w:rFonts w:hint="eastAsia"/>
                <w:lang w:val="en-US" w:eastAsia="zh-CN"/>
              </w:rPr>
              <w:t>100</w:t>
            </w:r>
            <w:r>
              <w:rPr>
                <w:rFonts w:hint="eastAsia"/>
                <w:lang w:eastAsia="zh-CN"/>
              </w:rPr>
              <w:t>m</w:t>
            </w:r>
            <w:r>
              <w:rPr>
                <w:rFonts w:hint="eastAsia"/>
                <w:vertAlign w:val="superscript"/>
                <w:lang w:val="en-US" w:eastAsia="zh-CN"/>
              </w:rPr>
              <w:t>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137544">
            <w:pPr>
              <w:pStyle w:val="100"/>
              <w:bidi w:val="0"/>
              <w:rPr>
                <w:rFonts w:hint="default"/>
                <w:lang w:val="en-US" w:eastAsia="zh-CN"/>
              </w:rPr>
            </w:pPr>
            <w:r>
              <w:rPr>
                <w:rFonts w:hint="eastAsia"/>
                <w:lang w:val="en-US" w:eastAsia="zh-CN"/>
              </w:rPr>
              <w:t>39.296</w:t>
            </w:r>
          </w:p>
        </w:tc>
      </w:tr>
      <w:tr w14:paraId="2EACE022">
        <w:tblPrEx>
          <w:tblCellMar>
            <w:top w:w="0" w:type="dxa"/>
            <w:left w:w="108" w:type="dxa"/>
            <w:bottom w:w="0" w:type="dxa"/>
            <w:right w:w="108" w:type="dxa"/>
          </w:tblCellMar>
        </w:tblPrEx>
        <w:trPr>
          <w:trHeight w:val="27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2FBE">
            <w:pPr>
              <w:pStyle w:val="100"/>
              <w:bidi w:val="0"/>
              <w:rPr>
                <w:rFonts w:hint="default"/>
                <w:lang w:val="en-US" w:eastAsia="zh-CN"/>
              </w:rPr>
            </w:pPr>
            <w:r>
              <w:rPr>
                <w:rFonts w:hint="eastAsia"/>
                <w:lang w:val="en-US" w:eastAsia="zh-CN"/>
              </w:rPr>
              <w:t>2</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D50A">
            <w:pPr>
              <w:pStyle w:val="100"/>
              <w:bidi w:val="0"/>
              <w:rPr>
                <w:rFonts w:hint="default"/>
                <w:lang w:val="en-US" w:eastAsia="zh-CN"/>
              </w:rPr>
            </w:pPr>
            <w:r>
              <w:rPr>
                <w:rFonts w:hint="eastAsia"/>
                <w:lang w:val="en-US" w:eastAsia="zh-CN"/>
              </w:rPr>
              <w:t>监测工程</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71CA">
            <w:pPr>
              <w:pStyle w:val="100"/>
              <w:bidi w:val="0"/>
              <w:rPr>
                <w:rFonts w:hint="default"/>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525F">
            <w:pPr>
              <w:pStyle w:val="100"/>
              <w:bidi w:val="0"/>
              <w:rPr>
                <w:rFonts w:hint="eastAsia"/>
                <w:lang w:val="en-US" w:eastAsia="zh-CN"/>
              </w:rPr>
            </w:pPr>
          </w:p>
        </w:tc>
      </w:tr>
      <w:tr w14:paraId="1C54723E">
        <w:tblPrEx>
          <w:tblCellMar>
            <w:top w:w="0" w:type="dxa"/>
            <w:left w:w="108" w:type="dxa"/>
            <w:bottom w:w="0" w:type="dxa"/>
            <w:right w:w="108" w:type="dxa"/>
          </w:tblCellMar>
        </w:tblPrEx>
        <w:trPr>
          <w:trHeight w:val="27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19DB">
            <w:pPr>
              <w:pStyle w:val="100"/>
              <w:bidi w:val="0"/>
              <w:rPr>
                <w:rFonts w:hint="default"/>
                <w:lang w:val="en-US" w:eastAsia="zh-CN"/>
              </w:rPr>
            </w:pPr>
            <w:r>
              <w:rPr>
                <w:rFonts w:hint="eastAsia"/>
                <w:lang w:val="en-US" w:eastAsia="zh-CN"/>
              </w:rPr>
              <w:t>2.1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3385">
            <w:pPr>
              <w:pStyle w:val="100"/>
              <w:bidi w:val="0"/>
              <w:rPr>
                <w:rFonts w:hint="eastAsia"/>
                <w:lang w:val="en-US" w:eastAsia="zh-CN"/>
              </w:rPr>
            </w:pPr>
            <w:r>
              <w:rPr>
                <w:rFonts w:hint="eastAsia"/>
                <w:lang w:val="en-US" w:eastAsia="zh-CN"/>
              </w:rPr>
              <w:t>损毁情况监测</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5948">
            <w:pPr>
              <w:pStyle w:val="100"/>
              <w:bidi w:val="0"/>
              <w:rPr>
                <w:rFonts w:hint="eastAsia"/>
                <w:lang w:val="en-US" w:eastAsia="zh-CN"/>
              </w:rPr>
            </w:pPr>
            <w:r>
              <w:rPr>
                <w:rFonts w:hint="eastAsia"/>
                <w:lang w:val="en-US" w:eastAsia="zh-CN"/>
              </w:rPr>
              <w:t>次</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53CA">
            <w:pPr>
              <w:pStyle w:val="100"/>
              <w:bidi w:val="0"/>
              <w:rPr>
                <w:rFonts w:hint="default"/>
                <w:lang w:val="en-US" w:eastAsia="zh-CN"/>
              </w:rPr>
            </w:pPr>
            <w:r>
              <w:rPr>
                <w:rFonts w:hint="eastAsia"/>
                <w:lang w:val="en-US" w:eastAsia="zh-CN"/>
              </w:rPr>
              <w:t>8</w:t>
            </w:r>
          </w:p>
        </w:tc>
      </w:tr>
    </w:tbl>
    <w:p w14:paraId="236421F4">
      <w:pPr>
        <w:spacing w:before="120" w:beforeLines="50" w:line="500" w:lineRule="exact"/>
        <w:ind w:firstLine="480" w:firstLineChars="200"/>
        <w:jc w:val="center"/>
        <w:rPr>
          <w:rFonts w:ascii="Times New Roman" w:hAnsi="Times New Roman" w:eastAsia="黑体" w:cs="Times New Roman"/>
          <w:color w:val="000000"/>
          <w:sz w:val="24"/>
          <w:szCs w:val="21"/>
        </w:rPr>
        <w:sectPr>
          <w:pgSz w:w="11906" w:h="16838"/>
          <w:pgMar w:top="1418" w:right="1418" w:bottom="1701" w:left="1418" w:header="851" w:footer="992" w:gutter="0"/>
          <w:pgNumType w:fmt="decimal"/>
          <w:cols w:space="720" w:num="1"/>
          <w:docGrid w:linePitch="326" w:charSpace="0"/>
        </w:sectPr>
      </w:pPr>
    </w:p>
    <w:bookmarkEnd w:id="140"/>
    <w:bookmarkEnd w:id="141"/>
    <w:bookmarkEnd w:id="142"/>
    <w:bookmarkEnd w:id="143"/>
    <w:bookmarkEnd w:id="144"/>
    <w:p w14:paraId="5B05B537">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186" w:name="_Toc323225501"/>
      <w:bookmarkStart w:id="187" w:name="_Toc272330992"/>
      <w:bookmarkStart w:id="188" w:name="_Toc12235"/>
      <w:bookmarkStart w:id="189" w:name="_Toc402958208"/>
      <w:bookmarkStart w:id="190" w:name="_Toc32766"/>
      <w:bookmarkStart w:id="191" w:name="_Toc384129345"/>
      <w:bookmarkStart w:id="192" w:name="_Toc260918504"/>
      <w:r>
        <w:rPr>
          <w:rFonts w:ascii="Times New Roman" w:hAnsi="Times New Roman" w:eastAsia="黑体" w:cs="Times New Roman"/>
          <w:color w:val="000000"/>
          <w:sz w:val="32"/>
          <w:szCs w:val="32"/>
        </w:rPr>
        <w:t>7 土地复垦投资估算</w:t>
      </w:r>
      <w:bookmarkEnd w:id="145"/>
      <w:bookmarkEnd w:id="146"/>
      <w:bookmarkEnd w:id="147"/>
      <w:bookmarkEnd w:id="148"/>
      <w:bookmarkEnd w:id="186"/>
      <w:bookmarkEnd w:id="187"/>
      <w:bookmarkEnd w:id="188"/>
      <w:bookmarkEnd w:id="189"/>
      <w:bookmarkEnd w:id="190"/>
      <w:bookmarkEnd w:id="191"/>
      <w:bookmarkEnd w:id="192"/>
    </w:p>
    <w:p w14:paraId="6067DE65">
      <w:pPr>
        <w:keepNext/>
        <w:keepLines/>
        <w:numPr>
          <w:ilvl w:val="1"/>
          <w:numId w:val="0"/>
        </w:numPr>
        <w:tabs>
          <w:tab w:val="left" w:pos="5640"/>
        </w:tabs>
        <w:snapToGrid w:val="0"/>
        <w:spacing w:before="120" w:beforeLines="50" w:after="120" w:afterLines="50" w:line="360" w:lineRule="auto"/>
        <w:jc w:val="left"/>
        <w:outlineLvl w:val="1"/>
        <w:rPr>
          <w:rFonts w:ascii="Times New Roman" w:hAnsi="Times New Roman" w:eastAsia="黑体" w:cs="Times New Roman"/>
          <w:color w:val="000000"/>
          <w:sz w:val="30"/>
          <w:szCs w:val="28"/>
        </w:rPr>
      </w:pPr>
      <w:bookmarkStart w:id="193" w:name="_Toc28803"/>
      <w:bookmarkStart w:id="194" w:name="_Toc323225502"/>
      <w:bookmarkStart w:id="195" w:name="_Toc242845579"/>
      <w:bookmarkStart w:id="196" w:name="_Toc247964578"/>
      <w:bookmarkStart w:id="197" w:name="_Toc205788752"/>
      <w:bookmarkStart w:id="198" w:name="_Toc172786440"/>
      <w:bookmarkStart w:id="199" w:name="_Toc24134"/>
      <w:bookmarkStart w:id="200" w:name="_Toc169564210"/>
      <w:bookmarkStart w:id="201" w:name="_Toc260918505"/>
      <w:bookmarkStart w:id="202" w:name="_Toc228761355"/>
      <w:bookmarkStart w:id="203" w:name="_Toc402958209"/>
      <w:bookmarkStart w:id="204" w:name="_Toc169241184"/>
      <w:bookmarkStart w:id="205" w:name="_Toc384129346"/>
      <w:bookmarkStart w:id="206" w:name="_Toc234999495"/>
      <w:bookmarkStart w:id="207" w:name="_Toc272330993"/>
      <w:r>
        <w:rPr>
          <w:rFonts w:ascii="Times New Roman" w:hAnsi="Times New Roman" w:eastAsia="黑体" w:cs="Times New Roman"/>
          <w:color w:val="000000"/>
          <w:sz w:val="30"/>
          <w:szCs w:val="28"/>
        </w:rPr>
        <w:t>7.1 估算说明</w:t>
      </w:r>
      <w:bookmarkEnd w:id="193"/>
    </w:p>
    <w:p w14:paraId="7674EBF3">
      <w:pPr>
        <w:keepNext/>
        <w:keepLines/>
        <w:numPr>
          <w:ilvl w:val="2"/>
          <w:numId w:val="0"/>
        </w:numPr>
        <w:tabs>
          <w:tab w:val="left" w:pos="5640"/>
        </w:tabs>
        <w:snapToGrid w:val="0"/>
        <w:spacing w:line="360" w:lineRule="auto"/>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7.1.1 编制原则</w:t>
      </w:r>
    </w:p>
    <w:p w14:paraId="52D4C0A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a）符合国家有关的法律、法规规定；</w:t>
      </w:r>
    </w:p>
    <w:p w14:paraId="79EEC4B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b）土地复垦投资应进入工程总估算中；</w:t>
      </w:r>
    </w:p>
    <w:p w14:paraId="40FFC8D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c）工程建设与复垦措施同步设计、同步投资建设；</w:t>
      </w:r>
    </w:p>
    <w:p w14:paraId="5E0B54D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d）高起点、高标准原则；</w:t>
      </w:r>
    </w:p>
    <w:p w14:paraId="64ADEB56">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e）指导价与市场价相结合的原则；</w:t>
      </w:r>
    </w:p>
    <w:p w14:paraId="7B98CCBC">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f）科学、合理、高效的原则。</w:t>
      </w:r>
    </w:p>
    <w:p w14:paraId="29770823">
      <w:pPr>
        <w:keepNext/>
        <w:keepLines/>
        <w:numPr>
          <w:ilvl w:val="2"/>
          <w:numId w:val="0"/>
        </w:numPr>
        <w:tabs>
          <w:tab w:val="left" w:pos="5640"/>
        </w:tabs>
        <w:snapToGrid w:val="0"/>
        <w:spacing w:line="360" w:lineRule="auto"/>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7.1.2 编制依据</w:t>
      </w:r>
    </w:p>
    <w:p w14:paraId="5D7C796D">
      <w:pPr>
        <w:snapToGri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a）规范政策依据</w:t>
      </w:r>
    </w:p>
    <w:p w14:paraId="7A17570B">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1）《土地复垦方案编制规程》（TD/T1031.1-2011）；</w:t>
      </w:r>
    </w:p>
    <w:p w14:paraId="6A5D65BC">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2）财政部、国土资源部《土地开发整理项目预算编制规定》（2011）；</w:t>
      </w:r>
    </w:p>
    <w:p w14:paraId="6A890066">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3）国土资源部土地整理中心《土地复垦方案编制实务》（2011年）；</w:t>
      </w:r>
    </w:p>
    <w:p w14:paraId="0F3684C7">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4）《建设工程监理与相关服务收费管理规定》（发改价格</w:t>
      </w:r>
      <w:r>
        <w:rPr>
          <w:rFonts w:ascii="Times New Roman" w:hAnsi="Times New Roman" w:eastAsia="仿宋_GB2312" w:cs="Times New Roman"/>
          <w:color w:val="000000"/>
          <w:sz w:val="24"/>
          <w:szCs w:val="24"/>
          <w:shd w:val="clear" w:color="auto" w:fill="FFFFFF"/>
        </w:rPr>
        <w:t>〔2007〕670号</w:t>
      </w:r>
      <w:r>
        <w:rPr>
          <w:rFonts w:ascii="Times New Roman" w:hAnsi="Times New Roman" w:eastAsia="仿宋_GB2312" w:cs="Times New Roman"/>
          <w:color w:val="000000"/>
          <w:sz w:val="24"/>
          <w:szCs w:val="24"/>
        </w:rPr>
        <w:t>）；</w:t>
      </w:r>
    </w:p>
    <w:p w14:paraId="545A2D2A">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5）水利部《开发建设项目水土保持工程概（估）算编制规定》（2003年）；</w:t>
      </w:r>
    </w:p>
    <w:p w14:paraId="310473E9">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6）《水土保持工程概算定额》（水利部水总</w:t>
      </w:r>
      <w:r>
        <w:rPr>
          <w:rFonts w:ascii="Times New Roman" w:hAnsi="Times New Roman" w:eastAsia="仿宋_GB2312" w:cs="Times New Roman"/>
          <w:color w:val="000000"/>
          <w:sz w:val="24"/>
          <w:szCs w:val="24"/>
          <w:shd w:val="clear" w:color="auto" w:fill="FFFFFF"/>
        </w:rPr>
        <w:t>〔2003〕67号</w:t>
      </w:r>
      <w:r>
        <w:rPr>
          <w:rFonts w:ascii="Times New Roman" w:hAnsi="Times New Roman" w:eastAsia="仿宋_GB2312" w:cs="Times New Roman"/>
          <w:color w:val="000000"/>
          <w:sz w:val="24"/>
          <w:szCs w:val="24"/>
        </w:rPr>
        <w:t>）；</w:t>
      </w:r>
    </w:p>
    <w:p w14:paraId="31ED62C1">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7）《关于加强基本建设大中型项目概算中“价差预备费”管理的有关通知》（计投资</w:t>
      </w:r>
      <w:r>
        <w:rPr>
          <w:rFonts w:ascii="Times New Roman" w:hAnsi="Times New Roman" w:eastAsia="仿宋_GB2312" w:cs="Times New Roman"/>
          <w:color w:val="000000"/>
          <w:sz w:val="24"/>
          <w:szCs w:val="24"/>
          <w:shd w:val="clear" w:color="auto" w:fill="FFFFFF"/>
        </w:rPr>
        <w:t>〔1999〕</w:t>
      </w:r>
      <w:r>
        <w:rPr>
          <w:rFonts w:ascii="Times New Roman" w:hAnsi="Times New Roman" w:eastAsia="仿宋_GB2312" w:cs="Times New Roman"/>
          <w:color w:val="000000"/>
          <w:sz w:val="24"/>
          <w:szCs w:val="24"/>
        </w:rPr>
        <w:t>1340号）；</w:t>
      </w:r>
    </w:p>
    <w:p w14:paraId="65AC5E61">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8）《国土资源部办公厅关于印发土地整治工程营业税改增值税计价依据调整过渡实施方案的通知》国土资厅发</w:t>
      </w:r>
      <w:r>
        <w:rPr>
          <w:rFonts w:ascii="Times New Roman" w:hAnsi="Times New Roman" w:eastAsia="微软雅黑" w:cs="Times New Roman"/>
          <w:color w:val="000000"/>
          <w:sz w:val="24"/>
          <w:szCs w:val="24"/>
        </w:rPr>
        <w:t>﹝</w:t>
      </w:r>
      <w:r>
        <w:rPr>
          <w:rFonts w:ascii="Times New Roman" w:hAnsi="Times New Roman" w:eastAsia="仿宋_GB2312" w:cs="Times New Roman"/>
          <w:color w:val="000000"/>
          <w:sz w:val="24"/>
          <w:szCs w:val="24"/>
        </w:rPr>
        <w:t>2017</w:t>
      </w:r>
      <w:r>
        <w:rPr>
          <w:rFonts w:ascii="Times New Roman" w:hAnsi="Times New Roman" w:eastAsia="微软雅黑" w:cs="Times New Roman"/>
          <w:color w:val="000000"/>
          <w:sz w:val="24"/>
          <w:szCs w:val="24"/>
        </w:rPr>
        <w:t>﹞</w:t>
      </w:r>
      <w:r>
        <w:rPr>
          <w:rFonts w:ascii="Times New Roman" w:hAnsi="Times New Roman" w:eastAsia="仿宋_GB2312" w:cs="Times New Roman"/>
          <w:color w:val="000000"/>
          <w:sz w:val="24"/>
          <w:szCs w:val="24"/>
        </w:rPr>
        <w:t>19号；</w:t>
      </w:r>
    </w:p>
    <w:p w14:paraId="23092AB6">
      <w:pPr>
        <w:snapToGrid w:val="0"/>
        <w:spacing w:line="360" w:lineRule="auto"/>
        <w:ind w:firstLine="720" w:firstLineChars="3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9）关于调整我区建设工程计价依据增值税税率的通知（新建标</w:t>
      </w:r>
      <w:r>
        <w:rPr>
          <w:rFonts w:ascii="Times New Roman" w:hAnsi="Times New Roman" w:eastAsia="仿宋_GB2312" w:cs="Times New Roman"/>
          <w:bCs/>
          <w:color w:val="000000"/>
          <w:sz w:val="24"/>
          <w:szCs w:val="24"/>
        </w:rPr>
        <w:t>〔</w:t>
      </w:r>
      <w:r>
        <w:rPr>
          <w:rFonts w:ascii="Times New Roman" w:hAnsi="Times New Roman" w:eastAsia="仿宋_GB2312" w:cs="Times New Roman"/>
          <w:color w:val="000000"/>
          <w:sz w:val="24"/>
          <w:szCs w:val="24"/>
        </w:rPr>
        <w:t>2019</w:t>
      </w:r>
      <w:r>
        <w:rPr>
          <w:rFonts w:ascii="Times New Roman" w:hAnsi="Times New Roman" w:eastAsia="仿宋_GB2312" w:cs="Times New Roman"/>
          <w:bCs/>
          <w:color w:val="000000"/>
          <w:sz w:val="24"/>
          <w:szCs w:val="24"/>
        </w:rPr>
        <w:t>〕</w:t>
      </w:r>
      <w:r>
        <w:rPr>
          <w:rFonts w:ascii="Times New Roman" w:hAnsi="Times New Roman" w:eastAsia="仿宋_GB2312" w:cs="Times New Roman"/>
          <w:color w:val="000000"/>
          <w:sz w:val="24"/>
          <w:szCs w:val="24"/>
        </w:rPr>
        <w:t>4号）。</w:t>
      </w:r>
    </w:p>
    <w:p w14:paraId="1155A709">
      <w:pPr>
        <w:snapToGrid w:val="0"/>
        <w:spacing w:line="360" w:lineRule="auto"/>
        <w:ind w:firstLine="480" w:firstLineChars="200"/>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b）材料价格依据</w:t>
      </w:r>
    </w:p>
    <w:p w14:paraId="5E6171FD">
      <w:pPr>
        <w:snapToGrid w:val="0"/>
        <w:spacing w:line="360" w:lineRule="auto"/>
        <w:ind w:firstLine="480" w:firstLineChars="200"/>
        <w:jc w:val="left"/>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材料价格依据新疆维吾尔自治区工程建设标准造价信息网发布的</w:t>
      </w:r>
      <w:r>
        <w:rPr>
          <w:rFonts w:hint="eastAsia" w:ascii="Times New Roman" w:hAnsi="Times New Roman" w:eastAsia="仿宋_GB2312" w:cs="Times New Roman"/>
          <w:color w:val="000000"/>
          <w:sz w:val="24"/>
          <w:szCs w:val="24"/>
          <w:lang w:eastAsia="zh-CN"/>
        </w:rPr>
        <w:t>哈密市2024年</w:t>
      </w:r>
      <w:r>
        <w:rPr>
          <w:rFonts w:hint="eastAsia" w:cs="Times New Roman"/>
          <w:color w:val="000000"/>
          <w:sz w:val="24"/>
          <w:szCs w:val="24"/>
          <w:lang w:val="en-US" w:eastAsia="zh-CN"/>
        </w:rPr>
        <w:t>12</w:t>
      </w:r>
      <w:r>
        <w:rPr>
          <w:rFonts w:hint="eastAsia" w:ascii="Times New Roman" w:hAnsi="Times New Roman" w:eastAsia="仿宋_GB2312" w:cs="Times New Roman"/>
          <w:color w:val="000000"/>
          <w:sz w:val="24"/>
          <w:szCs w:val="24"/>
          <w:lang w:eastAsia="zh-CN"/>
        </w:rPr>
        <w:t>月</w:t>
      </w:r>
      <w:r>
        <w:rPr>
          <w:rFonts w:hint="eastAsia" w:ascii="Times New Roman" w:hAnsi="Times New Roman" w:eastAsia="仿宋_GB2312" w:cs="Times New Roman"/>
          <w:color w:val="000000"/>
          <w:sz w:val="24"/>
          <w:szCs w:val="24"/>
        </w:rPr>
        <w:t>份建设工程价格信息以及实地调查价格</w:t>
      </w:r>
      <w:r>
        <w:rPr>
          <w:rFonts w:ascii="Times New Roman" w:hAnsi="Times New Roman" w:eastAsia="仿宋_GB2312" w:cs="Times New Roman"/>
          <w:color w:val="000000"/>
          <w:sz w:val="24"/>
          <w:szCs w:val="24"/>
        </w:rPr>
        <w:t>。</w:t>
      </w:r>
    </w:p>
    <w:p w14:paraId="63E2A022">
      <w:pPr>
        <w:keepNext/>
        <w:keepLines/>
        <w:numPr>
          <w:ilvl w:val="2"/>
          <w:numId w:val="0"/>
        </w:numPr>
        <w:tabs>
          <w:tab w:val="left" w:pos="5640"/>
        </w:tabs>
        <w:snapToGrid w:val="0"/>
        <w:spacing w:line="360" w:lineRule="auto"/>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7.1.3 费用构成及计算标准</w:t>
      </w:r>
    </w:p>
    <w:p w14:paraId="569C429D">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根据《土地复垦方案编制规程》</w:t>
      </w:r>
      <w:r>
        <w:rPr>
          <w:rFonts w:hint="eastAsia" w:ascii="Times New Roman" w:hAnsi="Times New Roman" w:eastAsia="仿宋_GB2312" w:cs="Times New Roman"/>
          <w:color w:val="000000"/>
          <w:kern w:val="0"/>
          <w:sz w:val="24"/>
          <w:szCs w:val="24"/>
        </w:rPr>
        <w:t>和《土地复垦方案编制实务》中的土地复垦费用组成说明，</w:t>
      </w:r>
      <w:r>
        <w:rPr>
          <w:rFonts w:ascii="Times New Roman" w:hAnsi="Times New Roman" w:eastAsia="仿宋_GB2312" w:cs="Times New Roman"/>
          <w:color w:val="000000"/>
          <w:kern w:val="0"/>
          <w:sz w:val="24"/>
          <w:szCs w:val="24"/>
        </w:rPr>
        <w:t>结合本项目的实际情况，确定本项目土地复垦费用包括工程施工费、设备费、其他费用（前期工作费、工程监理费、竣工验收费、业主管理费）、监测费以及预备费（基本预备费和价差预备费）。</w:t>
      </w:r>
    </w:p>
    <w:p w14:paraId="287DE1C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a）工程施工费</w:t>
      </w:r>
    </w:p>
    <w:p w14:paraId="7E809706">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工程施工费由直接费、间接费、企业利润和税金组成。</w:t>
      </w:r>
    </w:p>
    <w:p w14:paraId="5D5E450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1）直接费</w:t>
      </w:r>
    </w:p>
    <w:p w14:paraId="62D1CB7B">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指工程施工过程中直接消耗在工程项目上的活劳动和物化劳动。由直接工程费和措施费组成。</w:t>
      </w:r>
    </w:p>
    <w:p w14:paraId="71B5F9F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直接工程费包括人工费、材料费和施工机械使用费。</w:t>
      </w:r>
    </w:p>
    <w:p w14:paraId="4C4A709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措施费包括临时设施费、冬雨季施工增加费、夜间施工增加费、施工辅助费和特殊地区施工增加费。</w:t>
      </w:r>
    </w:p>
    <w:p w14:paraId="1BD514CF">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宋体" w:hAnsi="宋体" w:eastAsia="宋体" w:cs="宋体"/>
          <w:color w:val="000000"/>
          <w:kern w:val="0"/>
          <w:sz w:val="24"/>
          <w:szCs w:val="24"/>
        </w:rPr>
        <w:t>①</w:t>
      </w:r>
      <w:r>
        <w:rPr>
          <w:rFonts w:ascii="Times New Roman" w:hAnsi="Times New Roman" w:eastAsia="仿宋_GB2312" w:cs="Times New Roman"/>
          <w:color w:val="000000"/>
          <w:kern w:val="0"/>
          <w:sz w:val="24"/>
          <w:szCs w:val="24"/>
        </w:rPr>
        <w:t>直接工程费</w:t>
      </w:r>
    </w:p>
    <w:p w14:paraId="4089238D">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直接工程费由人工费、材料费、施工机械使用费组成。</w:t>
      </w:r>
    </w:p>
    <w:p w14:paraId="34E4079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人工费=∑分项工程量×分项工程定额人工费</w:t>
      </w:r>
    </w:p>
    <w:p w14:paraId="1F9461E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分项工程定额人工费是人工单价与定额消耗标准的乘积。</w:t>
      </w:r>
    </w:p>
    <w:p w14:paraId="23080B5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材料费=∑分项工程量×分项工程定额材料费</w:t>
      </w:r>
    </w:p>
    <w:p w14:paraId="35AE251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施工机械使用费=∑分项工程量×分项工程定额机械费</w:t>
      </w:r>
    </w:p>
    <w:p w14:paraId="2886611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人工费是指直接从事工程施工的生产工人开支的各项费用，内容包括基本工资、辅助工资和工资附加费。本方案</w:t>
      </w:r>
      <w:r>
        <w:rPr>
          <w:rFonts w:hint="eastAsia" w:ascii="Times New Roman" w:hAnsi="Times New Roman" w:eastAsia="仿宋_GB2312" w:cs="Times New Roman"/>
          <w:color w:val="000000"/>
          <w:kern w:val="0"/>
          <w:sz w:val="24"/>
          <w:szCs w:val="24"/>
        </w:rPr>
        <w:t>人工费单价</w:t>
      </w:r>
      <w:r>
        <w:rPr>
          <w:rFonts w:ascii="Times New Roman" w:hAnsi="Times New Roman" w:eastAsia="仿宋_GB2312" w:cs="Times New Roman"/>
          <w:color w:val="000000"/>
          <w:kern w:val="0"/>
          <w:sz w:val="24"/>
          <w:szCs w:val="24"/>
        </w:rPr>
        <w:t>参照《土地开发整理项目预算定额标准》</w:t>
      </w:r>
      <w:r>
        <w:rPr>
          <w:rFonts w:hint="eastAsia" w:ascii="Times New Roman" w:hAnsi="Times New Roman" w:eastAsia="仿宋_GB2312" w:cs="Times New Roman"/>
          <w:color w:val="000000"/>
          <w:kern w:val="0"/>
          <w:sz w:val="24"/>
          <w:szCs w:val="24"/>
        </w:rPr>
        <w:t>(财综[2011]128号)</w:t>
      </w:r>
      <w:r>
        <w:rPr>
          <w:rFonts w:ascii="Times New Roman" w:hAnsi="Times New Roman" w:eastAsia="仿宋_GB2312" w:cs="Times New Roman"/>
          <w:color w:val="000000"/>
          <w:kern w:val="0"/>
          <w:sz w:val="24"/>
          <w:szCs w:val="24"/>
        </w:rPr>
        <w:t>和《土地复垦方案编制实务》中人工费的计算办法</w:t>
      </w:r>
      <w:r>
        <w:rPr>
          <w:rFonts w:hint="eastAsia" w:ascii="Times New Roman" w:hAnsi="Times New Roman" w:eastAsia="仿宋_GB2312" w:cs="Times New Roman"/>
          <w:color w:val="000000"/>
          <w:kern w:val="0"/>
          <w:sz w:val="24"/>
          <w:szCs w:val="24"/>
        </w:rPr>
        <w:t>，最终确定本方案甲类工和乙类工日工资，结合</w:t>
      </w:r>
      <w:r>
        <w:rPr>
          <w:rFonts w:hint="eastAsia" w:ascii="Times New Roman" w:hAnsi="Times New Roman" w:eastAsia="仿宋_GB2312" w:cs="Times New Roman"/>
          <w:color w:val="000000"/>
          <w:kern w:val="0"/>
          <w:sz w:val="24"/>
          <w:szCs w:val="24"/>
          <w:lang w:eastAsia="zh-CN"/>
        </w:rPr>
        <w:t>哈密市</w:t>
      </w:r>
      <w:r>
        <w:rPr>
          <w:rFonts w:hint="eastAsia" w:cs="Times New Roman"/>
          <w:color w:val="000000"/>
          <w:kern w:val="0"/>
          <w:sz w:val="24"/>
          <w:szCs w:val="24"/>
          <w:lang w:val="en-US" w:eastAsia="zh-CN"/>
        </w:rPr>
        <w:t>巴里坤</w:t>
      </w:r>
      <w:r>
        <w:rPr>
          <w:rFonts w:hint="eastAsia" w:ascii="Times New Roman" w:hAnsi="Times New Roman" w:eastAsia="仿宋_GB2312" w:cs="Times New Roman"/>
          <w:color w:val="000000"/>
          <w:kern w:val="0"/>
          <w:sz w:val="24"/>
          <w:szCs w:val="24"/>
          <w:lang w:eastAsia="zh-CN"/>
        </w:rPr>
        <w:t>县</w:t>
      </w:r>
      <w:r>
        <w:rPr>
          <w:rFonts w:hint="eastAsia" w:ascii="Times New Roman" w:hAnsi="Times New Roman" w:eastAsia="仿宋_GB2312" w:cs="Times New Roman"/>
          <w:color w:val="000000"/>
          <w:kern w:val="0"/>
          <w:sz w:val="24"/>
          <w:szCs w:val="24"/>
        </w:rPr>
        <w:t>的实际工资水平，最终确定本方案甲类工月基本工资标准为</w:t>
      </w:r>
      <w:r>
        <w:rPr>
          <w:rFonts w:hint="eastAsia" w:ascii="Times New Roman" w:hAnsi="Times New Roman" w:eastAsia="仿宋_GB2312" w:cs="Times New Roman"/>
          <w:color w:val="000000"/>
          <w:kern w:val="0"/>
          <w:sz w:val="24"/>
          <w:szCs w:val="24"/>
          <w:lang w:val="en-US" w:eastAsia="zh-CN"/>
        </w:rPr>
        <w:t>1540</w:t>
      </w:r>
      <w:r>
        <w:rPr>
          <w:rFonts w:hint="eastAsia" w:ascii="Times New Roman" w:hAnsi="Times New Roman" w:eastAsia="仿宋_GB2312" w:cs="Times New Roman"/>
          <w:color w:val="000000"/>
          <w:kern w:val="0"/>
          <w:sz w:val="24"/>
          <w:szCs w:val="24"/>
        </w:rPr>
        <w:t>元，乙类工基本工资标准为</w:t>
      </w:r>
      <w:r>
        <w:rPr>
          <w:rFonts w:hint="eastAsia" w:ascii="Times New Roman" w:hAnsi="Times New Roman" w:eastAsia="仿宋_GB2312" w:cs="Times New Roman"/>
          <w:color w:val="000000"/>
          <w:kern w:val="0"/>
          <w:sz w:val="24"/>
          <w:szCs w:val="24"/>
          <w:lang w:val="en-US" w:eastAsia="zh-CN"/>
        </w:rPr>
        <w:t>1540</w:t>
      </w:r>
      <w:r>
        <w:rPr>
          <w:rFonts w:hint="eastAsia" w:ascii="Times New Roman" w:hAnsi="Times New Roman" w:eastAsia="仿宋_GB2312" w:cs="Times New Roman"/>
          <w:color w:val="000000"/>
          <w:kern w:val="0"/>
          <w:sz w:val="24"/>
          <w:szCs w:val="24"/>
        </w:rPr>
        <w:t>元。本方案编制甲类工和乙类工的日单价计算见表7.1</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w:t>
      </w:r>
    </w:p>
    <w:p w14:paraId="7F79CA72">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定额材料费是定额中各种材料估算价格与定额消耗量的乘积之和，计算办法参照《土地开发整理项目预算定额标准》，</w:t>
      </w:r>
      <w:r>
        <w:rPr>
          <w:rFonts w:hint="eastAsia" w:ascii="Times New Roman" w:hAnsi="Times New Roman" w:eastAsia="仿宋_GB2312" w:cs="Times New Roman"/>
          <w:color w:val="000000"/>
          <w:kern w:val="0"/>
          <w:sz w:val="24"/>
          <w:szCs w:val="24"/>
        </w:rPr>
        <w:t>材料价格按新疆维吾尔自治区工程建设标准造价信息网发布的关于</w:t>
      </w:r>
      <w:r>
        <w:rPr>
          <w:rFonts w:hint="eastAsia" w:ascii="Times New Roman" w:hAnsi="Times New Roman" w:eastAsia="仿宋_GB2312" w:cs="Times New Roman"/>
          <w:color w:val="000000"/>
          <w:kern w:val="0"/>
          <w:sz w:val="24"/>
          <w:szCs w:val="24"/>
          <w:lang w:eastAsia="zh-CN"/>
        </w:rPr>
        <w:t>哈密市2024年</w:t>
      </w:r>
      <w:r>
        <w:rPr>
          <w:rFonts w:hint="eastAsia" w:cs="Times New Roman"/>
          <w:color w:val="000000"/>
          <w:kern w:val="0"/>
          <w:sz w:val="24"/>
          <w:szCs w:val="24"/>
          <w:lang w:val="en-US" w:eastAsia="zh-CN"/>
        </w:rPr>
        <w:t>12</w:t>
      </w:r>
      <w:r>
        <w:rPr>
          <w:rFonts w:hint="eastAsia" w:ascii="Times New Roman" w:hAnsi="Times New Roman" w:eastAsia="仿宋_GB2312" w:cs="Times New Roman"/>
          <w:color w:val="000000"/>
          <w:kern w:val="0"/>
          <w:sz w:val="24"/>
          <w:szCs w:val="24"/>
          <w:lang w:eastAsia="zh-CN"/>
        </w:rPr>
        <w:t>月</w:t>
      </w:r>
      <w:r>
        <w:rPr>
          <w:rFonts w:hint="eastAsia" w:ascii="Times New Roman" w:hAnsi="Times New Roman" w:eastAsia="仿宋_GB2312" w:cs="Times New Roman"/>
          <w:color w:val="000000"/>
          <w:kern w:val="0"/>
          <w:sz w:val="24"/>
          <w:szCs w:val="24"/>
        </w:rPr>
        <w:t>材料价格以及实地调查价格进行估算。材料预算单价组成内容中，材料原价、包装费、运输保险费、运杂费和采购及保管费分别按不含增值税（可抵扣进项税款）的价格确定。材料采购及保管费费率按运杂费2%计算。</w:t>
      </w:r>
    </w:p>
    <w:p w14:paraId="31B7CF37">
      <w:pPr>
        <w:autoSpaceDE w:val="0"/>
        <w:autoSpaceDN w:val="0"/>
        <w:adjustRightInd w:val="0"/>
        <w:snapToGrid w:val="0"/>
        <w:spacing w:line="288"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施工机械使用费是指消耗在工程项目上的机械磨损、维修和动力燃料费用等。计算办法参照《土地开发整理项目预算定额标准》进行估算。</w:t>
      </w:r>
    </w:p>
    <w:p w14:paraId="69817079">
      <w:pPr>
        <w:autoSpaceDE w:val="0"/>
        <w:autoSpaceDN w:val="0"/>
        <w:adjustRightInd w:val="0"/>
        <w:snapToGrid w:val="0"/>
        <w:spacing w:line="288" w:lineRule="auto"/>
        <w:ind w:firstLine="480" w:firstLineChars="200"/>
        <w:jc w:val="center"/>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表</w:t>
      </w:r>
      <w:r>
        <w:rPr>
          <w:rFonts w:hint="eastAsia" w:ascii="Times New Roman" w:hAnsi="Times New Roman" w:eastAsia="仿宋_GB2312" w:cs="Times New Roman"/>
          <w:color w:val="000000"/>
          <w:kern w:val="0"/>
          <w:sz w:val="24"/>
          <w:szCs w:val="24"/>
        </w:rPr>
        <w:t>7.1</w:t>
      </w:r>
      <w:r>
        <w:rPr>
          <w:rFonts w:ascii="Times New Roman" w:hAnsi="Times New Roman" w:eastAsia="仿宋_GB2312" w:cs="Times New Roman"/>
          <w:color w:val="000000"/>
          <w:kern w:val="0"/>
          <w:sz w:val="24"/>
          <w:szCs w:val="24"/>
        </w:rPr>
        <w:t>-1 人工费日单价计算表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349"/>
        <w:gridCol w:w="5611"/>
        <w:gridCol w:w="1326"/>
      </w:tblGrid>
      <w:tr w14:paraId="3673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00" w:type="pct"/>
            <w:gridSpan w:val="3"/>
            <w:shd w:val="clear" w:color="auto" w:fill="auto"/>
            <w:noWrap/>
            <w:vAlign w:val="center"/>
          </w:tcPr>
          <w:p w14:paraId="2A04418C">
            <w:pPr>
              <w:pStyle w:val="100"/>
              <w:bidi w:val="0"/>
            </w:pPr>
            <w:r>
              <w:rPr>
                <w:rFonts w:hint="eastAsia"/>
                <w:lang w:val="en-US" w:eastAsia="zh-CN"/>
              </w:rPr>
              <w:t>人工工资计算费表（甲类）</w:t>
            </w:r>
          </w:p>
        </w:tc>
      </w:tr>
      <w:tr w14:paraId="32B7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005B01E8">
            <w:pPr>
              <w:pStyle w:val="100"/>
              <w:bidi w:val="0"/>
              <w:rPr>
                <w:rFonts w:hint="eastAsia"/>
              </w:rPr>
            </w:pPr>
            <w:r>
              <w:rPr>
                <w:rFonts w:hint="eastAsia"/>
                <w:lang w:val="en-US" w:eastAsia="zh-CN"/>
              </w:rPr>
              <w:t>项</w:t>
            </w:r>
            <w:r>
              <w:rPr>
                <w:rFonts w:hint="default"/>
                <w:lang w:val="en-US" w:eastAsia="zh-CN"/>
              </w:rPr>
              <w:t xml:space="preserve"> </w:t>
            </w:r>
            <w:r>
              <w:rPr>
                <w:rFonts w:hint="eastAsia"/>
                <w:lang w:val="en-US" w:eastAsia="zh-CN"/>
              </w:rPr>
              <w:t>目</w:t>
            </w:r>
          </w:p>
        </w:tc>
        <w:tc>
          <w:tcPr>
            <w:tcW w:w="3021" w:type="pct"/>
            <w:shd w:val="clear" w:color="auto" w:fill="auto"/>
            <w:vAlign w:val="center"/>
          </w:tcPr>
          <w:p w14:paraId="0CF9626C">
            <w:pPr>
              <w:pStyle w:val="100"/>
              <w:bidi w:val="0"/>
              <w:rPr>
                <w:rFonts w:hint="eastAsia"/>
              </w:rPr>
            </w:pPr>
            <w:r>
              <w:rPr>
                <w:rFonts w:hint="eastAsia"/>
                <w:lang w:val="en-US" w:eastAsia="zh-CN"/>
              </w:rPr>
              <w:t>计算公式</w:t>
            </w:r>
          </w:p>
        </w:tc>
        <w:tc>
          <w:tcPr>
            <w:tcW w:w="712" w:type="pct"/>
            <w:shd w:val="clear" w:color="auto" w:fill="auto"/>
            <w:vAlign w:val="center"/>
          </w:tcPr>
          <w:p w14:paraId="6D567A9E">
            <w:pPr>
              <w:pStyle w:val="100"/>
              <w:bidi w:val="0"/>
              <w:rPr>
                <w:rFonts w:hint="eastAsia"/>
              </w:rPr>
            </w:pPr>
            <w:r>
              <w:rPr>
                <w:rFonts w:hint="eastAsia"/>
                <w:lang w:val="en-US" w:eastAsia="zh-CN"/>
              </w:rPr>
              <w:t>单价（元）</w:t>
            </w:r>
          </w:p>
        </w:tc>
      </w:tr>
      <w:tr w14:paraId="091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39CEBA2C">
            <w:pPr>
              <w:pStyle w:val="100"/>
              <w:bidi w:val="0"/>
              <w:rPr>
                <w:rFonts w:hint="eastAsia"/>
              </w:rPr>
            </w:pPr>
            <w:r>
              <w:rPr>
                <w:rFonts w:hint="eastAsia"/>
                <w:lang w:val="en-US" w:eastAsia="zh-CN"/>
              </w:rPr>
              <w:t>㈠基本工资</w:t>
            </w:r>
          </w:p>
        </w:tc>
        <w:tc>
          <w:tcPr>
            <w:tcW w:w="3021" w:type="pct"/>
            <w:shd w:val="clear" w:color="auto" w:fill="auto"/>
            <w:noWrap/>
            <w:vAlign w:val="center"/>
          </w:tcPr>
          <w:p w14:paraId="66E40D72">
            <w:pPr>
              <w:pStyle w:val="100"/>
              <w:bidi w:val="0"/>
              <w:rPr>
                <w:rFonts w:hint="eastAsia"/>
              </w:rPr>
            </w:pPr>
            <w:r>
              <w:rPr>
                <w:rFonts w:hint="eastAsia"/>
                <w:lang w:val="en-US" w:eastAsia="zh-CN"/>
              </w:rPr>
              <w:t>基本工资标准（1540元</w:t>
            </w:r>
            <w:r>
              <w:rPr>
                <w:rFonts w:hint="default"/>
                <w:lang w:val="en-US" w:eastAsia="zh-CN"/>
              </w:rPr>
              <w:t>/</w:t>
            </w:r>
            <w:r>
              <w:rPr>
                <w:rFonts w:hint="eastAsia"/>
                <w:lang w:val="en-US" w:eastAsia="zh-CN"/>
              </w:rPr>
              <w:t>月）</w:t>
            </w:r>
            <w:r>
              <w:rPr>
                <w:rFonts w:hint="default"/>
                <w:lang w:val="en-US" w:eastAsia="zh-CN"/>
              </w:rPr>
              <w:t>×12÷</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314F5849">
            <w:pPr>
              <w:pStyle w:val="100"/>
              <w:bidi w:val="0"/>
              <w:rPr>
                <w:rFonts w:hint="default"/>
              </w:rPr>
            </w:pPr>
            <w:r>
              <w:rPr>
                <w:rFonts w:hint="default"/>
                <w:lang w:val="en-US" w:eastAsia="zh-CN"/>
              </w:rPr>
              <w:t>77.00</w:t>
            </w:r>
          </w:p>
        </w:tc>
      </w:tr>
      <w:tr w14:paraId="52A6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265" w:type="pct"/>
            <w:shd w:val="clear" w:color="auto" w:fill="auto"/>
            <w:vAlign w:val="center"/>
          </w:tcPr>
          <w:p w14:paraId="387267E2">
            <w:pPr>
              <w:pStyle w:val="100"/>
              <w:bidi w:val="0"/>
              <w:rPr>
                <w:rFonts w:hint="eastAsia"/>
              </w:rPr>
            </w:pPr>
            <w:r>
              <w:rPr>
                <w:rFonts w:hint="eastAsia"/>
                <w:lang w:val="en-US" w:eastAsia="zh-CN"/>
              </w:rPr>
              <w:t>㈡辅助工资</w:t>
            </w:r>
          </w:p>
        </w:tc>
        <w:tc>
          <w:tcPr>
            <w:tcW w:w="3021" w:type="pct"/>
            <w:shd w:val="clear" w:color="auto" w:fill="auto"/>
            <w:noWrap/>
            <w:vAlign w:val="center"/>
          </w:tcPr>
          <w:p w14:paraId="3224160B">
            <w:pPr>
              <w:pStyle w:val="100"/>
              <w:bidi w:val="0"/>
              <w:rPr>
                <w:rFonts w:hint="default"/>
              </w:rPr>
            </w:pPr>
          </w:p>
        </w:tc>
        <w:tc>
          <w:tcPr>
            <w:tcW w:w="1326" w:type="dxa"/>
            <w:shd w:val="clear" w:color="auto" w:fill="auto"/>
            <w:vAlign w:val="center"/>
          </w:tcPr>
          <w:p w14:paraId="204F3DA2">
            <w:pPr>
              <w:pStyle w:val="100"/>
              <w:bidi w:val="0"/>
              <w:rPr>
                <w:rFonts w:hint="default"/>
              </w:rPr>
            </w:pPr>
            <w:r>
              <w:rPr>
                <w:rFonts w:hint="default"/>
                <w:lang w:val="en-US" w:eastAsia="zh-CN"/>
              </w:rPr>
              <w:t>11.88</w:t>
            </w:r>
          </w:p>
        </w:tc>
      </w:tr>
      <w:tr w14:paraId="2432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265" w:type="pct"/>
            <w:shd w:val="clear" w:color="auto" w:fill="auto"/>
            <w:vAlign w:val="center"/>
          </w:tcPr>
          <w:p w14:paraId="167985D4">
            <w:pPr>
              <w:pStyle w:val="100"/>
              <w:bidi w:val="0"/>
              <w:rPr>
                <w:rFonts w:hint="default"/>
              </w:rPr>
            </w:pPr>
            <w:r>
              <w:rPr>
                <w:rFonts w:hint="default"/>
                <w:lang w:val="en-US" w:eastAsia="zh-CN"/>
              </w:rPr>
              <w:t xml:space="preserve">(1) </w:t>
            </w:r>
            <w:r>
              <w:rPr>
                <w:rFonts w:hint="eastAsia"/>
                <w:lang w:val="en-US" w:eastAsia="zh-CN"/>
              </w:rPr>
              <w:t>地区津贴</w:t>
            </w:r>
          </w:p>
        </w:tc>
        <w:tc>
          <w:tcPr>
            <w:tcW w:w="3021" w:type="pct"/>
            <w:shd w:val="clear" w:color="auto" w:fill="auto"/>
            <w:noWrap/>
            <w:vAlign w:val="center"/>
          </w:tcPr>
          <w:p w14:paraId="0A71844D">
            <w:pPr>
              <w:pStyle w:val="100"/>
              <w:bidi w:val="0"/>
              <w:rPr>
                <w:rFonts w:hint="eastAsia"/>
              </w:rPr>
            </w:pPr>
            <w:r>
              <w:rPr>
                <w:rFonts w:hint="eastAsia"/>
                <w:lang w:val="en-US" w:eastAsia="zh-CN"/>
              </w:rPr>
              <w:t>地区津贴（元</w:t>
            </w:r>
            <w:r>
              <w:rPr>
                <w:rFonts w:hint="default"/>
                <w:lang w:val="en-US" w:eastAsia="zh-CN"/>
              </w:rPr>
              <w:t>/</w:t>
            </w:r>
            <w:r>
              <w:rPr>
                <w:rFonts w:hint="eastAsia"/>
                <w:lang w:val="en-US" w:eastAsia="zh-CN"/>
              </w:rPr>
              <w:t>月）</w:t>
            </w:r>
            <w:r>
              <w:rPr>
                <w:rFonts w:hint="default"/>
                <w:lang w:val="en-US" w:eastAsia="zh-CN"/>
              </w:rPr>
              <w:t>×12÷</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6F04FD06">
            <w:pPr>
              <w:pStyle w:val="100"/>
              <w:bidi w:val="0"/>
              <w:rPr>
                <w:rFonts w:hint="default"/>
                <w:lang w:val="en-US"/>
              </w:rPr>
            </w:pPr>
            <w:r>
              <w:rPr>
                <w:rFonts w:hint="default"/>
                <w:lang w:val="en-US" w:eastAsia="zh-CN"/>
              </w:rPr>
              <w:t>3.65</w:t>
            </w:r>
          </w:p>
        </w:tc>
      </w:tr>
      <w:tr w14:paraId="421F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265" w:type="pct"/>
            <w:shd w:val="clear" w:color="auto" w:fill="auto"/>
            <w:vAlign w:val="center"/>
          </w:tcPr>
          <w:p w14:paraId="528EF796">
            <w:pPr>
              <w:pStyle w:val="100"/>
              <w:bidi w:val="0"/>
              <w:rPr>
                <w:rFonts w:hint="default"/>
              </w:rPr>
            </w:pPr>
            <w:r>
              <w:rPr>
                <w:rFonts w:hint="default"/>
                <w:lang w:val="en-US" w:eastAsia="zh-CN"/>
              </w:rPr>
              <w:t xml:space="preserve">(2) </w:t>
            </w:r>
            <w:r>
              <w:rPr>
                <w:rFonts w:hint="eastAsia"/>
                <w:lang w:val="en-US" w:eastAsia="zh-CN"/>
              </w:rPr>
              <w:t>施工津贴</w:t>
            </w:r>
          </w:p>
        </w:tc>
        <w:tc>
          <w:tcPr>
            <w:tcW w:w="3021" w:type="pct"/>
            <w:shd w:val="clear" w:color="auto" w:fill="auto"/>
            <w:noWrap/>
            <w:vAlign w:val="center"/>
          </w:tcPr>
          <w:p w14:paraId="6DC9F491">
            <w:pPr>
              <w:pStyle w:val="100"/>
              <w:bidi w:val="0"/>
              <w:rPr>
                <w:rFonts w:hint="eastAsia"/>
              </w:rPr>
            </w:pPr>
            <w:r>
              <w:rPr>
                <w:rFonts w:hint="eastAsia"/>
                <w:lang w:val="en-US" w:eastAsia="zh-CN"/>
              </w:rPr>
              <w:t>津贴标准（元</w:t>
            </w:r>
            <w:r>
              <w:rPr>
                <w:rFonts w:hint="default"/>
                <w:lang w:val="en-US" w:eastAsia="zh-CN"/>
              </w:rPr>
              <w:t>/</w:t>
            </w:r>
            <w:r>
              <w:rPr>
                <w:rFonts w:hint="eastAsia"/>
                <w:lang w:val="en-US" w:eastAsia="zh-CN"/>
              </w:rPr>
              <w:t>天）</w:t>
            </w:r>
            <w:r>
              <w:rPr>
                <w:rFonts w:hint="default"/>
                <w:lang w:val="en-US" w:eastAsia="zh-CN"/>
              </w:rPr>
              <w:t>×365×0.95÷</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6E4675D2">
            <w:pPr>
              <w:pStyle w:val="100"/>
              <w:bidi w:val="0"/>
              <w:rPr>
                <w:rFonts w:hint="default"/>
              </w:rPr>
            </w:pPr>
            <w:r>
              <w:rPr>
                <w:rFonts w:hint="default"/>
                <w:lang w:val="en-US" w:eastAsia="zh-CN"/>
              </w:rPr>
              <w:t>5.06</w:t>
            </w:r>
          </w:p>
        </w:tc>
      </w:tr>
      <w:tr w14:paraId="4B7B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281D193A">
            <w:pPr>
              <w:pStyle w:val="100"/>
              <w:bidi w:val="0"/>
              <w:rPr>
                <w:rFonts w:hint="default"/>
              </w:rPr>
            </w:pPr>
            <w:r>
              <w:rPr>
                <w:rFonts w:hint="default"/>
                <w:lang w:val="en-US" w:eastAsia="zh-CN"/>
              </w:rPr>
              <w:t xml:space="preserve">(3) </w:t>
            </w:r>
            <w:r>
              <w:rPr>
                <w:rFonts w:hint="eastAsia"/>
                <w:lang w:val="en-US" w:eastAsia="zh-CN"/>
              </w:rPr>
              <w:t>夜餐津贴</w:t>
            </w:r>
          </w:p>
        </w:tc>
        <w:tc>
          <w:tcPr>
            <w:tcW w:w="3021" w:type="pct"/>
            <w:shd w:val="clear" w:color="auto" w:fill="auto"/>
            <w:noWrap/>
            <w:vAlign w:val="center"/>
          </w:tcPr>
          <w:p w14:paraId="14597860">
            <w:pPr>
              <w:pStyle w:val="100"/>
              <w:bidi w:val="0"/>
              <w:rPr>
                <w:rFonts w:hint="default"/>
              </w:rPr>
            </w:pPr>
            <w:r>
              <w:rPr>
                <w:rFonts w:hint="default"/>
                <w:lang w:val="en-US" w:eastAsia="zh-CN"/>
              </w:rPr>
              <w:t>4*0.2</w:t>
            </w:r>
          </w:p>
        </w:tc>
        <w:tc>
          <w:tcPr>
            <w:tcW w:w="1326" w:type="dxa"/>
            <w:shd w:val="clear" w:color="auto" w:fill="auto"/>
            <w:vAlign w:val="center"/>
          </w:tcPr>
          <w:p w14:paraId="7669DBB2">
            <w:pPr>
              <w:pStyle w:val="100"/>
              <w:bidi w:val="0"/>
              <w:rPr>
                <w:rFonts w:hint="default"/>
              </w:rPr>
            </w:pPr>
            <w:r>
              <w:rPr>
                <w:rFonts w:hint="default"/>
                <w:lang w:val="en-US" w:eastAsia="zh-CN"/>
              </w:rPr>
              <w:t>0.80</w:t>
            </w:r>
          </w:p>
        </w:tc>
      </w:tr>
      <w:tr w14:paraId="0ACF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6B02A975">
            <w:pPr>
              <w:pStyle w:val="100"/>
              <w:bidi w:val="0"/>
              <w:rPr>
                <w:rFonts w:hint="default"/>
              </w:rPr>
            </w:pPr>
            <w:r>
              <w:rPr>
                <w:rFonts w:hint="default"/>
                <w:lang w:val="en-US" w:eastAsia="zh-CN"/>
              </w:rPr>
              <w:t xml:space="preserve">(4) </w:t>
            </w:r>
            <w:r>
              <w:rPr>
                <w:rFonts w:hint="eastAsia"/>
                <w:lang w:val="en-US" w:eastAsia="zh-CN"/>
              </w:rPr>
              <w:t>节日加班津贴</w:t>
            </w:r>
          </w:p>
        </w:tc>
        <w:tc>
          <w:tcPr>
            <w:tcW w:w="3021" w:type="pct"/>
            <w:shd w:val="clear" w:color="auto" w:fill="auto"/>
            <w:noWrap/>
            <w:vAlign w:val="center"/>
          </w:tcPr>
          <w:p w14:paraId="3B0ED98B">
            <w:pPr>
              <w:pStyle w:val="100"/>
              <w:bidi w:val="0"/>
              <w:rPr>
                <w:rFonts w:hint="default"/>
              </w:rPr>
            </w:pPr>
            <w:r>
              <w:rPr>
                <w:rFonts w:hint="default"/>
                <w:lang w:val="en-US" w:eastAsia="zh-CN"/>
              </w:rPr>
              <w:t>㈠*(3-1)*11/250*0.35</w:t>
            </w:r>
          </w:p>
        </w:tc>
        <w:tc>
          <w:tcPr>
            <w:tcW w:w="1326" w:type="dxa"/>
            <w:shd w:val="clear" w:color="auto" w:fill="auto"/>
            <w:vAlign w:val="center"/>
          </w:tcPr>
          <w:p w14:paraId="7C39AA91">
            <w:pPr>
              <w:pStyle w:val="100"/>
              <w:bidi w:val="0"/>
              <w:rPr>
                <w:rFonts w:hint="default"/>
              </w:rPr>
            </w:pPr>
            <w:r>
              <w:rPr>
                <w:rFonts w:hint="default"/>
                <w:lang w:val="en-US" w:eastAsia="zh-CN"/>
              </w:rPr>
              <w:t>2.37</w:t>
            </w:r>
          </w:p>
        </w:tc>
      </w:tr>
      <w:tr w14:paraId="5650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7FC99731">
            <w:pPr>
              <w:pStyle w:val="100"/>
              <w:bidi w:val="0"/>
              <w:rPr>
                <w:rFonts w:hint="eastAsia"/>
              </w:rPr>
            </w:pPr>
            <w:r>
              <w:rPr>
                <w:rFonts w:hint="eastAsia"/>
                <w:lang w:val="en-US" w:eastAsia="zh-CN"/>
              </w:rPr>
              <w:t>㈢工资附加费</w:t>
            </w:r>
          </w:p>
        </w:tc>
        <w:tc>
          <w:tcPr>
            <w:tcW w:w="3021" w:type="pct"/>
            <w:shd w:val="clear" w:color="auto" w:fill="auto"/>
            <w:vAlign w:val="center"/>
          </w:tcPr>
          <w:p w14:paraId="695B0E58">
            <w:pPr>
              <w:pStyle w:val="100"/>
              <w:bidi w:val="0"/>
              <w:rPr>
                <w:rFonts w:hint="default"/>
              </w:rPr>
            </w:pPr>
          </w:p>
        </w:tc>
        <w:tc>
          <w:tcPr>
            <w:tcW w:w="1326" w:type="dxa"/>
            <w:shd w:val="clear" w:color="auto" w:fill="auto"/>
            <w:vAlign w:val="center"/>
          </w:tcPr>
          <w:p w14:paraId="4F838FA1">
            <w:pPr>
              <w:pStyle w:val="100"/>
              <w:bidi w:val="0"/>
              <w:rPr>
                <w:rFonts w:hint="default"/>
              </w:rPr>
            </w:pPr>
            <w:r>
              <w:rPr>
                <w:rFonts w:hint="default"/>
                <w:lang w:val="en-US" w:eastAsia="zh-CN"/>
              </w:rPr>
              <w:t>44.00</w:t>
            </w:r>
          </w:p>
        </w:tc>
      </w:tr>
      <w:tr w14:paraId="2266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4591E2EF">
            <w:pPr>
              <w:pStyle w:val="100"/>
              <w:bidi w:val="0"/>
              <w:rPr>
                <w:rFonts w:hint="default"/>
              </w:rPr>
            </w:pPr>
            <w:r>
              <w:rPr>
                <w:rFonts w:hint="default"/>
                <w:lang w:val="en-US" w:eastAsia="zh-CN"/>
              </w:rPr>
              <w:t xml:space="preserve">(1) </w:t>
            </w:r>
            <w:r>
              <w:rPr>
                <w:rFonts w:hint="eastAsia"/>
                <w:lang w:val="en-US" w:eastAsia="zh-CN"/>
              </w:rPr>
              <w:t>职工福利基金</w:t>
            </w:r>
          </w:p>
        </w:tc>
        <w:tc>
          <w:tcPr>
            <w:tcW w:w="3021" w:type="pct"/>
            <w:shd w:val="clear" w:color="auto" w:fill="auto"/>
            <w:vAlign w:val="center"/>
          </w:tcPr>
          <w:p w14:paraId="3FC07256">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×14%</w:t>
            </w:r>
          </w:p>
        </w:tc>
        <w:tc>
          <w:tcPr>
            <w:tcW w:w="1326" w:type="dxa"/>
            <w:shd w:val="clear" w:color="auto" w:fill="auto"/>
            <w:vAlign w:val="center"/>
          </w:tcPr>
          <w:p w14:paraId="1D6E0C9D">
            <w:pPr>
              <w:pStyle w:val="100"/>
              <w:bidi w:val="0"/>
              <w:rPr>
                <w:rFonts w:hint="default"/>
              </w:rPr>
            </w:pPr>
            <w:r>
              <w:rPr>
                <w:rFonts w:hint="default"/>
                <w:lang w:val="en-US" w:eastAsia="zh-CN"/>
              </w:rPr>
              <w:t>12.44</w:t>
            </w:r>
          </w:p>
        </w:tc>
      </w:tr>
      <w:tr w14:paraId="5F4E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7839EA81">
            <w:pPr>
              <w:pStyle w:val="100"/>
              <w:bidi w:val="0"/>
              <w:rPr>
                <w:rFonts w:hint="default"/>
              </w:rPr>
            </w:pPr>
            <w:r>
              <w:rPr>
                <w:rFonts w:hint="default"/>
                <w:lang w:val="en-US" w:eastAsia="zh-CN"/>
              </w:rPr>
              <w:t xml:space="preserve">(2) </w:t>
            </w:r>
            <w:r>
              <w:rPr>
                <w:rFonts w:hint="eastAsia"/>
                <w:lang w:val="en-US" w:eastAsia="zh-CN"/>
              </w:rPr>
              <w:t>工会经费</w:t>
            </w:r>
          </w:p>
        </w:tc>
        <w:tc>
          <w:tcPr>
            <w:tcW w:w="3021" w:type="pct"/>
            <w:shd w:val="clear" w:color="auto" w:fill="auto"/>
            <w:vAlign w:val="center"/>
          </w:tcPr>
          <w:p w14:paraId="5693719F">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w:t>
            </w:r>
          </w:p>
        </w:tc>
        <w:tc>
          <w:tcPr>
            <w:tcW w:w="1326" w:type="dxa"/>
            <w:shd w:val="clear" w:color="auto" w:fill="auto"/>
            <w:vAlign w:val="center"/>
          </w:tcPr>
          <w:p w14:paraId="4B2ABF6B">
            <w:pPr>
              <w:pStyle w:val="100"/>
              <w:bidi w:val="0"/>
              <w:rPr>
                <w:rFonts w:hint="default"/>
              </w:rPr>
            </w:pPr>
            <w:r>
              <w:rPr>
                <w:rFonts w:hint="default"/>
                <w:lang w:val="en-US" w:eastAsia="zh-CN"/>
              </w:rPr>
              <w:t>1.78</w:t>
            </w:r>
          </w:p>
        </w:tc>
      </w:tr>
      <w:tr w14:paraId="0D45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2B7DAE79">
            <w:pPr>
              <w:pStyle w:val="100"/>
              <w:bidi w:val="0"/>
              <w:rPr>
                <w:rFonts w:hint="default"/>
              </w:rPr>
            </w:pPr>
            <w:r>
              <w:rPr>
                <w:rFonts w:hint="default"/>
                <w:lang w:val="en-US" w:eastAsia="zh-CN"/>
              </w:rPr>
              <w:t xml:space="preserve">(3) </w:t>
            </w:r>
            <w:r>
              <w:rPr>
                <w:rFonts w:hint="eastAsia"/>
                <w:lang w:val="en-US" w:eastAsia="zh-CN"/>
              </w:rPr>
              <w:t>养老保险费</w:t>
            </w:r>
          </w:p>
        </w:tc>
        <w:tc>
          <w:tcPr>
            <w:tcW w:w="3021" w:type="pct"/>
            <w:shd w:val="clear" w:color="auto" w:fill="auto"/>
            <w:vAlign w:val="center"/>
          </w:tcPr>
          <w:p w14:paraId="46C9B609">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×20%</w:t>
            </w:r>
          </w:p>
        </w:tc>
        <w:tc>
          <w:tcPr>
            <w:tcW w:w="1326" w:type="dxa"/>
            <w:shd w:val="clear" w:color="auto" w:fill="auto"/>
            <w:vAlign w:val="center"/>
          </w:tcPr>
          <w:p w14:paraId="6D3CABBA">
            <w:pPr>
              <w:pStyle w:val="100"/>
              <w:bidi w:val="0"/>
              <w:rPr>
                <w:rFonts w:hint="default"/>
              </w:rPr>
            </w:pPr>
            <w:r>
              <w:rPr>
                <w:rFonts w:hint="default"/>
                <w:lang w:val="en-US" w:eastAsia="zh-CN"/>
              </w:rPr>
              <w:t>17.78</w:t>
            </w:r>
          </w:p>
        </w:tc>
      </w:tr>
      <w:tr w14:paraId="3F3B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2B20BC2D">
            <w:pPr>
              <w:pStyle w:val="100"/>
              <w:bidi w:val="0"/>
              <w:rPr>
                <w:rFonts w:hint="default"/>
              </w:rPr>
            </w:pPr>
            <w:r>
              <w:rPr>
                <w:rFonts w:hint="default"/>
                <w:lang w:val="en-US" w:eastAsia="zh-CN"/>
              </w:rPr>
              <w:t>(4)</w:t>
            </w:r>
            <w:r>
              <w:rPr>
                <w:rFonts w:hint="eastAsia"/>
                <w:lang w:val="en-US" w:eastAsia="zh-CN"/>
              </w:rPr>
              <w:t>医疗保险费</w:t>
            </w:r>
          </w:p>
        </w:tc>
        <w:tc>
          <w:tcPr>
            <w:tcW w:w="3021" w:type="pct"/>
            <w:shd w:val="clear" w:color="auto" w:fill="auto"/>
            <w:vAlign w:val="center"/>
          </w:tcPr>
          <w:p w14:paraId="609A2A36">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×4%</w:t>
            </w:r>
          </w:p>
        </w:tc>
        <w:tc>
          <w:tcPr>
            <w:tcW w:w="1326" w:type="dxa"/>
            <w:shd w:val="clear" w:color="auto" w:fill="auto"/>
            <w:vAlign w:val="center"/>
          </w:tcPr>
          <w:p w14:paraId="121F17A4">
            <w:pPr>
              <w:pStyle w:val="100"/>
              <w:bidi w:val="0"/>
              <w:rPr>
                <w:rFonts w:hint="default"/>
              </w:rPr>
            </w:pPr>
            <w:r>
              <w:rPr>
                <w:rFonts w:hint="default"/>
                <w:lang w:val="en-US" w:eastAsia="zh-CN"/>
              </w:rPr>
              <w:t>3.56</w:t>
            </w:r>
          </w:p>
        </w:tc>
      </w:tr>
      <w:tr w14:paraId="0E7A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24DFDCA7">
            <w:pPr>
              <w:pStyle w:val="100"/>
              <w:bidi w:val="0"/>
              <w:rPr>
                <w:rFonts w:hint="default"/>
              </w:rPr>
            </w:pPr>
            <w:r>
              <w:rPr>
                <w:rFonts w:hint="default"/>
                <w:lang w:val="en-US" w:eastAsia="zh-CN"/>
              </w:rPr>
              <w:t>(5)</w:t>
            </w:r>
            <w:r>
              <w:rPr>
                <w:rFonts w:hint="eastAsia"/>
                <w:lang w:val="en-US" w:eastAsia="zh-CN"/>
              </w:rPr>
              <w:t>工伤保险费</w:t>
            </w:r>
          </w:p>
        </w:tc>
        <w:tc>
          <w:tcPr>
            <w:tcW w:w="3021" w:type="pct"/>
            <w:shd w:val="clear" w:color="auto" w:fill="auto"/>
            <w:vAlign w:val="center"/>
          </w:tcPr>
          <w:p w14:paraId="79CA6A40">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×1.5%</w:t>
            </w:r>
          </w:p>
        </w:tc>
        <w:tc>
          <w:tcPr>
            <w:tcW w:w="1326" w:type="dxa"/>
            <w:shd w:val="clear" w:color="auto" w:fill="auto"/>
            <w:vAlign w:val="center"/>
          </w:tcPr>
          <w:p w14:paraId="037D2026">
            <w:pPr>
              <w:pStyle w:val="100"/>
              <w:bidi w:val="0"/>
              <w:rPr>
                <w:rFonts w:hint="default"/>
              </w:rPr>
            </w:pPr>
            <w:r>
              <w:rPr>
                <w:rFonts w:hint="default"/>
                <w:lang w:val="en-US" w:eastAsia="zh-CN"/>
              </w:rPr>
              <w:t>1.33</w:t>
            </w:r>
          </w:p>
        </w:tc>
      </w:tr>
      <w:tr w14:paraId="2551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36937A77">
            <w:pPr>
              <w:pStyle w:val="100"/>
              <w:bidi w:val="0"/>
              <w:rPr>
                <w:rFonts w:hint="default"/>
              </w:rPr>
            </w:pPr>
            <w:r>
              <w:rPr>
                <w:rFonts w:hint="default"/>
                <w:lang w:val="en-US" w:eastAsia="zh-CN"/>
              </w:rPr>
              <w:t xml:space="preserve">(6) </w:t>
            </w:r>
            <w:r>
              <w:rPr>
                <w:rFonts w:hint="eastAsia"/>
                <w:lang w:val="en-US" w:eastAsia="zh-CN"/>
              </w:rPr>
              <w:t>职工失业保险基金</w:t>
            </w:r>
          </w:p>
        </w:tc>
        <w:tc>
          <w:tcPr>
            <w:tcW w:w="3021" w:type="pct"/>
            <w:shd w:val="clear" w:color="auto" w:fill="auto"/>
            <w:vAlign w:val="center"/>
          </w:tcPr>
          <w:p w14:paraId="47D550BA">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w:t>
            </w:r>
          </w:p>
        </w:tc>
        <w:tc>
          <w:tcPr>
            <w:tcW w:w="1326" w:type="dxa"/>
            <w:shd w:val="clear" w:color="auto" w:fill="auto"/>
            <w:vAlign w:val="center"/>
          </w:tcPr>
          <w:p w14:paraId="7D47A4E5">
            <w:pPr>
              <w:pStyle w:val="100"/>
              <w:bidi w:val="0"/>
              <w:rPr>
                <w:rFonts w:hint="default"/>
              </w:rPr>
            </w:pPr>
            <w:r>
              <w:rPr>
                <w:rFonts w:hint="default"/>
                <w:lang w:val="en-US" w:eastAsia="zh-CN"/>
              </w:rPr>
              <w:t>1.78</w:t>
            </w:r>
          </w:p>
        </w:tc>
      </w:tr>
      <w:tr w14:paraId="36F1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0B735F95">
            <w:pPr>
              <w:pStyle w:val="100"/>
              <w:bidi w:val="0"/>
              <w:rPr>
                <w:rFonts w:hint="default"/>
              </w:rPr>
            </w:pPr>
            <w:r>
              <w:rPr>
                <w:rFonts w:hint="default"/>
                <w:lang w:val="en-US" w:eastAsia="zh-CN"/>
              </w:rPr>
              <w:t xml:space="preserve">(7) </w:t>
            </w:r>
            <w:r>
              <w:rPr>
                <w:rFonts w:hint="eastAsia"/>
                <w:lang w:val="en-US" w:eastAsia="zh-CN"/>
              </w:rPr>
              <w:t>住房公积金</w:t>
            </w:r>
          </w:p>
        </w:tc>
        <w:tc>
          <w:tcPr>
            <w:tcW w:w="3021" w:type="pct"/>
            <w:shd w:val="clear" w:color="auto" w:fill="auto"/>
            <w:vAlign w:val="center"/>
          </w:tcPr>
          <w:p w14:paraId="48547392">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×6%</w:t>
            </w:r>
          </w:p>
        </w:tc>
        <w:tc>
          <w:tcPr>
            <w:tcW w:w="1326" w:type="dxa"/>
            <w:shd w:val="clear" w:color="auto" w:fill="auto"/>
            <w:vAlign w:val="center"/>
          </w:tcPr>
          <w:p w14:paraId="7285D934">
            <w:pPr>
              <w:pStyle w:val="100"/>
              <w:bidi w:val="0"/>
              <w:rPr>
                <w:rFonts w:hint="default"/>
              </w:rPr>
            </w:pPr>
            <w:r>
              <w:rPr>
                <w:rFonts w:hint="default"/>
                <w:lang w:val="en-US" w:eastAsia="zh-CN"/>
              </w:rPr>
              <w:t>5.33</w:t>
            </w:r>
          </w:p>
        </w:tc>
      </w:tr>
      <w:tr w14:paraId="7F6C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289DC65D">
            <w:pPr>
              <w:pStyle w:val="100"/>
              <w:bidi w:val="0"/>
              <w:rPr>
                <w:rFonts w:hint="eastAsia"/>
              </w:rPr>
            </w:pPr>
            <w:r>
              <w:rPr>
                <w:rFonts w:hint="eastAsia"/>
                <w:lang w:val="en-US" w:eastAsia="zh-CN"/>
              </w:rPr>
              <w:t>人工费单价</w:t>
            </w:r>
          </w:p>
        </w:tc>
        <w:tc>
          <w:tcPr>
            <w:tcW w:w="3021" w:type="pct"/>
            <w:shd w:val="clear" w:color="auto" w:fill="auto"/>
            <w:vAlign w:val="center"/>
          </w:tcPr>
          <w:p w14:paraId="2883BCE4">
            <w:pPr>
              <w:pStyle w:val="100"/>
              <w:bidi w:val="0"/>
              <w:rPr>
                <w:rFonts w:hint="default"/>
              </w:rPr>
            </w:pPr>
          </w:p>
        </w:tc>
        <w:tc>
          <w:tcPr>
            <w:tcW w:w="1326" w:type="dxa"/>
            <w:shd w:val="clear" w:color="auto" w:fill="auto"/>
            <w:vAlign w:val="center"/>
          </w:tcPr>
          <w:p w14:paraId="485F6422">
            <w:pPr>
              <w:pStyle w:val="100"/>
              <w:bidi w:val="0"/>
              <w:rPr>
                <w:rFonts w:hint="default"/>
              </w:rPr>
            </w:pPr>
            <w:r>
              <w:rPr>
                <w:rFonts w:hint="default"/>
                <w:lang w:val="en-US" w:eastAsia="zh-CN"/>
              </w:rPr>
              <w:t>132.88</w:t>
            </w:r>
          </w:p>
        </w:tc>
      </w:tr>
      <w:tr w14:paraId="14FD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3"/>
            <w:shd w:val="clear" w:color="auto" w:fill="auto"/>
            <w:noWrap/>
            <w:vAlign w:val="center"/>
          </w:tcPr>
          <w:p w14:paraId="67AFC7D1">
            <w:pPr>
              <w:pStyle w:val="100"/>
              <w:bidi w:val="0"/>
              <w:rPr>
                <w:rFonts w:hint="eastAsia"/>
              </w:rPr>
            </w:pPr>
            <w:r>
              <w:rPr>
                <w:rFonts w:hint="eastAsia"/>
                <w:lang w:val="en-US" w:eastAsia="zh-CN"/>
              </w:rPr>
              <w:t>人工工资计算费表（乙类）</w:t>
            </w:r>
          </w:p>
        </w:tc>
      </w:tr>
      <w:tr w14:paraId="067B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0DED12EF">
            <w:pPr>
              <w:pStyle w:val="100"/>
              <w:bidi w:val="0"/>
              <w:rPr>
                <w:rFonts w:hint="eastAsia"/>
              </w:rPr>
            </w:pPr>
            <w:r>
              <w:rPr>
                <w:rFonts w:hint="eastAsia"/>
                <w:lang w:val="en-US" w:eastAsia="zh-CN"/>
              </w:rPr>
              <w:t>项</w:t>
            </w:r>
            <w:r>
              <w:rPr>
                <w:rFonts w:hint="default"/>
                <w:lang w:val="en-US" w:eastAsia="zh-CN"/>
              </w:rPr>
              <w:t xml:space="preserve"> </w:t>
            </w:r>
            <w:r>
              <w:rPr>
                <w:rFonts w:hint="eastAsia"/>
                <w:lang w:val="en-US" w:eastAsia="zh-CN"/>
              </w:rPr>
              <w:t>目</w:t>
            </w:r>
          </w:p>
        </w:tc>
        <w:tc>
          <w:tcPr>
            <w:tcW w:w="3021" w:type="pct"/>
            <w:shd w:val="clear" w:color="auto" w:fill="auto"/>
            <w:vAlign w:val="center"/>
          </w:tcPr>
          <w:p w14:paraId="5FB59301">
            <w:pPr>
              <w:pStyle w:val="100"/>
              <w:bidi w:val="0"/>
              <w:rPr>
                <w:rFonts w:hint="eastAsia"/>
              </w:rPr>
            </w:pPr>
            <w:r>
              <w:rPr>
                <w:rFonts w:hint="eastAsia"/>
                <w:lang w:val="en-US" w:eastAsia="zh-CN"/>
              </w:rPr>
              <w:t>计算公式</w:t>
            </w:r>
          </w:p>
        </w:tc>
        <w:tc>
          <w:tcPr>
            <w:tcW w:w="712" w:type="pct"/>
            <w:shd w:val="clear" w:color="auto" w:fill="auto"/>
            <w:vAlign w:val="center"/>
          </w:tcPr>
          <w:p w14:paraId="6F8EF7D6">
            <w:pPr>
              <w:pStyle w:val="100"/>
              <w:bidi w:val="0"/>
              <w:rPr>
                <w:rFonts w:hint="eastAsia"/>
              </w:rPr>
            </w:pPr>
            <w:r>
              <w:rPr>
                <w:rFonts w:hint="eastAsia"/>
                <w:lang w:val="en-US" w:eastAsia="zh-CN"/>
              </w:rPr>
              <w:t>单价（元）</w:t>
            </w:r>
          </w:p>
        </w:tc>
      </w:tr>
      <w:tr w14:paraId="541B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19AE6234">
            <w:pPr>
              <w:pStyle w:val="100"/>
              <w:bidi w:val="0"/>
              <w:rPr>
                <w:rFonts w:hint="eastAsia"/>
              </w:rPr>
            </w:pPr>
            <w:r>
              <w:rPr>
                <w:rFonts w:hint="eastAsia"/>
                <w:lang w:val="en-US" w:eastAsia="zh-CN"/>
              </w:rPr>
              <w:t>㈠基本工资</w:t>
            </w:r>
          </w:p>
        </w:tc>
        <w:tc>
          <w:tcPr>
            <w:tcW w:w="3021" w:type="pct"/>
            <w:shd w:val="clear" w:color="auto" w:fill="auto"/>
            <w:noWrap/>
            <w:vAlign w:val="center"/>
          </w:tcPr>
          <w:p w14:paraId="49AC8941">
            <w:pPr>
              <w:pStyle w:val="100"/>
              <w:bidi w:val="0"/>
              <w:rPr>
                <w:rFonts w:hint="eastAsia"/>
              </w:rPr>
            </w:pPr>
            <w:r>
              <w:rPr>
                <w:rFonts w:hint="eastAsia"/>
                <w:lang w:val="en-US" w:eastAsia="zh-CN"/>
              </w:rPr>
              <w:t>基本工资标准（1540元</w:t>
            </w:r>
            <w:r>
              <w:rPr>
                <w:rFonts w:hint="default"/>
                <w:lang w:val="en-US" w:eastAsia="zh-CN"/>
              </w:rPr>
              <w:t>/</w:t>
            </w:r>
            <w:r>
              <w:rPr>
                <w:rFonts w:hint="eastAsia"/>
                <w:lang w:val="en-US" w:eastAsia="zh-CN"/>
              </w:rPr>
              <w:t>月）</w:t>
            </w:r>
            <w:r>
              <w:rPr>
                <w:rFonts w:hint="default"/>
                <w:lang w:val="en-US" w:eastAsia="zh-CN"/>
              </w:rPr>
              <w:t>×12÷</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64CB4873">
            <w:pPr>
              <w:pStyle w:val="100"/>
              <w:bidi w:val="0"/>
              <w:rPr>
                <w:rFonts w:hint="default"/>
              </w:rPr>
            </w:pPr>
            <w:r>
              <w:rPr>
                <w:rFonts w:hint="default"/>
                <w:lang w:val="en-US" w:eastAsia="zh-CN"/>
              </w:rPr>
              <w:t xml:space="preserve">77.00 </w:t>
            </w:r>
          </w:p>
        </w:tc>
      </w:tr>
      <w:tr w14:paraId="79FE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766885DE">
            <w:pPr>
              <w:pStyle w:val="100"/>
              <w:bidi w:val="0"/>
              <w:rPr>
                <w:rFonts w:hint="eastAsia"/>
              </w:rPr>
            </w:pPr>
            <w:r>
              <w:rPr>
                <w:rFonts w:hint="eastAsia"/>
                <w:lang w:val="en-US" w:eastAsia="zh-CN"/>
              </w:rPr>
              <w:t>㈡辅助工资</w:t>
            </w:r>
          </w:p>
        </w:tc>
        <w:tc>
          <w:tcPr>
            <w:tcW w:w="3021" w:type="pct"/>
            <w:shd w:val="clear" w:color="auto" w:fill="auto"/>
            <w:noWrap/>
            <w:vAlign w:val="center"/>
          </w:tcPr>
          <w:p w14:paraId="3D5BC72F">
            <w:pPr>
              <w:pStyle w:val="100"/>
              <w:bidi w:val="0"/>
              <w:rPr>
                <w:rFonts w:hint="default"/>
              </w:rPr>
            </w:pPr>
          </w:p>
        </w:tc>
        <w:tc>
          <w:tcPr>
            <w:tcW w:w="1326" w:type="dxa"/>
            <w:shd w:val="clear" w:color="auto" w:fill="auto"/>
            <w:vAlign w:val="center"/>
          </w:tcPr>
          <w:p w14:paraId="2DE5813C">
            <w:pPr>
              <w:pStyle w:val="100"/>
              <w:bidi w:val="0"/>
              <w:rPr>
                <w:rFonts w:hint="default"/>
              </w:rPr>
            </w:pPr>
            <w:r>
              <w:rPr>
                <w:rFonts w:hint="default"/>
                <w:lang w:val="en-US" w:eastAsia="zh-CN"/>
              </w:rPr>
              <w:t xml:space="preserve">7.76 </w:t>
            </w:r>
          </w:p>
        </w:tc>
      </w:tr>
      <w:tr w14:paraId="10F4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12099CEA">
            <w:pPr>
              <w:pStyle w:val="100"/>
              <w:bidi w:val="0"/>
              <w:rPr>
                <w:rFonts w:hint="default"/>
              </w:rPr>
            </w:pPr>
            <w:r>
              <w:rPr>
                <w:rFonts w:hint="default"/>
                <w:lang w:val="en-US" w:eastAsia="zh-CN"/>
              </w:rPr>
              <w:t xml:space="preserve">(1) </w:t>
            </w:r>
            <w:r>
              <w:rPr>
                <w:rFonts w:hint="eastAsia"/>
                <w:lang w:val="en-US" w:eastAsia="zh-CN"/>
              </w:rPr>
              <w:t>地区津贴</w:t>
            </w:r>
          </w:p>
        </w:tc>
        <w:tc>
          <w:tcPr>
            <w:tcW w:w="3021" w:type="pct"/>
            <w:shd w:val="clear" w:color="auto" w:fill="auto"/>
            <w:noWrap/>
            <w:vAlign w:val="center"/>
          </w:tcPr>
          <w:p w14:paraId="27D70D5A">
            <w:pPr>
              <w:pStyle w:val="100"/>
              <w:bidi w:val="0"/>
              <w:rPr>
                <w:rFonts w:hint="eastAsia"/>
              </w:rPr>
            </w:pPr>
            <w:r>
              <w:rPr>
                <w:rFonts w:hint="eastAsia"/>
                <w:lang w:val="en-US" w:eastAsia="zh-CN"/>
              </w:rPr>
              <w:t>地区津贴（元</w:t>
            </w:r>
            <w:r>
              <w:rPr>
                <w:rFonts w:hint="default"/>
                <w:lang w:val="en-US" w:eastAsia="zh-CN"/>
              </w:rPr>
              <w:t>/</w:t>
            </w:r>
            <w:r>
              <w:rPr>
                <w:rFonts w:hint="eastAsia"/>
                <w:lang w:val="en-US" w:eastAsia="zh-CN"/>
              </w:rPr>
              <w:t>月）</w:t>
            </w:r>
            <w:r>
              <w:rPr>
                <w:rFonts w:hint="default"/>
                <w:lang w:val="en-US" w:eastAsia="zh-CN"/>
              </w:rPr>
              <w:t>×12÷</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2C74FCC8">
            <w:pPr>
              <w:pStyle w:val="100"/>
              <w:bidi w:val="0"/>
              <w:rPr>
                <w:rFonts w:hint="default"/>
                <w:lang w:val="en-US"/>
              </w:rPr>
            </w:pPr>
            <w:r>
              <w:rPr>
                <w:rFonts w:hint="default"/>
                <w:lang w:val="en-US" w:eastAsia="zh-CN"/>
              </w:rPr>
              <w:t xml:space="preserve">3.65 </w:t>
            </w:r>
          </w:p>
        </w:tc>
      </w:tr>
      <w:tr w14:paraId="7669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15327D26">
            <w:pPr>
              <w:pStyle w:val="100"/>
              <w:bidi w:val="0"/>
              <w:rPr>
                <w:rFonts w:hint="default"/>
              </w:rPr>
            </w:pPr>
            <w:r>
              <w:rPr>
                <w:rFonts w:hint="default"/>
                <w:lang w:val="en-US" w:eastAsia="zh-CN"/>
              </w:rPr>
              <w:t xml:space="preserve">(2) </w:t>
            </w:r>
            <w:r>
              <w:rPr>
                <w:rFonts w:hint="eastAsia"/>
                <w:lang w:val="en-US" w:eastAsia="zh-CN"/>
              </w:rPr>
              <w:t>施工津贴</w:t>
            </w:r>
          </w:p>
        </w:tc>
        <w:tc>
          <w:tcPr>
            <w:tcW w:w="3021" w:type="pct"/>
            <w:shd w:val="clear" w:color="auto" w:fill="auto"/>
            <w:noWrap/>
            <w:vAlign w:val="center"/>
          </w:tcPr>
          <w:p w14:paraId="67885A84">
            <w:pPr>
              <w:pStyle w:val="100"/>
              <w:bidi w:val="0"/>
              <w:rPr>
                <w:rFonts w:hint="eastAsia"/>
              </w:rPr>
            </w:pPr>
            <w:r>
              <w:rPr>
                <w:rFonts w:hint="eastAsia"/>
                <w:lang w:val="en-US" w:eastAsia="zh-CN"/>
              </w:rPr>
              <w:t>津贴标准（元</w:t>
            </w:r>
            <w:r>
              <w:rPr>
                <w:rFonts w:hint="default"/>
                <w:lang w:val="en-US" w:eastAsia="zh-CN"/>
              </w:rPr>
              <w:t>/</w:t>
            </w:r>
            <w:r>
              <w:rPr>
                <w:rFonts w:hint="eastAsia"/>
                <w:lang w:val="en-US" w:eastAsia="zh-CN"/>
              </w:rPr>
              <w:t>天）</w:t>
            </w:r>
            <w:r>
              <w:rPr>
                <w:rFonts w:hint="default"/>
                <w:lang w:val="en-US" w:eastAsia="zh-CN"/>
              </w:rPr>
              <w:t>×365×0.95÷</w:t>
            </w:r>
            <w:r>
              <w:rPr>
                <w:rFonts w:hint="eastAsia"/>
                <w:lang w:val="en-US" w:eastAsia="zh-CN"/>
              </w:rPr>
              <w:t>（</w:t>
            </w:r>
            <w:r>
              <w:rPr>
                <w:rFonts w:hint="default"/>
                <w:lang w:val="en-US" w:eastAsia="zh-CN"/>
              </w:rPr>
              <w:t>250-10</w:t>
            </w:r>
            <w:r>
              <w:rPr>
                <w:rFonts w:hint="eastAsia"/>
                <w:lang w:val="en-US" w:eastAsia="zh-CN"/>
              </w:rPr>
              <w:t>）</w:t>
            </w:r>
          </w:p>
        </w:tc>
        <w:tc>
          <w:tcPr>
            <w:tcW w:w="1326" w:type="dxa"/>
            <w:shd w:val="clear" w:color="auto" w:fill="auto"/>
            <w:vAlign w:val="center"/>
          </w:tcPr>
          <w:p w14:paraId="67018E3A">
            <w:pPr>
              <w:pStyle w:val="100"/>
              <w:bidi w:val="0"/>
              <w:rPr>
                <w:rFonts w:hint="default"/>
              </w:rPr>
            </w:pPr>
            <w:r>
              <w:rPr>
                <w:rFonts w:hint="default"/>
                <w:lang w:val="en-US" w:eastAsia="zh-CN"/>
              </w:rPr>
              <w:t xml:space="preserve">2.89 </w:t>
            </w:r>
          </w:p>
        </w:tc>
      </w:tr>
      <w:tr w14:paraId="5352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56254D13">
            <w:pPr>
              <w:pStyle w:val="100"/>
              <w:bidi w:val="0"/>
              <w:rPr>
                <w:rFonts w:hint="default"/>
              </w:rPr>
            </w:pPr>
            <w:r>
              <w:rPr>
                <w:rFonts w:hint="default"/>
                <w:lang w:val="en-US" w:eastAsia="zh-CN"/>
              </w:rPr>
              <w:t xml:space="preserve">(3) </w:t>
            </w:r>
            <w:r>
              <w:rPr>
                <w:rFonts w:hint="eastAsia"/>
                <w:lang w:val="en-US" w:eastAsia="zh-CN"/>
              </w:rPr>
              <w:t>夜餐津贴</w:t>
            </w:r>
          </w:p>
        </w:tc>
        <w:tc>
          <w:tcPr>
            <w:tcW w:w="3021" w:type="pct"/>
            <w:shd w:val="clear" w:color="auto" w:fill="auto"/>
            <w:noWrap/>
            <w:vAlign w:val="center"/>
          </w:tcPr>
          <w:p w14:paraId="5EE7E216">
            <w:pPr>
              <w:pStyle w:val="100"/>
              <w:bidi w:val="0"/>
              <w:rPr>
                <w:rFonts w:hint="default"/>
              </w:rPr>
            </w:pPr>
            <w:r>
              <w:rPr>
                <w:rFonts w:hint="default"/>
                <w:lang w:val="en-US" w:eastAsia="zh-CN"/>
              </w:rPr>
              <w:t>4*0.05</w:t>
            </w:r>
          </w:p>
        </w:tc>
        <w:tc>
          <w:tcPr>
            <w:tcW w:w="1326" w:type="dxa"/>
            <w:shd w:val="clear" w:color="auto" w:fill="auto"/>
            <w:vAlign w:val="center"/>
          </w:tcPr>
          <w:p w14:paraId="6010ADC0">
            <w:pPr>
              <w:pStyle w:val="100"/>
              <w:bidi w:val="0"/>
              <w:rPr>
                <w:rFonts w:hint="default"/>
              </w:rPr>
            </w:pPr>
            <w:r>
              <w:rPr>
                <w:rFonts w:hint="default"/>
                <w:lang w:val="en-US" w:eastAsia="zh-CN"/>
              </w:rPr>
              <w:t xml:space="preserve">0.20 </w:t>
            </w:r>
          </w:p>
        </w:tc>
      </w:tr>
      <w:tr w14:paraId="2336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6A4F9A6B">
            <w:pPr>
              <w:pStyle w:val="100"/>
              <w:bidi w:val="0"/>
              <w:rPr>
                <w:rFonts w:hint="default"/>
              </w:rPr>
            </w:pPr>
            <w:r>
              <w:rPr>
                <w:rFonts w:hint="default"/>
                <w:lang w:val="en-US" w:eastAsia="zh-CN"/>
              </w:rPr>
              <w:t xml:space="preserve">(4) </w:t>
            </w:r>
            <w:r>
              <w:rPr>
                <w:rFonts w:hint="eastAsia"/>
                <w:lang w:val="en-US" w:eastAsia="zh-CN"/>
              </w:rPr>
              <w:t>节日加班津贴</w:t>
            </w:r>
          </w:p>
        </w:tc>
        <w:tc>
          <w:tcPr>
            <w:tcW w:w="3021" w:type="pct"/>
            <w:shd w:val="clear" w:color="auto" w:fill="auto"/>
            <w:noWrap/>
            <w:vAlign w:val="center"/>
          </w:tcPr>
          <w:p w14:paraId="5FF99D63">
            <w:pPr>
              <w:pStyle w:val="100"/>
              <w:bidi w:val="0"/>
              <w:rPr>
                <w:rFonts w:hint="default"/>
              </w:rPr>
            </w:pPr>
            <w:r>
              <w:rPr>
                <w:rFonts w:hint="default"/>
                <w:lang w:val="en-US" w:eastAsia="zh-CN"/>
              </w:rPr>
              <w:t>㈠*(3-1)*11/250*0.15</w:t>
            </w:r>
          </w:p>
        </w:tc>
        <w:tc>
          <w:tcPr>
            <w:tcW w:w="1326" w:type="dxa"/>
            <w:shd w:val="clear" w:color="auto" w:fill="auto"/>
            <w:vAlign w:val="center"/>
          </w:tcPr>
          <w:p w14:paraId="5D3BC2E3">
            <w:pPr>
              <w:pStyle w:val="100"/>
              <w:bidi w:val="0"/>
              <w:rPr>
                <w:rFonts w:hint="default"/>
              </w:rPr>
            </w:pPr>
            <w:r>
              <w:rPr>
                <w:rFonts w:hint="default"/>
                <w:lang w:val="en-US" w:eastAsia="zh-CN"/>
              </w:rPr>
              <w:t xml:space="preserve">1.02 </w:t>
            </w:r>
          </w:p>
        </w:tc>
      </w:tr>
      <w:tr w14:paraId="176E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46CBEE3E">
            <w:pPr>
              <w:pStyle w:val="100"/>
              <w:bidi w:val="0"/>
              <w:rPr>
                <w:rFonts w:hint="eastAsia"/>
              </w:rPr>
            </w:pPr>
            <w:r>
              <w:rPr>
                <w:rFonts w:hint="eastAsia"/>
                <w:lang w:val="en-US" w:eastAsia="zh-CN"/>
              </w:rPr>
              <w:t>㈢工资附加费</w:t>
            </w:r>
          </w:p>
        </w:tc>
        <w:tc>
          <w:tcPr>
            <w:tcW w:w="3021" w:type="pct"/>
            <w:shd w:val="clear" w:color="auto" w:fill="auto"/>
            <w:vAlign w:val="center"/>
          </w:tcPr>
          <w:p w14:paraId="10FA5C86">
            <w:pPr>
              <w:pStyle w:val="100"/>
              <w:bidi w:val="0"/>
              <w:rPr>
                <w:rFonts w:hint="default"/>
              </w:rPr>
            </w:pPr>
          </w:p>
        </w:tc>
        <w:tc>
          <w:tcPr>
            <w:tcW w:w="1326" w:type="dxa"/>
            <w:shd w:val="clear" w:color="auto" w:fill="auto"/>
            <w:vAlign w:val="center"/>
          </w:tcPr>
          <w:p w14:paraId="77BDBDA5">
            <w:pPr>
              <w:pStyle w:val="100"/>
              <w:bidi w:val="0"/>
              <w:rPr>
                <w:rFonts w:hint="default"/>
              </w:rPr>
            </w:pPr>
            <w:r>
              <w:rPr>
                <w:rFonts w:hint="default"/>
                <w:lang w:val="en-US" w:eastAsia="zh-CN"/>
              </w:rPr>
              <w:t xml:space="preserve">41.95 </w:t>
            </w:r>
          </w:p>
        </w:tc>
      </w:tr>
      <w:tr w14:paraId="271F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6F557057">
            <w:pPr>
              <w:pStyle w:val="100"/>
              <w:bidi w:val="0"/>
              <w:rPr>
                <w:rFonts w:hint="default"/>
              </w:rPr>
            </w:pPr>
            <w:r>
              <w:rPr>
                <w:rFonts w:hint="default"/>
                <w:lang w:val="en-US" w:eastAsia="zh-CN"/>
              </w:rPr>
              <w:t xml:space="preserve">(1) </w:t>
            </w:r>
            <w:r>
              <w:rPr>
                <w:rFonts w:hint="eastAsia"/>
                <w:lang w:val="en-US" w:eastAsia="zh-CN"/>
              </w:rPr>
              <w:t>职工福利基金</w:t>
            </w:r>
          </w:p>
        </w:tc>
        <w:tc>
          <w:tcPr>
            <w:tcW w:w="3021" w:type="pct"/>
            <w:shd w:val="clear" w:color="auto" w:fill="auto"/>
            <w:vAlign w:val="center"/>
          </w:tcPr>
          <w:p w14:paraId="17BF2A1C">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×14%</w:t>
            </w:r>
          </w:p>
        </w:tc>
        <w:tc>
          <w:tcPr>
            <w:tcW w:w="1326" w:type="dxa"/>
            <w:shd w:val="clear" w:color="auto" w:fill="auto"/>
            <w:vAlign w:val="center"/>
          </w:tcPr>
          <w:p w14:paraId="0DE74A49">
            <w:pPr>
              <w:pStyle w:val="100"/>
              <w:bidi w:val="0"/>
              <w:rPr>
                <w:rFonts w:hint="default"/>
              </w:rPr>
            </w:pPr>
            <w:r>
              <w:rPr>
                <w:rFonts w:hint="default"/>
                <w:lang w:val="en-US" w:eastAsia="zh-CN"/>
              </w:rPr>
              <w:t xml:space="preserve">11.87 </w:t>
            </w:r>
          </w:p>
        </w:tc>
      </w:tr>
      <w:tr w14:paraId="5D05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1CD41B35">
            <w:pPr>
              <w:pStyle w:val="100"/>
              <w:bidi w:val="0"/>
              <w:rPr>
                <w:rFonts w:hint="default"/>
              </w:rPr>
            </w:pPr>
            <w:r>
              <w:rPr>
                <w:rFonts w:hint="default"/>
                <w:lang w:val="en-US" w:eastAsia="zh-CN"/>
              </w:rPr>
              <w:t xml:space="preserve">(2) </w:t>
            </w:r>
            <w:r>
              <w:rPr>
                <w:rFonts w:hint="eastAsia"/>
                <w:lang w:val="en-US" w:eastAsia="zh-CN"/>
              </w:rPr>
              <w:t>工会经费</w:t>
            </w:r>
          </w:p>
        </w:tc>
        <w:tc>
          <w:tcPr>
            <w:tcW w:w="3021" w:type="pct"/>
            <w:shd w:val="clear" w:color="auto" w:fill="auto"/>
            <w:vAlign w:val="center"/>
          </w:tcPr>
          <w:p w14:paraId="6F2B07E2">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w:t>
            </w:r>
          </w:p>
        </w:tc>
        <w:tc>
          <w:tcPr>
            <w:tcW w:w="1326" w:type="dxa"/>
            <w:shd w:val="clear" w:color="auto" w:fill="auto"/>
            <w:vAlign w:val="center"/>
          </w:tcPr>
          <w:p w14:paraId="1571B4FC">
            <w:pPr>
              <w:pStyle w:val="100"/>
              <w:bidi w:val="0"/>
              <w:rPr>
                <w:rFonts w:hint="default"/>
              </w:rPr>
            </w:pPr>
            <w:r>
              <w:rPr>
                <w:rFonts w:hint="default"/>
                <w:lang w:val="en-US" w:eastAsia="zh-CN"/>
              </w:rPr>
              <w:t xml:space="preserve">1.70 </w:t>
            </w:r>
          </w:p>
        </w:tc>
      </w:tr>
      <w:tr w14:paraId="44F5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098543BF">
            <w:pPr>
              <w:pStyle w:val="100"/>
              <w:bidi w:val="0"/>
              <w:rPr>
                <w:rFonts w:hint="default"/>
              </w:rPr>
            </w:pPr>
            <w:r>
              <w:rPr>
                <w:rFonts w:hint="default"/>
                <w:lang w:val="en-US" w:eastAsia="zh-CN"/>
              </w:rPr>
              <w:t xml:space="preserve">(3) </w:t>
            </w:r>
            <w:r>
              <w:rPr>
                <w:rFonts w:hint="eastAsia"/>
                <w:lang w:val="en-US" w:eastAsia="zh-CN"/>
              </w:rPr>
              <w:t>养老保险费</w:t>
            </w:r>
          </w:p>
        </w:tc>
        <w:tc>
          <w:tcPr>
            <w:tcW w:w="3021" w:type="pct"/>
            <w:shd w:val="clear" w:color="auto" w:fill="auto"/>
            <w:vAlign w:val="center"/>
          </w:tcPr>
          <w:p w14:paraId="2F68CCD4">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×20%</w:t>
            </w:r>
          </w:p>
        </w:tc>
        <w:tc>
          <w:tcPr>
            <w:tcW w:w="1326" w:type="dxa"/>
            <w:shd w:val="clear" w:color="auto" w:fill="auto"/>
            <w:vAlign w:val="center"/>
          </w:tcPr>
          <w:p w14:paraId="60A941D8">
            <w:pPr>
              <w:pStyle w:val="100"/>
              <w:bidi w:val="0"/>
              <w:rPr>
                <w:rFonts w:hint="default"/>
              </w:rPr>
            </w:pPr>
            <w:r>
              <w:rPr>
                <w:rFonts w:hint="default"/>
                <w:lang w:val="en-US" w:eastAsia="zh-CN"/>
              </w:rPr>
              <w:t xml:space="preserve">16.95 </w:t>
            </w:r>
          </w:p>
        </w:tc>
      </w:tr>
      <w:tr w14:paraId="7D8F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41EDF703">
            <w:pPr>
              <w:pStyle w:val="100"/>
              <w:bidi w:val="0"/>
              <w:rPr>
                <w:rFonts w:hint="default"/>
              </w:rPr>
            </w:pPr>
            <w:r>
              <w:rPr>
                <w:rFonts w:hint="default"/>
                <w:lang w:val="en-US" w:eastAsia="zh-CN"/>
              </w:rPr>
              <w:t>(4)</w:t>
            </w:r>
            <w:r>
              <w:rPr>
                <w:rFonts w:hint="eastAsia"/>
                <w:lang w:val="en-US" w:eastAsia="zh-CN"/>
              </w:rPr>
              <w:t>医疗保险费</w:t>
            </w:r>
          </w:p>
        </w:tc>
        <w:tc>
          <w:tcPr>
            <w:tcW w:w="3021" w:type="pct"/>
            <w:shd w:val="clear" w:color="auto" w:fill="auto"/>
            <w:vAlign w:val="center"/>
          </w:tcPr>
          <w:p w14:paraId="70F359DA">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×4%</w:t>
            </w:r>
          </w:p>
        </w:tc>
        <w:tc>
          <w:tcPr>
            <w:tcW w:w="1326" w:type="dxa"/>
            <w:shd w:val="clear" w:color="auto" w:fill="auto"/>
            <w:vAlign w:val="center"/>
          </w:tcPr>
          <w:p w14:paraId="5ED66F6A">
            <w:pPr>
              <w:pStyle w:val="100"/>
              <w:bidi w:val="0"/>
              <w:rPr>
                <w:rFonts w:hint="default"/>
              </w:rPr>
            </w:pPr>
            <w:r>
              <w:rPr>
                <w:rFonts w:hint="default"/>
                <w:lang w:val="en-US" w:eastAsia="zh-CN"/>
              </w:rPr>
              <w:t xml:space="preserve">3.39 </w:t>
            </w:r>
          </w:p>
        </w:tc>
      </w:tr>
      <w:tr w14:paraId="41F6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7038BF2F">
            <w:pPr>
              <w:pStyle w:val="100"/>
              <w:bidi w:val="0"/>
              <w:rPr>
                <w:rFonts w:hint="default"/>
              </w:rPr>
            </w:pPr>
            <w:r>
              <w:rPr>
                <w:rFonts w:hint="default"/>
                <w:lang w:val="en-US" w:eastAsia="zh-CN"/>
              </w:rPr>
              <w:t>(5)</w:t>
            </w:r>
            <w:r>
              <w:rPr>
                <w:rFonts w:hint="eastAsia"/>
                <w:lang w:val="en-US" w:eastAsia="zh-CN"/>
              </w:rPr>
              <w:t>工伤保险费</w:t>
            </w:r>
          </w:p>
        </w:tc>
        <w:tc>
          <w:tcPr>
            <w:tcW w:w="3021" w:type="pct"/>
            <w:shd w:val="clear" w:color="auto" w:fill="auto"/>
            <w:vAlign w:val="center"/>
          </w:tcPr>
          <w:p w14:paraId="3366D769">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×1.5%</w:t>
            </w:r>
          </w:p>
        </w:tc>
        <w:tc>
          <w:tcPr>
            <w:tcW w:w="1326" w:type="dxa"/>
            <w:shd w:val="clear" w:color="auto" w:fill="auto"/>
            <w:vAlign w:val="center"/>
          </w:tcPr>
          <w:p w14:paraId="6F54B559">
            <w:pPr>
              <w:pStyle w:val="100"/>
              <w:bidi w:val="0"/>
              <w:rPr>
                <w:rFonts w:hint="default"/>
              </w:rPr>
            </w:pPr>
            <w:r>
              <w:rPr>
                <w:rFonts w:hint="default"/>
                <w:lang w:val="en-US" w:eastAsia="zh-CN"/>
              </w:rPr>
              <w:t xml:space="preserve">1.27 </w:t>
            </w:r>
          </w:p>
        </w:tc>
      </w:tr>
      <w:tr w14:paraId="43C0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265" w:type="pct"/>
            <w:shd w:val="clear" w:color="auto" w:fill="auto"/>
            <w:vAlign w:val="center"/>
          </w:tcPr>
          <w:p w14:paraId="7A66578C">
            <w:pPr>
              <w:pStyle w:val="100"/>
              <w:bidi w:val="0"/>
              <w:rPr>
                <w:rFonts w:hint="default"/>
              </w:rPr>
            </w:pPr>
            <w:r>
              <w:rPr>
                <w:rFonts w:hint="default"/>
                <w:lang w:val="en-US" w:eastAsia="zh-CN"/>
              </w:rPr>
              <w:t xml:space="preserve">(6) </w:t>
            </w:r>
            <w:r>
              <w:rPr>
                <w:rFonts w:hint="eastAsia"/>
                <w:lang w:val="en-US" w:eastAsia="zh-CN"/>
              </w:rPr>
              <w:t>职工失业保险基金</w:t>
            </w:r>
          </w:p>
        </w:tc>
        <w:tc>
          <w:tcPr>
            <w:tcW w:w="3021" w:type="pct"/>
            <w:shd w:val="clear" w:color="auto" w:fill="auto"/>
            <w:vAlign w:val="center"/>
          </w:tcPr>
          <w:p w14:paraId="06087BDB">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×2%</w:t>
            </w:r>
          </w:p>
        </w:tc>
        <w:tc>
          <w:tcPr>
            <w:tcW w:w="1326" w:type="dxa"/>
            <w:shd w:val="clear" w:color="auto" w:fill="auto"/>
            <w:vAlign w:val="center"/>
          </w:tcPr>
          <w:p w14:paraId="6815D934">
            <w:pPr>
              <w:pStyle w:val="100"/>
              <w:bidi w:val="0"/>
              <w:rPr>
                <w:rFonts w:hint="default"/>
              </w:rPr>
            </w:pPr>
            <w:r>
              <w:rPr>
                <w:rFonts w:hint="default"/>
                <w:lang w:val="en-US" w:eastAsia="zh-CN"/>
              </w:rPr>
              <w:t xml:space="preserve">1.70 </w:t>
            </w:r>
          </w:p>
        </w:tc>
      </w:tr>
      <w:tr w14:paraId="3B73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51609531">
            <w:pPr>
              <w:pStyle w:val="100"/>
              <w:bidi w:val="0"/>
              <w:rPr>
                <w:rFonts w:hint="default"/>
              </w:rPr>
            </w:pPr>
            <w:r>
              <w:rPr>
                <w:rFonts w:hint="default"/>
                <w:lang w:val="en-US" w:eastAsia="zh-CN"/>
              </w:rPr>
              <w:t xml:space="preserve">(7) </w:t>
            </w:r>
            <w:r>
              <w:rPr>
                <w:rFonts w:hint="eastAsia"/>
                <w:lang w:val="en-US" w:eastAsia="zh-CN"/>
              </w:rPr>
              <w:t>住房公积金</w:t>
            </w:r>
          </w:p>
        </w:tc>
        <w:tc>
          <w:tcPr>
            <w:tcW w:w="3021" w:type="pct"/>
            <w:shd w:val="clear" w:color="auto" w:fill="auto"/>
            <w:vAlign w:val="center"/>
          </w:tcPr>
          <w:p w14:paraId="6C913077">
            <w:pPr>
              <w:pStyle w:val="100"/>
              <w:bidi w:val="0"/>
              <w:rPr>
                <w:rFonts w:hint="eastAsia"/>
              </w:rPr>
            </w:pPr>
            <w:r>
              <w:rPr>
                <w:rFonts w:hint="eastAsia"/>
                <w:lang w:val="en-US" w:eastAsia="zh-CN"/>
              </w:rPr>
              <w:t>〔㈠</w:t>
            </w:r>
            <w:r>
              <w:rPr>
                <w:rFonts w:hint="default"/>
                <w:lang w:val="en-US" w:eastAsia="zh-CN"/>
              </w:rPr>
              <w:t>+</w:t>
            </w:r>
            <w:r>
              <w:rPr>
                <w:rFonts w:hint="eastAsia"/>
                <w:lang w:val="en-US" w:eastAsia="zh-CN"/>
              </w:rPr>
              <w:t>㈡〕</w:t>
            </w:r>
            <w:r>
              <w:rPr>
                <w:rFonts w:hint="default"/>
                <w:lang w:val="en-US" w:eastAsia="zh-CN"/>
              </w:rPr>
              <w:t>×6%</w:t>
            </w:r>
          </w:p>
        </w:tc>
        <w:tc>
          <w:tcPr>
            <w:tcW w:w="1326" w:type="dxa"/>
            <w:shd w:val="clear" w:color="auto" w:fill="auto"/>
            <w:vAlign w:val="center"/>
          </w:tcPr>
          <w:p w14:paraId="31E04090">
            <w:pPr>
              <w:pStyle w:val="100"/>
              <w:bidi w:val="0"/>
              <w:rPr>
                <w:rFonts w:hint="default"/>
              </w:rPr>
            </w:pPr>
            <w:r>
              <w:rPr>
                <w:rFonts w:hint="default"/>
                <w:lang w:val="en-US" w:eastAsia="zh-CN"/>
              </w:rPr>
              <w:t xml:space="preserve">5.09 </w:t>
            </w:r>
          </w:p>
        </w:tc>
      </w:tr>
      <w:tr w14:paraId="2F37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65" w:type="pct"/>
            <w:shd w:val="clear" w:color="auto" w:fill="auto"/>
            <w:vAlign w:val="center"/>
          </w:tcPr>
          <w:p w14:paraId="707534E4">
            <w:pPr>
              <w:pStyle w:val="100"/>
              <w:bidi w:val="0"/>
              <w:rPr>
                <w:rFonts w:hint="eastAsia"/>
              </w:rPr>
            </w:pPr>
            <w:r>
              <w:rPr>
                <w:rFonts w:hint="eastAsia"/>
                <w:lang w:val="en-US" w:eastAsia="zh-CN"/>
              </w:rPr>
              <w:t>人工费单价</w:t>
            </w:r>
          </w:p>
        </w:tc>
        <w:tc>
          <w:tcPr>
            <w:tcW w:w="3021" w:type="pct"/>
            <w:shd w:val="clear" w:color="auto" w:fill="auto"/>
            <w:vAlign w:val="center"/>
          </w:tcPr>
          <w:p w14:paraId="78896275">
            <w:pPr>
              <w:pStyle w:val="100"/>
              <w:bidi w:val="0"/>
              <w:rPr>
                <w:rFonts w:hint="default"/>
              </w:rPr>
            </w:pPr>
          </w:p>
        </w:tc>
        <w:tc>
          <w:tcPr>
            <w:tcW w:w="1326" w:type="dxa"/>
            <w:shd w:val="clear" w:color="auto" w:fill="auto"/>
            <w:vAlign w:val="center"/>
          </w:tcPr>
          <w:p w14:paraId="2E7103CF">
            <w:pPr>
              <w:pStyle w:val="100"/>
              <w:bidi w:val="0"/>
              <w:rPr>
                <w:rFonts w:hint="default"/>
              </w:rPr>
            </w:pPr>
            <w:r>
              <w:rPr>
                <w:rFonts w:hint="default"/>
                <w:lang w:val="en-US" w:eastAsia="zh-CN"/>
              </w:rPr>
              <w:t xml:space="preserve">126.71 </w:t>
            </w:r>
          </w:p>
        </w:tc>
      </w:tr>
    </w:tbl>
    <w:p w14:paraId="24D0C183">
      <w:pPr>
        <w:autoSpaceDE w:val="0"/>
        <w:autoSpaceDN w:val="0"/>
        <w:adjustRightInd w:val="0"/>
        <w:snapToGrid w:val="0"/>
        <w:ind w:firstLine="360" w:firstLineChars="200"/>
        <w:textAlignment w:val="center"/>
        <w:rPr>
          <w:rFonts w:ascii="Times New Roman" w:hAnsi="Times New Roman" w:eastAsia="仿宋_GB2312" w:cs="Times New Roman"/>
          <w:color w:val="000000"/>
          <w:kern w:val="0"/>
          <w:sz w:val="18"/>
          <w:szCs w:val="18"/>
        </w:rPr>
      </w:pPr>
      <w:r>
        <w:rPr>
          <w:rFonts w:hint="eastAsia" w:ascii="Times New Roman" w:hAnsi="Times New Roman" w:eastAsia="仿宋_GB2312" w:cs="Times New Roman"/>
          <w:color w:val="000000"/>
          <w:kern w:val="0"/>
          <w:sz w:val="18"/>
          <w:szCs w:val="18"/>
        </w:rPr>
        <w:t>注：表中地区津贴参考《新疆水利水电工程设计概（估）预算编制规定》中地区津贴标准，</w:t>
      </w:r>
      <w:r>
        <w:rPr>
          <w:rFonts w:hint="eastAsia" w:ascii="Times New Roman" w:hAnsi="Times New Roman" w:eastAsia="仿宋_GB2312" w:cs="Times New Roman"/>
          <w:color w:val="000000"/>
          <w:kern w:val="0"/>
          <w:sz w:val="18"/>
          <w:szCs w:val="18"/>
          <w:lang w:eastAsia="zh-CN"/>
        </w:rPr>
        <w:t>哈密市</w:t>
      </w:r>
      <w:r>
        <w:rPr>
          <w:rFonts w:hint="eastAsia" w:cs="Times New Roman"/>
          <w:color w:val="000000"/>
          <w:kern w:val="0"/>
          <w:sz w:val="18"/>
          <w:szCs w:val="18"/>
          <w:lang w:val="en-US" w:eastAsia="zh-CN"/>
        </w:rPr>
        <w:t>巴里坤</w:t>
      </w:r>
      <w:r>
        <w:rPr>
          <w:rFonts w:hint="eastAsia" w:ascii="Times New Roman" w:hAnsi="Times New Roman" w:eastAsia="仿宋_GB2312" w:cs="Times New Roman"/>
          <w:color w:val="000000"/>
          <w:kern w:val="0"/>
          <w:sz w:val="18"/>
          <w:szCs w:val="18"/>
        </w:rPr>
        <w:t>属于</w:t>
      </w:r>
      <w:r>
        <w:rPr>
          <w:rFonts w:hint="eastAsia" w:cs="Times New Roman"/>
          <w:color w:val="000000"/>
          <w:kern w:val="0"/>
          <w:sz w:val="18"/>
          <w:szCs w:val="18"/>
          <w:lang w:val="en-US" w:eastAsia="zh-CN"/>
        </w:rPr>
        <w:t>三</w:t>
      </w:r>
      <w:r>
        <w:rPr>
          <w:rFonts w:hint="eastAsia" w:ascii="Times New Roman" w:hAnsi="Times New Roman" w:eastAsia="仿宋_GB2312" w:cs="Times New Roman"/>
          <w:color w:val="000000"/>
          <w:kern w:val="0"/>
          <w:sz w:val="18"/>
          <w:szCs w:val="18"/>
        </w:rPr>
        <w:t>类区，该类地区的地区津贴为</w:t>
      </w:r>
      <w:r>
        <w:rPr>
          <w:rFonts w:hint="eastAsia" w:ascii="Times New Roman" w:hAnsi="Times New Roman" w:eastAsia="仿宋_GB2312" w:cs="Times New Roman"/>
          <w:color w:val="000000"/>
          <w:kern w:val="0"/>
          <w:sz w:val="18"/>
          <w:szCs w:val="18"/>
          <w:lang w:val="en-US" w:eastAsia="zh-CN"/>
        </w:rPr>
        <w:t>7</w:t>
      </w:r>
      <w:r>
        <w:rPr>
          <w:rFonts w:hint="eastAsia" w:cs="Times New Roman"/>
          <w:color w:val="000000"/>
          <w:kern w:val="0"/>
          <w:sz w:val="18"/>
          <w:szCs w:val="18"/>
          <w:lang w:val="en-US" w:eastAsia="zh-CN"/>
        </w:rPr>
        <w:t>3</w:t>
      </w:r>
      <w:r>
        <w:rPr>
          <w:rFonts w:hint="eastAsia" w:ascii="Times New Roman" w:hAnsi="Times New Roman" w:eastAsia="仿宋_GB2312" w:cs="Times New Roman"/>
          <w:color w:val="000000"/>
          <w:kern w:val="0"/>
          <w:sz w:val="18"/>
          <w:szCs w:val="18"/>
        </w:rPr>
        <w:t>元/月。</w:t>
      </w:r>
    </w:p>
    <w:p w14:paraId="0A59EDF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宋体" w:hAnsi="宋体" w:eastAsia="宋体" w:cs="宋体"/>
          <w:color w:val="000000"/>
          <w:kern w:val="0"/>
          <w:sz w:val="24"/>
          <w:szCs w:val="24"/>
        </w:rPr>
        <w:t>②</w:t>
      </w:r>
      <w:r>
        <w:rPr>
          <w:rFonts w:ascii="Times New Roman" w:hAnsi="Times New Roman" w:eastAsia="仿宋_GB2312" w:cs="Times New Roman"/>
          <w:color w:val="000000"/>
          <w:kern w:val="0"/>
          <w:sz w:val="24"/>
          <w:szCs w:val="24"/>
        </w:rPr>
        <w:t>措施费</w:t>
      </w:r>
    </w:p>
    <w:p w14:paraId="763421ED">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措施费是指为完成工程项目施工，发生与该工程施工前和施工过程中非工程实体项目的费用。主要包括临时设施费、冬雨季施工增加费、夜间施工增加费、施工辅助费和特殊地区施工增加费。费率根据《土地开发整理项目预算定额标准》的规定，结合本项目施工特点，措施费按直接工程费的</w:t>
      </w:r>
      <w:r>
        <w:rPr>
          <w:rFonts w:hint="eastAsia" w:ascii="Times New Roman" w:hAnsi="Times New Roman" w:eastAsia="仿宋_GB2312" w:cs="Times New Roman"/>
          <w:color w:val="000000"/>
          <w:kern w:val="0"/>
          <w:sz w:val="24"/>
          <w:szCs w:val="24"/>
        </w:rPr>
        <w:t>3.6</w:t>
      </w:r>
      <w:r>
        <w:rPr>
          <w:rFonts w:ascii="Times New Roman" w:hAnsi="Times New Roman" w:eastAsia="仿宋_GB2312" w:cs="Times New Roman"/>
          <w:color w:val="000000"/>
          <w:kern w:val="0"/>
          <w:sz w:val="24"/>
          <w:szCs w:val="24"/>
        </w:rPr>
        <w:t>%计取。</w:t>
      </w:r>
    </w:p>
    <w:p w14:paraId="2362BE7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2）间接费</w:t>
      </w:r>
    </w:p>
    <w:p w14:paraId="6E387ABD">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间接费由规费和企业管理费组成。结合生产建设项目土地复垦工程特点，间接费可按直接工程费的5%计算。</w:t>
      </w:r>
    </w:p>
    <w:p w14:paraId="192903C9">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3）利润</w:t>
      </w:r>
    </w:p>
    <w:p w14:paraId="6AA5C0C7">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利润是指施工企业完成所承包工程获得的盈利，费率根据《土地开发整理项目预算定额标准》的规定，按直接费和间接费之和的</w:t>
      </w:r>
      <w:r>
        <w:rPr>
          <w:rFonts w:hint="eastAsia" w:ascii="Times New Roman" w:hAnsi="Times New Roman" w:eastAsia="仿宋_GB2312" w:cs="Times New Roman"/>
          <w:color w:val="000000"/>
          <w:kern w:val="0"/>
          <w:sz w:val="24"/>
          <w:szCs w:val="24"/>
        </w:rPr>
        <w:t>3.0</w:t>
      </w:r>
      <w:r>
        <w:rPr>
          <w:rFonts w:ascii="Times New Roman" w:hAnsi="Times New Roman" w:eastAsia="仿宋_GB2312" w:cs="Times New Roman"/>
          <w:color w:val="000000"/>
          <w:kern w:val="0"/>
          <w:sz w:val="24"/>
          <w:szCs w:val="24"/>
        </w:rPr>
        <w:t>%计算。</w:t>
      </w:r>
    </w:p>
    <w:p w14:paraId="62AAF0A7">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4）税金</w:t>
      </w:r>
    </w:p>
    <w:p w14:paraId="5A1ABF3B">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税金是指按国家</w:t>
      </w:r>
      <w:r>
        <w:rPr>
          <w:rFonts w:hint="eastAsia" w:ascii="Times New Roman" w:hAnsi="Times New Roman" w:eastAsia="仿宋_GB2312" w:cs="Times New Roman"/>
          <w:color w:val="000000"/>
          <w:kern w:val="0"/>
          <w:sz w:val="24"/>
          <w:szCs w:val="24"/>
        </w:rPr>
        <w:t>税法</w:t>
      </w:r>
      <w:r>
        <w:rPr>
          <w:rFonts w:ascii="Times New Roman" w:hAnsi="Times New Roman" w:eastAsia="仿宋_GB2312" w:cs="Times New Roman"/>
          <w:color w:val="000000"/>
          <w:kern w:val="0"/>
          <w:sz w:val="24"/>
          <w:szCs w:val="24"/>
        </w:rPr>
        <w:t>应计入造价内的营业税、城市管护建设税和教育费附加。依据《土地开发整理项目预算编制规定》</w:t>
      </w:r>
      <w:r>
        <w:rPr>
          <w:rFonts w:hint="eastAsia" w:ascii="Times New Roman" w:hAnsi="Times New Roman" w:eastAsia="仿宋_GB2312" w:cs="Times New Roman"/>
          <w:color w:val="000000"/>
          <w:kern w:val="0"/>
          <w:sz w:val="24"/>
          <w:szCs w:val="24"/>
        </w:rPr>
        <w:t>和《新疆关于调整我区建设工程计价依据增值税税率的通知》（新建标〔2019〕4号）规定，本项目为建设项目</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建筑工程造价营业税</w:t>
      </w:r>
      <w:r>
        <w:rPr>
          <w:rFonts w:ascii="Times New Roman" w:hAnsi="Times New Roman" w:eastAsia="仿宋_GB2312" w:cs="Times New Roman"/>
          <w:color w:val="000000"/>
          <w:kern w:val="0"/>
          <w:sz w:val="24"/>
          <w:szCs w:val="24"/>
        </w:rPr>
        <w:t>的综合税率为</w:t>
      </w:r>
      <w:r>
        <w:rPr>
          <w:rFonts w:hint="eastAsia" w:ascii="Times New Roman" w:hAnsi="Times New Roman" w:eastAsia="仿宋_GB2312" w:cs="Times New Roman"/>
          <w:color w:val="000000"/>
          <w:kern w:val="0"/>
          <w:sz w:val="24"/>
          <w:szCs w:val="24"/>
        </w:rPr>
        <w:t>9</w:t>
      </w:r>
      <w:r>
        <w:rPr>
          <w:rFonts w:ascii="Times New Roman" w:hAnsi="Times New Roman" w:eastAsia="仿宋_GB2312" w:cs="Times New Roman"/>
          <w:color w:val="000000"/>
          <w:kern w:val="0"/>
          <w:sz w:val="24"/>
          <w:szCs w:val="24"/>
        </w:rPr>
        <w:t>%。</w:t>
      </w:r>
    </w:p>
    <w:p w14:paraId="081722F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税金=（直接费+间接费+利润）×综合税率</w:t>
      </w:r>
    </w:p>
    <w:p w14:paraId="202528A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b）设备购置费</w:t>
      </w:r>
    </w:p>
    <w:p w14:paraId="274236D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设备购置费是指在土地复垦过程中，因需要购置各种永久性设备所发生的费用。根据本项目的实际情况，土地复垦过程中所</w:t>
      </w:r>
      <w:r>
        <w:rPr>
          <w:rFonts w:hint="eastAsia" w:cs="Times New Roman"/>
          <w:color w:val="000000"/>
          <w:kern w:val="0"/>
          <w:sz w:val="24"/>
          <w:szCs w:val="24"/>
          <w:lang w:eastAsia="zh-CN"/>
        </w:rPr>
        <w:t>涉及</w:t>
      </w:r>
      <w:r>
        <w:rPr>
          <w:rFonts w:ascii="Times New Roman" w:hAnsi="Times New Roman" w:eastAsia="仿宋_GB2312" w:cs="Times New Roman"/>
          <w:color w:val="000000"/>
          <w:kern w:val="0"/>
          <w:sz w:val="24"/>
          <w:szCs w:val="24"/>
        </w:rPr>
        <w:t>的复垦机械设备均由复垦工程具体施工单位提供或采用租用方式，故本方案不存在购买设备的费用。</w:t>
      </w:r>
    </w:p>
    <w:p w14:paraId="432CE796">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c）其他费用</w:t>
      </w:r>
    </w:p>
    <w:p w14:paraId="14EFF2A2">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其他费用包括前期工作费、工程监理费、竣工验收费和业主管理费。</w:t>
      </w:r>
    </w:p>
    <w:p w14:paraId="223892B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1）前期工作费</w:t>
      </w:r>
    </w:p>
    <w:p w14:paraId="018EE27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前期工作费是指土地复垦工程在施工前所发生的各项支出，包括土地利用与生态现状调查费、土地勘测费、土地复垦方案编制费、阶段性实施方案编制费、科研实验费和工程招标代理费。</w:t>
      </w:r>
    </w:p>
    <w:p w14:paraId="7562AB5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对于生产建设项目，前期工作费主要包括两大费用：一是生产项目审批之前发生的与土地复垦相关的费用，该费用纳入企业成本，不纳入复垦专项资金；二是生产项目开始之后，复垦实施之前的复垦相关的费用，计入复垦专项资金，根据《</w:t>
      </w:r>
      <w:r>
        <w:rPr>
          <w:rFonts w:hint="eastAsia" w:ascii="Times New Roman" w:hAnsi="Times New Roman" w:eastAsia="仿宋_GB2312" w:cs="Times New Roman"/>
          <w:color w:val="000000"/>
          <w:kern w:val="0"/>
          <w:sz w:val="24"/>
          <w:szCs w:val="24"/>
        </w:rPr>
        <w:t>土地复垦方案编制实务</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和</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土地开发整理项目预算定额标准</w:t>
      </w:r>
      <w:r>
        <w:rPr>
          <w:rFonts w:ascii="Times New Roman" w:hAnsi="Times New Roman" w:eastAsia="仿宋_GB2312" w:cs="Times New Roman"/>
          <w:color w:val="000000"/>
          <w:kern w:val="0"/>
          <w:sz w:val="24"/>
          <w:szCs w:val="24"/>
        </w:rPr>
        <w:t>》，本方案按工程施工费的</w:t>
      </w:r>
      <w:r>
        <w:rPr>
          <w:rFonts w:hint="eastAsia" w:ascii="Times New Roman" w:hAnsi="Times New Roman" w:eastAsia="仿宋_GB2312" w:cs="Times New Roman"/>
          <w:color w:val="000000"/>
          <w:kern w:val="0"/>
          <w:sz w:val="24"/>
          <w:szCs w:val="24"/>
        </w:rPr>
        <w:t>6.0</w:t>
      </w:r>
      <w:r>
        <w:rPr>
          <w:rFonts w:ascii="Times New Roman" w:hAnsi="Times New Roman" w:eastAsia="仿宋_GB2312" w:cs="Times New Roman"/>
          <w:color w:val="000000"/>
          <w:kern w:val="0"/>
          <w:sz w:val="24"/>
          <w:szCs w:val="24"/>
        </w:rPr>
        <w:t>%计取。</w:t>
      </w:r>
    </w:p>
    <w:p w14:paraId="2A799C9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2）工程监理费</w:t>
      </w:r>
    </w:p>
    <w:p w14:paraId="5565B87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工程监理费是指项目承担单位委托具有工程监理资质的单位，按国家有关规定进行全过程的监督与管理所发生的费用。根据国家发展和改革委员会颁布的《建设工程监理与相关服务收费管理规定》（发改价格[2007]670</w:t>
      </w:r>
      <w:r>
        <w:rPr>
          <w:rFonts w:hint="eastAsia" w:ascii="Times New Roman" w:hAnsi="Times New Roman" w:eastAsia="仿宋_GB2312" w:cs="Times New Roman"/>
          <w:color w:val="000000"/>
          <w:kern w:val="0"/>
          <w:sz w:val="24"/>
          <w:szCs w:val="24"/>
        </w:rPr>
        <w:t>号</w:t>
      </w:r>
      <w:r>
        <w:rPr>
          <w:rFonts w:ascii="Times New Roman" w:hAnsi="Times New Roman" w:eastAsia="仿宋_GB2312" w:cs="Times New Roman"/>
          <w:color w:val="000000"/>
          <w:kern w:val="0"/>
          <w:sz w:val="24"/>
          <w:szCs w:val="24"/>
        </w:rPr>
        <w:t>），工程监理费按工程施工费的</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.0%计取。</w:t>
      </w:r>
    </w:p>
    <w:p w14:paraId="5781165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3）竣工验收费</w:t>
      </w:r>
    </w:p>
    <w:p w14:paraId="1D2ACA2F">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指项目工程完工后，因项目竣工验收、决算、成果的管理等发生的各项支出，包括竣工验收与决算费、项目决算审计费、土地重估与登记费等费用。根据《土地开发整理项目预算定额标准》，竣工验收费按工程施工费的3.</w:t>
      </w:r>
      <w:r>
        <w:rPr>
          <w:rFonts w:hint="eastAsia" w:ascii="Times New Roman" w:hAnsi="Times New Roman" w:eastAsia="仿宋_GB2312" w:cs="Times New Roman"/>
          <w:color w:val="000000"/>
          <w:kern w:val="0"/>
          <w:sz w:val="24"/>
          <w:szCs w:val="24"/>
        </w:rPr>
        <w:t>0</w:t>
      </w:r>
      <w:r>
        <w:rPr>
          <w:rFonts w:ascii="Times New Roman" w:hAnsi="Times New Roman" w:eastAsia="仿宋_GB2312" w:cs="Times New Roman"/>
          <w:color w:val="000000"/>
          <w:kern w:val="0"/>
          <w:sz w:val="24"/>
          <w:szCs w:val="24"/>
        </w:rPr>
        <w:t>%计取。</w:t>
      </w:r>
    </w:p>
    <w:p w14:paraId="239EBFCB">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4）业主管理费</w:t>
      </w:r>
    </w:p>
    <w:p w14:paraId="497A1CB0">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业主管理费</w:t>
      </w:r>
      <w:r>
        <w:rPr>
          <w:rFonts w:hint="eastAsia" w:ascii="Times New Roman" w:hAnsi="Times New Roman" w:eastAsia="仿宋_GB2312" w:cs="Times New Roman"/>
          <w:color w:val="000000"/>
          <w:kern w:val="0"/>
          <w:sz w:val="24"/>
          <w:szCs w:val="24"/>
        </w:rPr>
        <w:t>是</w:t>
      </w:r>
      <w:r>
        <w:rPr>
          <w:rFonts w:ascii="Times New Roman" w:hAnsi="Times New Roman" w:eastAsia="仿宋_GB2312" w:cs="Times New Roman"/>
          <w:color w:val="000000"/>
          <w:kern w:val="0"/>
          <w:sz w:val="24"/>
          <w:szCs w:val="24"/>
        </w:rPr>
        <w:t>指项目承担单位为项目的组织、管理所发生的各项管理性支出。根据《土地开发整理项目预算定额标准》规定，业主管理费按工程施工费、前期工作费、工程监理费和竣工验收费四项之和的2.</w:t>
      </w:r>
      <w:r>
        <w:rPr>
          <w:rFonts w:hint="eastAsia" w:ascii="Times New Roman" w:hAnsi="Times New Roman" w:eastAsia="仿宋_GB2312" w:cs="Times New Roman"/>
          <w:color w:val="000000"/>
          <w:kern w:val="0"/>
          <w:sz w:val="24"/>
          <w:szCs w:val="24"/>
        </w:rPr>
        <w:t>8</w:t>
      </w:r>
      <w:r>
        <w:rPr>
          <w:rFonts w:ascii="Times New Roman" w:hAnsi="Times New Roman" w:eastAsia="仿宋_GB2312" w:cs="Times New Roman"/>
          <w:color w:val="000000"/>
          <w:kern w:val="0"/>
          <w:sz w:val="24"/>
          <w:szCs w:val="24"/>
        </w:rPr>
        <w:t>%计取。</w:t>
      </w:r>
    </w:p>
    <w:p w14:paraId="2BCE961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d）复垦监测与管护费</w:t>
      </w:r>
    </w:p>
    <w:p w14:paraId="7D28BA74">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监测费</w:t>
      </w:r>
    </w:p>
    <w:p w14:paraId="468F2457">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本项目监测过程中使用相关仪器的费用纳入监测费估算中。</w:t>
      </w:r>
    </w:p>
    <w:p w14:paraId="4F61192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监测费用估算标准主要参照中国石油吐哈油田分公司以往对准噶尔盆地各油田区域生态环境监测费用的调查结果为依据。调查结果为：对复垦草地进行监测的费用标准为一个样点每监测一次的费用大约</w:t>
      </w:r>
      <w:r>
        <w:rPr>
          <w:rFonts w:hint="eastAsia" w:ascii="Times New Roman" w:hAnsi="Times New Roman" w:eastAsia="仿宋_GB2312" w:cs="Times New Roman"/>
          <w:color w:val="000000"/>
          <w:kern w:val="0"/>
          <w:sz w:val="24"/>
          <w:szCs w:val="24"/>
          <w:lang w:val="en-US" w:eastAsia="zh-CN"/>
        </w:rPr>
        <w:t>4</w:t>
      </w:r>
      <w:r>
        <w:rPr>
          <w:rFonts w:hint="eastAsia" w:ascii="Times New Roman" w:hAnsi="Times New Roman" w:eastAsia="仿宋_GB2312" w:cs="Times New Roman"/>
          <w:color w:val="000000"/>
          <w:kern w:val="0"/>
          <w:sz w:val="24"/>
          <w:szCs w:val="24"/>
        </w:rPr>
        <w:t>00元。监测费用均包括监测过程中发生的人工费、仪器使用费和交通费等。</w:t>
      </w:r>
    </w:p>
    <w:p w14:paraId="49F3B8F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e）预备费</w:t>
      </w:r>
    </w:p>
    <w:p w14:paraId="4232627B">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预备费是在考虑了土地复垦期间可能发生的风险因素，从而导致复垦费用增加的一项费用。本方案预备费主要包括基本预备费和价差预备费。</w:t>
      </w:r>
    </w:p>
    <w:p w14:paraId="181741E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1）基本预备费</w:t>
      </w:r>
    </w:p>
    <w:p w14:paraId="73422264">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指为解决在工程施工过程中因自然灾害、设计变更等所增加的费用。根据《土地开发整理项目预算定额标准》，可按工程施工费和其他费用之和的</w:t>
      </w:r>
      <w:r>
        <w:rPr>
          <w:rFonts w:hint="eastAsia" w:ascii="Times New Roman" w:hAnsi="Times New Roman" w:eastAsia="仿宋_GB2312" w:cs="Times New Roman"/>
          <w:color w:val="000000"/>
          <w:kern w:val="0"/>
          <w:sz w:val="24"/>
          <w:szCs w:val="24"/>
        </w:rPr>
        <w:t>3</w:t>
      </w:r>
      <w:r>
        <w:rPr>
          <w:rFonts w:ascii="Times New Roman" w:hAnsi="Times New Roman" w:eastAsia="仿宋_GB2312" w:cs="Times New Roman"/>
          <w:color w:val="000000"/>
          <w:kern w:val="0"/>
          <w:sz w:val="24"/>
          <w:szCs w:val="24"/>
        </w:rPr>
        <w:t>%计取。</w:t>
      </w:r>
    </w:p>
    <w:p w14:paraId="78DCB604">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2）价差预备费</w:t>
      </w:r>
    </w:p>
    <w:p w14:paraId="7FDB9BEC">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指为解决在工程施工过程中，因物价（人工、材料和设备价格）上涨、国家宏观调控以及地方经济发展等因素而增加的费用</w:t>
      </w:r>
      <w:r>
        <w:rPr>
          <w:rFonts w:hint="eastAsia" w:ascii="Times New Roman" w:hAnsi="Times New Roman" w:eastAsia="仿宋_GB2312" w:cs="Times New Roman"/>
          <w:color w:val="000000"/>
          <w:kern w:val="0"/>
          <w:sz w:val="24"/>
          <w:szCs w:val="24"/>
        </w:rPr>
        <w:t>。本方案价差预备费按国家计委计投资</w:t>
      </w:r>
      <w:r>
        <w:rPr>
          <w:rFonts w:hint="eastAsia" w:ascii="宋体" w:hAnsi="宋体" w:eastAsia="宋体" w:cs="宋体"/>
          <w:color w:val="000000"/>
          <w:kern w:val="0"/>
          <w:sz w:val="24"/>
          <w:szCs w:val="24"/>
        </w:rPr>
        <w:t>﹝</w:t>
      </w:r>
      <w:r>
        <w:rPr>
          <w:rFonts w:ascii="Times New Roman" w:hAnsi="Times New Roman" w:eastAsia="仿宋_GB2312" w:cs="Times New Roman"/>
          <w:color w:val="000000"/>
          <w:kern w:val="0"/>
          <w:sz w:val="24"/>
          <w:szCs w:val="24"/>
        </w:rPr>
        <w:t>1999</w:t>
      </w:r>
      <w:r>
        <w:rPr>
          <w:rFonts w:hint="eastAsia" w:ascii="宋体" w:hAnsi="宋体" w:eastAsia="宋体" w:cs="宋体"/>
          <w:color w:val="000000"/>
          <w:kern w:val="0"/>
          <w:sz w:val="24"/>
          <w:szCs w:val="24"/>
        </w:rPr>
        <w:t>﹞</w:t>
      </w:r>
      <w:r>
        <w:rPr>
          <w:rFonts w:ascii="Times New Roman" w:hAnsi="Times New Roman" w:eastAsia="仿宋_GB2312" w:cs="Times New Roman"/>
          <w:color w:val="000000"/>
          <w:kern w:val="0"/>
          <w:sz w:val="24"/>
          <w:szCs w:val="24"/>
        </w:rPr>
        <w:t>1340</w:t>
      </w:r>
      <w:r>
        <w:rPr>
          <w:rFonts w:hint="eastAsia" w:ascii="Times New Roman" w:hAnsi="Times New Roman" w:eastAsia="仿宋_GB2312" w:cs="Times New Roman"/>
          <w:color w:val="000000"/>
          <w:kern w:val="0"/>
          <w:sz w:val="24"/>
          <w:szCs w:val="24"/>
        </w:rPr>
        <w:t>号执行，暂停计列。故本项目复垦投资的价差预备费为零。</w:t>
      </w:r>
    </w:p>
    <w:p w14:paraId="385ECCA6">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3）风险金</w:t>
      </w:r>
    </w:p>
    <w:p w14:paraId="49FA80B6">
      <w:pPr>
        <w:autoSpaceDE w:val="0"/>
        <w:autoSpaceDN w:val="0"/>
        <w:adjustRightInd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风险金，是指可预见而目前技术上无法完全避免的土地复垦过程中可能发生的风险的备用金。根据项目初步设计报告及环境影响报告书中环境风险因素分析，结合《土地复垦方案编制规程》中对复垦工程风险金计取的要求，本项目不计取风险金费用</w:t>
      </w:r>
      <w:r>
        <w:rPr>
          <w:rFonts w:ascii="Times New Roman" w:hAnsi="Times New Roman" w:eastAsia="仿宋_GB2312" w:cs="Times New Roman"/>
          <w:color w:val="000000"/>
          <w:kern w:val="0"/>
          <w:sz w:val="24"/>
          <w:szCs w:val="24"/>
        </w:rPr>
        <w:t>。</w:t>
      </w:r>
    </w:p>
    <w:p w14:paraId="741427A6">
      <w:pPr>
        <w:keepNext/>
        <w:keepLines/>
        <w:numPr>
          <w:ilvl w:val="1"/>
          <w:numId w:val="0"/>
        </w:numPr>
        <w:tabs>
          <w:tab w:val="left" w:pos="5640"/>
        </w:tabs>
        <w:snapToGrid w:val="0"/>
        <w:spacing w:before="120" w:beforeLines="50" w:after="120" w:afterLines="50" w:line="360" w:lineRule="auto"/>
        <w:jc w:val="left"/>
        <w:outlineLvl w:val="1"/>
        <w:rPr>
          <w:rFonts w:ascii="Times New Roman" w:hAnsi="Times New Roman" w:eastAsia="黑体" w:cs="Times New Roman"/>
          <w:color w:val="000000"/>
          <w:sz w:val="30"/>
          <w:szCs w:val="28"/>
          <w:highlight w:val="none"/>
        </w:rPr>
      </w:pPr>
      <w:bookmarkStart w:id="208" w:name="_Toc19893"/>
      <w:r>
        <w:rPr>
          <w:rFonts w:ascii="Times New Roman" w:hAnsi="Times New Roman" w:eastAsia="黑体" w:cs="Times New Roman"/>
          <w:color w:val="000000"/>
          <w:sz w:val="30"/>
          <w:szCs w:val="28"/>
          <w:highlight w:val="none"/>
        </w:rPr>
        <w:t>7.2 估算成果</w:t>
      </w:r>
      <w:bookmarkEnd w:id="208"/>
    </w:p>
    <w:p w14:paraId="40B88C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本项目复垦静态总投资</w:t>
      </w:r>
      <w:r>
        <w:rPr>
          <w:rFonts w:hint="eastAsia" w:cs="Times New Roman"/>
          <w:color w:val="auto"/>
          <w:sz w:val="24"/>
          <w:szCs w:val="24"/>
          <w:lang w:val="en-US" w:eastAsia="zh-CN"/>
        </w:rPr>
        <w:t>3.5844</w:t>
      </w:r>
      <w:r>
        <w:rPr>
          <w:rFonts w:hint="eastAsia" w:ascii="Times New Roman" w:hAnsi="Times New Roman" w:eastAsia="仿宋_GB2312" w:cs="Times New Roman"/>
          <w:color w:val="auto"/>
          <w:sz w:val="24"/>
          <w:szCs w:val="24"/>
        </w:rPr>
        <w:t>万元，亩均投资</w:t>
      </w:r>
      <w:r>
        <w:rPr>
          <w:rFonts w:hint="eastAsia" w:cs="Times New Roman"/>
          <w:color w:val="auto"/>
          <w:sz w:val="24"/>
          <w:szCs w:val="24"/>
          <w:lang w:val="en-US" w:eastAsia="zh-CN"/>
        </w:rPr>
        <w:t>1175.75</w:t>
      </w:r>
      <w:r>
        <w:rPr>
          <w:rFonts w:hint="eastAsia" w:ascii="Times New Roman" w:hAnsi="Times New Roman" w:eastAsia="仿宋_GB2312" w:cs="Times New Roman"/>
          <w:color w:val="auto"/>
          <w:sz w:val="24"/>
          <w:szCs w:val="24"/>
        </w:rPr>
        <w:t>元。其中：工程施工费为</w:t>
      </w:r>
      <w:r>
        <w:rPr>
          <w:rFonts w:hint="eastAsia" w:cs="Times New Roman"/>
          <w:color w:val="auto"/>
          <w:sz w:val="24"/>
          <w:szCs w:val="24"/>
          <w:lang w:val="en-US" w:eastAsia="zh-CN"/>
        </w:rPr>
        <w:t>2.7774</w:t>
      </w:r>
      <w:r>
        <w:rPr>
          <w:rFonts w:hint="eastAsia" w:ascii="Times New Roman" w:hAnsi="Times New Roman" w:eastAsia="仿宋_GB2312" w:cs="Times New Roman"/>
          <w:color w:val="auto"/>
          <w:sz w:val="24"/>
          <w:szCs w:val="24"/>
        </w:rPr>
        <w:t>万元，其他费用</w:t>
      </w:r>
      <w:r>
        <w:rPr>
          <w:rFonts w:hint="eastAsia" w:cs="Times New Roman"/>
          <w:color w:val="auto"/>
          <w:sz w:val="24"/>
          <w:szCs w:val="24"/>
          <w:lang w:val="en-US" w:eastAsia="zh-CN"/>
        </w:rPr>
        <w:t>0.3918</w:t>
      </w:r>
      <w:r>
        <w:rPr>
          <w:rFonts w:hint="eastAsia" w:ascii="Times New Roman" w:hAnsi="Times New Roman" w:eastAsia="仿宋_GB2312" w:cs="Times New Roman"/>
          <w:color w:val="auto"/>
          <w:sz w:val="24"/>
          <w:szCs w:val="24"/>
        </w:rPr>
        <w:t>万元，监测与管护费</w:t>
      </w:r>
      <w:r>
        <w:rPr>
          <w:rFonts w:hint="eastAsia" w:cs="Times New Roman"/>
          <w:color w:val="auto"/>
          <w:sz w:val="24"/>
          <w:szCs w:val="24"/>
          <w:lang w:val="en-US" w:eastAsia="zh-CN"/>
        </w:rPr>
        <w:t>0.3200</w:t>
      </w:r>
      <w:r>
        <w:rPr>
          <w:rFonts w:hint="eastAsia" w:ascii="Times New Roman" w:hAnsi="Times New Roman" w:eastAsia="仿宋_GB2312" w:cs="Times New Roman"/>
          <w:color w:val="auto"/>
          <w:sz w:val="24"/>
          <w:szCs w:val="24"/>
        </w:rPr>
        <w:t>万元，基本预备费</w:t>
      </w:r>
      <w:r>
        <w:rPr>
          <w:rFonts w:hint="eastAsia" w:cs="Times New Roman"/>
          <w:color w:val="auto"/>
          <w:sz w:val="24"/>
          <w:szCs w:val="24"/>
          <w:lang w:val="en-US" w:eastAsia="zh-CN"/>
        </w:rPr>
        <w:t>0.0951</w:t>
      </w:r>
      <w:r>
        <w:rPr>
          <w:rFonts w:hint="eastAsia" w:ascii="Times New Roman" w:hAnsi="Times New Roman" w:eastAsia="仿宋_GB2312" w:cs="Times New Roman"/>
          <w:color w:val="auto"/>
          <w:sz w:val="24"/>
          <w:szCs w:val="24"/>
        </w:rPr>
        <w:t>万元。价差预备费按国家计委计投资〔1999〕1340号执行，按零计入，因此本项目复垦动态总投资为</w:t>
      </w:r>
      <w:r>
        <w:rPr>
          <w:rFonts w:hint="eastAsia" w:cs="Times New Roman"/>
          <w:color w:val="auto"/>
          <w:sz w:val="24"/>
          <w:szCs w:val="24"/>
          <w:lang w:val="en-US" w:eastAsia="zh-CN"/>
        </w:rPr>
        <w:t>3.5844</w:t>
      </w:r>
      <w:r>
        <w:rPr>
          <w:rFonts w:hint="eastAsia" w:ascii="Times New Roman" w:hAnsi="Times New Roman" w:eastAsia="仿宋_GB2312" w:cs="Times New Roman"/>
          <w:color w:val="auto"/>
          <w:sz w:val="24"/>
          <w:szCs w:val="24"/>
        </w:rPr>
        <w:t>万元</w:t>
      </w:r>
      <w:r>
        <w:rPr>
          <w:rFonts w:ascii="Times New Roman" w:hAnsi="Times New Roman" w:eastAsia="仿宋_GB2312" w:cs="Times New Roman"/>
          <w:color w:val="auto"/>
          <w:sz w:val="24"/>
          <w:szCs w:val="24"/>
        </w:rPr>
        <w:t>。</w:t>
      </w:r>
    </w:p>
    <w:p w14:paraId="3C448897">
      <w:pPr>
        <w:pStyle w:val="22"/>
        <w:bidi w:val="0"/>
      </w:pPr>
      <w:r>
        <w:t>表7.2-1  复垦投资汇总表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3435"/>
        <w:gridCol w:w="2152"/>
        <w:gridCol w:w="1979"/>
      </w:tblGrid>
      <w:tr w14:paraId="6F35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vMerge w:val="restart"/>
            <w:shd w:val="clear" w:color="auto" w:fill="auto"/>
            <w:noWrap/>
            <w:vAlign w:val="center"/>
          </w:tcPr>
          <w:p w14:paraId="4E8F2CF5">
            <w:pPr>
              <w:pStyle w:val="100"/>
              <w:bidi w:val="0"/>
            </w:pPr>
            <w:r>
              <w:rPr>
                <w:rFonts w:hint="eastAsia"/>
              </w:rPr>
              <w:t>序号</w:t>
            </w:r>
          </w:p>
        </w:tc>
        <w:tc>
          <w:tcPr>
            <w:tcW w:w="1849" w:type="pct"/>
            <w:vMerge w:val="restart"/>
            <w:shd w:val="clear" w:color="auto" w:fill="auto"/>
            <w:noWrap/>
            <w:vAlign w:val="center"/>
          </w:tcPr>
          <w:p w14:paraId="347DE8F7">
            <w:pPr>
              <w:pStyle w:val="100"/>
              <w:bidi w:val="0"/>
              <w:rPr>
                <w:rFonts w:hint="eastAsia"/>
              </w:rPr>
            </w:pPr>
            <w:r>
              <w:rPr>
                <w:rFonts w:hint="eastAsia"/>
              </w:rPr>
              <w:t>工程或费用名称</w:t>
            </w:r>
          </w:p>
        </w:tc>
        <w:tc>
          <w:tcPr>
            <w:tcW w:w="1158" w:type="pct"/>
            <w:shd w:val="clear" w:color="auto" w:fill="auto"/>
            <w:vAlign w:val="center"/>
          </w:tcPr>
          <w:p w14:paraId="1E71196A">
            <w:pPr>
              <w:pStyle w:val="100"/>
              <w:bidi w:val="0"/>
              <w:rPr>
                <w:rFonts w:hint="eastAsia"/>
              </w:rPr>
            </w:pPr>
            <w:r>
              <w:rPr>
                <w:rFonts w:hint="eastAsia"/>
              </w:rPr>
              <w:t>预算费用</w:t>
            </w:r>
          </w:p>
        </w:tc>
        <w:tc>
          <w:tcPr>
            <w:tcW w:w="1065" w:type="pct"/>
            <w:shd w:val="clear" w:color="auto" w:fill="auto"/>
            <w:vAlign w:val="center"/>
          </w:tcPr>
          <w:p w14:paraId="571AFD8A">
            <w:pPr>
              <w:pStyle w:val="100"/>
              <w:bidi w:val="0"/>
              <w:rPr>
                <w:rFonts w:hint="eastAsia"/>
              </w:rPr>
            </w:pPr>
            <w:r>
              <w:rPr>
                <w:rFonts w:hint="eastAsia"/>
              </w:rPr>
              <w:t>费率</w:t>
            </w:r>
          </w:p>
        </w:tc>
      </w:tr>
      <w:tr w14:paraId="7A0C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vMerge w:val="continue"/>
            <w:vAlign w:val="center"/>
          </w:tcPr>
          <w:p w14:paraId="16E643FD">
            <w:pPr>
              <w:pStyle w:val="100"/>
              <w:bidi w:val="0"/>
            </w:pPr>
          </w:p>
        </w:tc>
        <w:tc>
          <w:tcPr>
            <w:tcW w:w="1849" w:type="pct"/>
            <w:vMerge w:val="continue"/>
            <w:vAlign w:val="center"/>
          </w:tcPr>
          <w:p w14:paraId="7863878B">
            <w:pPr>
              <w:pStyle w:val="100"/>
              <w:bidi w:val="0"/>
              <w:rPr>
                <w:rFonts w:hint="eastAsia"/>
              </w:rPr>
            </w:pPr>
          </w:p>
        </w:tc>
        <w:tc>
          <w:tcPr>
            <w:tcW w:w="1158" w:type="pct"/>
            <w:shd w:val="clear" w:color="auto" w:fill="auto"/>
            <w:vAlign w:val="center"/>
          </w:tcPr>
          <w:p w14:paraId="10230B5F">
            <w:pPr>
              <w:pStyle w:val="100"/>
              <w:bidi w:val="0"/>
              <w:rPr>
                <w:rFonts w:hint="eastAsia"/>
              </w:rPr>
            </w:pPr>
            <w:r>
              <w:rPr>
                <w:rFonts w:hint="eastAsia"/>
              </w:rPr>
              <w:t>万元</w:t>
            </w:r>
          </w:p>
        </w:tc>
        <w:tc>
          <w:tcPr>
            <w:tcW w:w="1065" w:type="pct"/>
            <w:shd w:val="clear" w:color="auto" w:fill="auto"/>
            <w:vAlign w:val="center"/>
          </w:tcPr>
          <w:p w14:paraId="32C5CAE8">
            <w:pPr>
              <w:pStyle w:val="100"/>
              <w:bidi w:val="0"/>
              <w:rPr>
                <w:rFonts w:hint="eastAsia"/>
              </w:rPr>
            </w:pPr>
            <w:r>
              <w:rPr>
                <w:rFonts w:hint="eastAsia"/>
              </w:rPr>
              <w:t>%</w:t>
            </w:r>
          </w:p>
        </w:tc>
      </w:tr>
      <w:tr w14:paraId="2791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26" w:type="pct"/>
            <w:shd w:val="clear" w:color="auto" w:fill="auto"/>
            <w:noWrap/>
            <w:vAlign w:val="center"/>
          </w:tcPr>
          <w:p w14:paraId="72923C60">
            <w:pPr>
              <w:pStyle w:val="100"/>
              <w:bidi w:val="0"/>
            </w:pPr>
            <w:r>
              <w:rPr>
                <w:rFonts w:hint="eastAsia"/>
              </w:rPr>
              <w:t>一</w:t>
            </w:r>
          </w:p>
        </w:tc>
        <w:tc>
          <w:tcPr>
            <w:tcW w:w="1849" w:type="pct"/>
            <w:shd w:val="clear" w:color="auto" w:fill="auto"/>
            <w:noWrap/>
            <w:vAlign w:val="center"/>
          </w:tcPr>
          <w:p w14:paraId="0D4563A3">
            <w:pPr>
              <w:pStyle w:val="100"/>
              <w:bidi w:val="0"/>
              <w:rPr>
                <w:rFonts w:hint="eastAsia"/>
              </w:rPr>
            </w:pPr>
            <w:r>
              <w:rPr>
                <w:rFonts w:hint="eastAsia"/>
              </w:rPr>
              <w:t>工程施工费</w:t>
            </w:r>
          </w:p>
        </w:tc>
        <w:tc>
          <w:tcPr>
            <w:tcW w:w="2152" w:type="dxa"/>
            <w:shd w:val="clear" w:color="auto" w:fill="auto"/>
            <w:vAlign w:val="center"/>
          </w:tcPr>
          <w:p w14:paraId="0D53F57B">
            <w:pPr>
              <w:pStyle w:val="100"/>
              <w:bidi w:val="0"/>
              <w:rPr>
                <w:rFonts w:hint="default"/>
                <w:lang w:val="en-US"/>
              </w:rPr>
            </w:pPr>
            <w:r>
              <w:rPr>
                <w:rFonts w:hint="default"/>
                <w:lang w:val="en-US" w:eastAsia="zh-CN"/>
              </w:rPr>
              <w:t xml:space="preserve">2.7774 </w:t>
            </w:r>
          </w:p>
        </w:tc>
        <w:tc>
          <w:tcPr>
            <w:tcW w:w="1979" w:type="dxa"/>
            <w:shd w:val="clear" w:color="auto" w:fill="auto"/>
            <w:vAlign w:val="center"/>
          </w:tcPr>
          <w:p w14:paraId="5EC6E0D0">
            <w:pPr>
              <w:pStyle w:val="100"/>
              <w:bidi w:val="0"/>
              <w:rPr>
                <w:rFonts w:hint="default"/>
                <w:lang w:val="en-US"/>
              </w:rPr>
            </w:pPr>
            <w:r>
              <w:rPr>
                <w:rFonts w:hint="default"/>
                <w:lang w:val="en-US" w:eastAsia="zh-CN"/>
              </w:rPr>
              <w:t>77.49</w:t>
            </w:r>
          </w:p>
        </w:tc>
      </w:tr>
      <w:tr w14:paraId="73A8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44FA2009">
            <w:pPr>
              <w:pStyle w:val="100"/>
              <w:bidi w:val="0"/>
            </w:pPr>
            <w:r>
              <w:rPr>
                <w:rFonts w:hint="eastAsia"/>
              </w:rPr>
              <w:t>二</w:t>
            </w:r>
          </w:p>
        </w:tc>
        <w:tc>
          <w:tcPr>
            <w:tcW w:w="1849" w:type="pct"/>
            <w:shd w:val="clear" w:color="auto" w:fill="auto"/>
            <w:noWrap/>
            <w:vAlign w:val="center"/>
          </w:tcPr>
          <w:p w14:paraId="116D2E91">
            <w:pPr>
              <w:pStyle w:val="100"/>
              <w:bidi w:val="0"/>
              <w:rPr>
                <w:rFonts w:hint="eastAsia"/>
              </w:rPr>
            </w:pPr>
            <w:r>
              <w:rPr>
                <w:rFonts w:hint="eastAsia"/>
              </w:rPr>
              <w:t>其他费用</w:t>
            </w:r>
          </w:p>
        </w:tc>
        <w:tc>
          <w:tcPr>
            <w:tcW w:w="2152" w:type="dxa"/>
            <w:shd w:val="clear" w:color="auto" w:fill="auto"/>
            <w:noWrap/>
            <w:vAlign w:val="center"/>
          </w:tcPr>
          <w:p w14:paraId="1A0DB6E4">
            <w:pPr>
              <w:pStyle w:val="100"/>
              <w:bidi w:val="0"/>
              <w:rPr>
                <w:rFonts w:hint="default"/>
                <w:lang w:val="en-US"/>
              </w:rPr>
            </w:pPr>
            <w:r>
              <w:rPr>
                <w:rFonts w:hint="default"/>
                <w:lang w:val="en-US" w:eastAsia="zh-CN"/>
              </w:rPr>
              <w:t xml:space="preserve">0.3918 </w:t>
            </w:r>
          </w:p>
        </w:tc>
        <w:tc>
          <w:tcPr>
            <w:tcW w:w="1979" w:type="dxa"/>
            <w:shd w:val="clear" w:color="auto" w:fill="auto"/>
            <w:vAlign w:val="center"/>
          </w:tcPr>
          <w:p w14:paraId="0F420999">
            <w:pPr>
              <w:pStyle w:val="100"/>
              <w:bidi w:val="0"/>
              <w:rPr>
                <w:rFonts w:hint="default"/>
                <w:lang w:val="en-US"/>
              </w:rPr>
            </w:pPr>
            <w:r>
              <w:rPr>
                <w:rFonts w:hint="default"/>
                <w:lang w:val="en-US" w:eastAsia="zh-CN"/>
              </w:rPr>
              <w:t>10.93</w:t>
            </w:r>
          </w:p>
        </w:tc>
      </w:tr>
      <w:tr w14:paraId="319D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1CAD9021">
            <w:pPr>
              <w:pStyle w:val="100"/>
              <w:bidi w:val="0"/>
            </w:pPr>
            <w:r>
              <w:rPr>
                <w:rFonts w:hint="eastAsia"/>
              </w:rPr>
              <w:t>三</w:t>
            </w:r>
          </w:p>
        </w:tc>
        <w:tc>
          <w:tcPr>
            <w:tcW w:w="1849" w:type="pct"/>
            <w:shd w:val="clear" w:color="auto" w:fill="auto"/>
            <w:noWrap/>
            <w:vAlign w:val="center"/>
          </w:tcPr>
          <w:p w14:paraId="4E97D6FB">
            <w:pPr>
              <w:pStyle w:val="100"/>
              <w:bidi w:val="0"/>
              <w:rPr>
                <w:rFonts w:hint="eastAsia"/>
              </w:rPr>
            </w:pPr>
            <w:r>
              <w:rPr>
                <w:rFonts w:hint="eastAsia"/>
              </w:rPr>
              <w:t>监测与管护费</w:t>
            </w:r>
          </w:p>
        </w:tc>
        <w:tc>
          <w:tcPr>
            <w:tcW w:w="2152" w:type="dxa"/>
            <w:shd w:val="clear" w:color="auto" w:fill="auto"/>
            <w:noWrap/>
            <w:vAlign w:val="center"/>
          </w:tcPr>
          <w:p w14:paraId="623745DF">
            <w:pPr>
              <w:pStyle w:val="100"/>
              <w:bidi w:val="0"/>
              <w:rPr>
                <w:rFonts w:hint="default"/>
                <w:lang w:val="en-US"/>
              </w:rPr>
            </w:pPr>
            <w:r>
              <w:rPr>
                <w:rFonts w:hint="default"/>
                <w:lang w:val="en-US" w:eastAsia="zh-CN"/>
              </w:rPr>
              <w:t xml:space="preserve">0.3200 </w:t>
            </w:r>
          </w:p>
        </w:tc>
        <w:tc>
          <w:tcPr>
            <w:tcW w:w="1979" w:type="dxa"/>
            <w:shd w:val="clear" w:color="auto" w:fill="auto"/>
            <w:vAlign w:val="center"/>
          </w:tcPr>
          <w:p w14:paraId="1C5E4604">
            <w:pPr>
              <w:pStyle w:val="100"/>
              <w:bidi w:val="0"/>
              <w:rPr>
                <w:rFonts w:hint="default"/>
                <w:lang w:val="en-US"/>
              </w:rPr>
            </w:pPr>
            <w:r>
              <w:rPr>
                <w:rFonts w:hint="default"/>
                <w:lang w:val="en-US" w:eastAsia="zh-CN"/>
              </w:rPr>
              <w:t>8.93</w:t>
            </w:r>
          </w:p>
        </w:tc>
      </w:tr>
      <w:tr w14:paraId="2550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3489B98F">
            <w:pPr>
              <w:pStyle w:val="100"/>
              <w:bidi w:val="0"/>
            </w:pPr>
            <w:r>
              <w:rPr>
                <w:rFonts w:hint="eastAsia"/>
              </w:rPr>
              <w:t>（一）</w:t>
            </w:r>
          </w:p>
        </w:tc>
        <w:tc>
          <w:tcPr>
            <w:tcW w:w="1849" w:type="pct"/>
            <w:shd w:val="clear" w:color="auto" w:fill="auto"/>
            <w:noWrap/>
            <w:vAlign w:val="center"/>
          </w:tcPr>
          <w:p w14:paraId="545FAD29">
            <w:pPr>
              <w:pStyle w:val="100"/>
              <w:bidi w:val="0"/>
              <w:rPr>
                <w:rFonts w:hint="eastAsia"/>
              </w:rPr>
            </w:pPr>
            <w:r>
              <w:rPr>
                <w:rFonts w:hint="eastAsia"/>
              </w:rPr>
              <w:t>复垦监测费</w:t>
            </w:r>
          </w:p>
        </w:tc>
        <w:tc>
          <w:tcPr>
            <w:tcW w:w="2152" w:type="dxa"/>
            <w:shd w:val="clear" w:color="auto" w:fill="auto"/>
            <w:noWrap/>
            <w:vAlign w:val="center"/>
          </w:tcPr>
          <w:p w14:paraId="710D8678">
            <w:pPr>
              <w:pStyle w:val="100"/>
              <w:bidi w:val="0"/>
              <w:rPr>
                <w:rFonts w:hint="default"/>
                <w:lang w:val="en-US"/>
              </w:rPr>
            </w:pPr>
            <w:r>
              <w:rPr>
                <w:rFonts w:hint="default"/>
                <w:lang w:val="en-US" w:eastAsia="zh-CN"/>
              </w:rPr>
              <w:t xml:space="preserve">0.3200 </w:t>
            </w:r>
          </w:p>
        </w:tc>
        <w:tc>
          <w:tcPr>
            <w:tcW w:w="1979" w:type="dxa"/>
            <w:shd w:val="clear" w:color="auto" w:fill="auto"/>
            <w:vAlign w:val="center"/>
          </w:tcPr>
          <w:p w14:paraId="76A42F5E">
            <w:pPr>
              <w:pStyle w:val="100"/>
              <w:bidi w:val="0"/>
              <w:rPr>
                <w:rFonts w:hint="default"/>
                <w:lang w:val="en-US"/>
              </w:rPr>
            </w:pPr>
            <w:r>
              <w:rPr>
                <w:rFonts w:hint="default"/>
                <w:lang w:val="en-US" w:eastAsia="zh-CN"/>
              </w:rPr>
              <w:t>8.93</w:t>
            </w:r>
          </w:p>
        </w:tc>
      </w:tr>
      <w:tr w14:paraId="3772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73740F13">
            <w:pPr>
              <w:pStyle w:val="100"/>
              <w:bidi w:val="0"/>
              <w:rPr>
                <w:rFonts w:hint="eastAsia"/>
                <w:lang w:eastAsia="zh-CN"/>
              </w:rPr>
            </w:pPr>
            <w:r>
              <w:rPr>
                <w:rFonts w:hint="eastAsia"/>
                <w:lang w:eastAsia="zh-CN"/>
              </w:rPr>
              <w:t>（</w:t>
            </w:r>
            <w:r>
              <w:rPr>
                <w:rFonts w:hint="eastAsia"/>
                <w:lang w:val="en-US" w:eastAsia="zh-CN"/>
              </w:rPr>
              <w:t>二</w:t>
            </w:r>
            <w:r>
              <w:rPr>
                <w:rFonts w:hint="eastAsia"/>
                <w:lang w:eastAsia="zh-CN"/>
              </w:rPr>
              <w:t>）</w:t>
            </w:r>
          </w:p>
        </w:tc>
        <w:tc>
          <w:tcPr>
            <w:tcW w:w="1849" w:type="pct"/>
            <w:shd w:val="clear" w:color="auto" w:fill="auto"/>
            <w:noWrap/>
            <w:vAlign w:val="center"/>
          </w:tcPr>
          <w:p w14:paraId="4442CEAD">
            <w:pPr>
              <w:pStyle w:val="100"/>
              <w:bidi w:val="0"/>
              <w:rPr>
                <w:rFonts w:hint="eastAsia"/>
                <w:lang w:val="en-US" w:eastAsia="zh-CN"/>
              </w:rPr>
            </w:pPr>
            <w:r>
              <w:rPr>
                <w:rFonts w:hint="eastAsia"/>
                <w:lang w:val="en-US" w:eastAsia="zh-CN"/>
              </w:rPr>
              <w:t>管护费</w:t>
            </w:r>
          </w:p>
        </w:tc>
        <w:tc>
          <w:tcPr>
            <w:tcW w:w="2152" w:type="dxa"/>
            <w:shd w:val="clear" w:color="auto" w:fill="auto"/>
            <w:noWrap/>
            <w:vAlign w:val="center"/>
          </w:tcPr>
          <w:p w14:paraId="3EFD0346">
            <w:pPr>
              <w:pStyle w:val="100"/>
              <w:bidi w:val="0"/>
              <w:rPr>
                <w:rFonts w:hint="default"/>
                <w:lang w:val="en-US"/>
              </w:rPr>
            </w:pPr>
            <w:r>
              <w:rPr>
                <w:rFonts w:hint="default"/>
                <w:lang w:val="en-US" w:eastAsia="zh-CN"/>
              </w:rPr>
              <w:t xml:space="preserve">0.0000 </w:t>
            </w:r>
          </w:p>
        </w:tc>
        <w:tc>
          <w:tcPr>
            <w:tcW w:w="1979" w:type="dxa"/>
            <w:shd w:val="clear" w:color="auto" w:fill="auto"/>
            <w:vAlign w:val="center"/>
          </w:tcPr>
          <w:p w14:paraId="66DAE30A">
            <w:pPr>
              <w:pStyle w:val="100"/>
              <w:bidi w:val="0"/>
              <w:rPr>
                <w:rFonts w:hint="default"/>
                <w:lang w:val="en-US"/>
              </w:rPr>
            </w:pPr>
            <w:r>
              <w:rPr>
                <w:rFonts w:hint="default"/>
                <w:lang w:val="en-US" w:eastAsia="zh-CN"/>
              </w:rPr>
              <w:t>0.00</w:t>
            </w:r>
          </w:p>
        </w:tc>
      </w:tr>
      <w:tr w14:paraId="1F8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pct"/>
            <w:shd w:val="clear" w:color="auto" w:fill="auto"/>
            <w:vAlign w:val="center"/>
          </w:tcPr>
          <w:p w14:paraId="7D77E6CA">
            <w:pPr>
              <w:pStyle w:val="100"/>
              <w:bidi w:val="0"/>
            </w:pPr>
            <w:r>
              <w:rPr>
                <w:rFonts w:hint="eastAsia"/>
              </w:rPr>
              <w:t>四</w:t>
            </w:r>
          </w:p>
        </w:tc>
        <w:tc>
          <w:tcPr>
            <w:tcW w:w="1849" w:type="pct"/>
            <w:shd w:val="clear" w:color="auto" w:fill="auto"/>
            <w:noWrap/>
            <w:vAlign w:val="center"/>
          </w:tcPr>
          <w:p w14:paraId="4BACF8ED">
            <w:pPr>
              <w:pStyle w:val="100"/>
              <w:bidi w:val="0"/>
              <w:rPr>
                <w:rFonts w:hint="eastAsia"/>
              </w:rPr>
            </w:pPr>
            <w:r>
              <w:rPr>
                <w:rFonts w:hint="eastAsia"/>
              </w:rPr>
              <w:t>预备费</w:t>
            </w:r>
          </w:p>
        </w:tc>
        <w:tc>
          <w:tcPr>
            <w:tcW w:w="2152" w:type="dxa"/>
            <w:shd w:val="clear" w:color="auto" w:fill="auto"/>
            <w:noWrap/>
            <w:vAlign w:val="center"/>
          </w:tcPr>
          <w:p w14:paraId="2964278A">
            <w:pPr>
              <w:pStyle w:val="100"/>
              <w:bidi w:val="0"/>
              <w:rPr>
                <w:rFonts w:hint="default"/>
                <w:lang w:val="en-US"/>
              </w:rPr>
            </w:pPr>
            <w:r>
              <w:rPr>
                <w:rFonts w:hint="default"/>
                <w:lang w:val="en-US" w:eastAsia="zh-CN"/>
              </w:rPr>
              <w:t xml:space="preserve">0.0951 </w:t>
            </w:r>
          </w:p>
        </w:tc>
        <w:tc>
          <w:tcPr>
            <w:tcW w:w="1979" w:type="dxa"/>
            <w:shd w:val="clear" w:color="auto" w:fill="auto"/>
            <w:vAlign w:val="center"/>
          </w:tcPr>
          <w:p w14:paraId="21D610B5">
            <w:pPr>
              <w:pStyle w:val="100"/>
              <w:bidi w:val="0"/>
              <w:rPr>
                <w:rFonts w:hint="default"/>
                <w:lang w:val="en-US"/>
              </w:rPr>
            </w:pPr>
            <w:r>
              <w:rPr>
                <w:rFonts w:hint="default"/>
                <w:lang w:val="en-US" w:eastAsia="zh-CN"/>
              </w:rPr>
              <w:t>2.65</w:t>
            </w:r>
          </w:p>
        </w:tc>
      </w:tr>
      <w:tr w14:paraId="6282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6F1A17E6">
            <w:pPr>
              <w:pStyle w:val="100"/>
              <w:bidi w:val="0"/>
            </w:pPr>
            <w:r>
              <w:rPr>
                <w:rFonts w:hint="eastAsia"/>
              </w:rPr>
              <w:t>（一）</w:t>
            </w:r>
          </w:p>
        </w:tc>
        <w:tc>
          <w:tcPr>
            <w:tcW w:w="1849" w:type="pct"/>
            <w:shd w:val="clear" w:color="auto" w:fill="auto"/>
            <w:noWrap/>
            <w:vAlign w:val="center"/>
          </w:tcPr>
          <w:p w14:paraId="331C4C2D">
            <w:pPr>
              <w:pStyle w:val="100"/>
              <w:bidi w:val="0"/>
              <w:rPr>
                <w:rFonts w:hint="eastAsia"/>
              </w:rPr>
            </w:pPr>
            <w:r>
              <w:rPr>
                <w:rFonts w:hint="eastAsia"/>
              </w:rPr>
              <w:t>基本预备费</w:t>
            </w:r>
          </w:p>
        </w:tc>
        <w:tc>
          <w:tcPr>
            <w:tcW w:w="2152" w:type="dxa"/>
            <w:shd w:val="clear" w:color="auto" w:fill="auto"/>
            <w:noWrap/>
            <w:vAlign w:val="center"/>
          </w:tcPr>
          <w:p w14:paraId="40435AA7">
            <w:pPr>
              <w:pStyle w:val="100"/>
              <w:bidi w:val="0"/>
              <w:rPr>
                <w:rFonts w:hint="default"/>
                <w:lang w:val="en-US"/>
              </w:rPr>
            </w:pPr>
            <w:r>
              <w:rPr>
                <w:rFonts w:hint="default"/>
                <w:lang w:val="en-US" w:eastAsia="zh-CN"/>
              </w:rPr>
              <w:t xml:space="preserve">0.0951 </w:t>
            </w:r>
          </w:p>
        </w:tc>
        <w:tc>
          <w:tcPr>
            <w:tcW w:w="1979" w:type="dxa"/>
            <w:shd w:val="clear" w:color="auto" w:fill="auto"/>
            <w:vAlign w:val="center"/>
          </w:tcPr>
          <w:p w14:paraId="318DD6CB">
            <w:pPr>
              <w:pStyle w:val="100"/>
              <w:bidi w:val="0"/>
              <w:rPr>
                <w:rFonts w:hint="default"/>
                <w:lang w:val="en-US"/>
              </w:rPr>
            </w:pPr>
            <w:r>
              <w:rPr>
                <w:rFonts w:hint="default"/>
                <w:lang w:val="en-US" w:eastAsia="zh-CN"/>
              </w:rPr>
              <w:t>2.65</w:t>
            </w:r>
          </w:p>
        </w:tc>
      </w:tr>
      <w:tr w14:paraId="0DE9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77764DD7">
            <w:pPr>
              <w:pStyle w:val="100"/>
              <w:bidi w:val="0"/>
            </w:pPr>
            <w:r>
              <w:rPr>
                <w:rFonts w:hint="eastAsia"/>
              </w:rPr>
              <w:t>（二）</w:t>
            </w:r>
          </w:p>
        </w:tc>
        <w:tc>
          <w:tcPr>
            <w:tcW w:w="1849" w:type="pct"/>
            <w:shd w:val="clear" w:color="auto" w:fill="auto"/>
            <w:noWrap/>
            <w:vAlign w:val="center"/>
          </w:tcPr>
          <w:p w14:paraId="4C94AB0B">
            <w:pPr>
              <w:pStyle w:val="100"/>
              <w:bidi w:val="0"/>
              <w:rPr>
                <w:rFonts w:hint="eastAsia"/>
              </w:rPr>
            </w:pPr>
            <w:r>
              <w:rPr>
                <w:rFonts w:hint="eastAsia"/>
              </w:rPr>
              <w:t>价差预备费</w:t>
            </w:r>
          </w:p>
        </w:tc>
        <w:tc>
          <w:tcPr>
            <w:tcW w:w="2152" w:type="dxa"/>
            <w:shd w:val="clear" w:color="auto" w:fill="auto"/>
            <w:noWrap/>
            <w:vAlign w:val="center"/>
          </w:tcPr>
          <w:p w14:paraId="77C62B38">
            <w:pPr>
              <w:pStyle w:val="100"/>
              <w:bidi w:val="0"/>
              <w:rPr>
                <w:rFonts w:hint="default"/>
                <w:lang w:val="en-US"/>
              </w:rPr>
            </w:pPr>
            <w:r>
              <w:rPr>
                <w:rFonts w:hint="default"/>
                <w:lang w:val="en-US" w:eastAsia="zh-CN"/>
              </w:rPr>
              <w:t xml:space="preserve">0.0000 </w:t>
            </w:r>
          </w:p>
        </w:tc>
        <w:tc>
          <w:tcPr>
            <w:tcW w:w="1979" w:type="dxa"/>
            <w:shd w:val="clear" w:color="auto" w:fill="auto"/>
            <w:vAlign w:val="center"/>
          </w:tcPr>
          <w:p w14:paraId="3581CBB3">
            <w:pPr>
              <w:pStyle w:val="100"/>
              <w:bidi w:val="0"/>
              <w:rPr>
                <w:rFonts w:hint="default"/>
                <w:lang w:val="en-US"/>
              </w:rPr>
            </w:pPr>
            <w:r>
              <w:rPr>
                <w:rFonts w:hint="default"/>
                <w:lang w:val="en-US" w:eastAsia="zh-CN"/>
              </w:rPr>
              <w:t>0.00</w:t>
            </w:r>
          </w:p>
        </w:tc>
      </w:tr>
      <w:tr w14:paraId="06F5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5595A71B">
            <w:pPr>
              <w:pStyle w:val="100"/>
              <w:bidi w:val="0"/>
            </w:pPr>
            <w:r>
              <w:rPr>
                <w:rFonts w:hint="eastAsia"/>
              </w:rPr>
              <w:t>（三）</w:t>
            </w:r>
          </w:p>
        </w:tc>
        <w:tc>
          <w:tcPr>
            <w:tcW w:w="1849" w:type="pct"/>
            <w:shd w:val="clear" w:color="auto" w:fill="auto"/>
            <w:noWrap/>
            <w:vAlign w:val="center"/>
          </w:tcPr>
          <w:p w14:paraId="2819C706">
            <w:pPr>
              <w:pStyle w:val="100"/>
              <w:bidi w:val="0"/>
              <w:rPr>
                <w:rFonts w:hint="eastAsia"/>
              </w:rPr>
            </w:pPr>
            <w:r>
              <w:rPr>
                <w:rFonts w:hint="eastAsia"/>
              </w:rPr>
              <w:t>风险金</w:t>
            </w:r>
          </w:p>
        </w:tc>
        <w:tc>
          <w:tcPr>
            <w:tcW w:w="2152" w:type="dxa"/>
            <w:shd w:val="clear" w:color="auto" w:fill="auto"/>
            <w:noWrap/>
            <w:vAlign w:val="center"/>
          </w:tcPr>
          <w:p w14:paraId="6EFA3B24">
            <w:pPr>
              <w:pStyle w:val="100"/>
              <w:bidi w:val="0"/>
              <w:rPr>
                <w:rFonts w:hint="eastAsia"/>
              </w:rPr>
            </w:pPr>
            <w:r>
              <w:rPr>
                <w:rFonts w:hint="default"/>
                <w:lang w:val="en-US" w:eastAsia="zh-CN"/>
              </w:rPr>
              <w:t xml:space="preserve">0.0000 </w:t>
            </w:r>
          </w:p>
        </w:tc>
        <w:tc>
          <w:tcPr>
            <w:tcW w:w="1979" w:type="dxa"/>
            <w:shd w:val="clear" w:color="auto" w:fill="auto"/>
            <w:vAlign w:val="center"/>
          </w:tcPr>
          <w:p w14:paraId="038968C5">
            <w:pPr>
              <w:pStyle w:val="100"/>
              <w:bidi w:val="0"/>
              <w:rPr>
                <w:rFonts w:hint="eastAsia"/>
              </w:rPr>
            </w:pPr>
            <w:r>
              <w:rPr>
                <w:rFonts w:hint="default"/>
                <w:lang w:val="en-US" w:eastAsia="zh-CN"/>
              </w:rPr>
              <w:t>0.00</w:t>
            </w:r>
          </w:p>
        </w:tc>
      </w:tr>
      <w:tr w14:paraId="496D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pct"/>
            <w:shd w:val="clear" w:color="auto" w:fill="auto"/>
            <w:vAlign w:val="center"/>
          </w:tcPr>
          <w:p w14:paraId="67B9A3B8">
            <w:pPr>
              <w:pStyle w:val="100"/>
              <w:bidi w:val="0"/>
            </w:pPr>
            <w:r>
              <w:rPr>
                <w:rFonts w:hint="eastAsia"/>
              </w:rPr>
              <w:t>五</w:t>
            </w:r>
          </w:p>
        </w:tc>
        <w:tc>
          <w:tcPr>
            <w:tcW w:w="1849" w:type="pct"/>
            <w:shd w:val="clear" w:color="auto" w:fill="auto"/>
            <w:noWrap/>
            <w:vAlign w:val="center"/>
          </w:tcPr>
          <w:p w14:paraId="52602DC5">
            <w:pPr>
              <w:pStyle w:val="100"/>
              <w:bidi w:val="0"/>
              <w:rPr>
                <w:rFonts w:hint="eastAsia"/>
              </w:rPr>
            </w:pPr>
            <w:r>
              <w:rPr>
                <w:rFonts w:hint="eastAsia"/>
              </w:rPr>
              <w:t>静态总投资</w:t>
            </w:r>
          </w:p>
        </w:tc>
        <w:tc>
          <w:tcPr>
            <w:tcW w:w="2152" w:type="dxa"/>
            <w:shd w:val="clear" w:color="auto" w:fill="auto"/>
            <w:noWrap/>
            <w:vAlign w:val="center"/>
          </w:tcPr>
          <w:p w14:paraId="446B7B8A">
            <w:pPr>
              <w:pStyle w:val="100"/>
              <w:bidi w:val="0"/>
              <w:rPr>
                <w:rFonts w:hint="default"/>
                <w:lang w:val="en-US"/>
              </w:rPr>
            </w:pPr>
            <w:r>
              <w:rPr>
                <w:rFonts w:hint="default"/>
                <w:lang w:val="en-US" w:eastAsia="zh-CN"/>
              </w:rPr>
              <w:t xml:space="preserve">3.5844 </w:t>
            </w:r>
          </w:p>
        </w:tc>
        <w:tc>
          <w:tcPr>
            <w:tcW w:w="1979" w:type="dxa"/>
            <w:shd w:val="clear" w:color="auto" w:fill="auto"/>
            <w:vAlign w:val="center"/>
          </w:tcPr>
          <w:p w14:paraId="2C79A366">
            <w:pPr>
              <w:pStyle w:val="100"/>
              <w:bidi w:val="0"/>
              <w:rPr>
                <w:rFonts w:hint="eastAsia"/>
              </w:rPr>
            </w:pPr>
            <w:r>
              <w:rPr>
                <w:rFonts w:hint="default"/>
                <w:lang w:val="en-US" w:eastAsia="zh-CN"/>
              </w:rPr>
              <w:t>100.00</w:t>
            </w:r>
          </w:p>
        </w:tc>
      </w:tr>
      <w:tr w14:paraId="5E3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26" w:type="pct"/>
            <w:shd w:val="clear" w:color="auto" w:fill="auto"/>
            <w:vAlign w:val="center"/>
          </w:tcPr>
          <w:p w14:paraId="0BEE593E">
            <w:pPr>
              <w:pStyle w:val="100"/>
              <w:bidi w:val="0"/>
            </w:pPr>
            <w:r>
              <w:rPr>
                <w:rFonts w:hint="eastAsia"/>
              </w:rPr>
              <w:t>六</w:t>
            </w:r>
          </w:p>
        </w:tc>
        <w:tc>
          <w:tcPr>
            <w:tcW w:w="1849" w:type="pct"/>
            <w:shd w:val="clear" w:color="auto" w:fill="auto"/>
            <w:noWrap/>
            <w:vAlign w:val="center"/>
          </w:tcPr>
          <w:p w14:paraId="7DA4CE96">
            <w:pPr>
              <w:pStyle w:val="100"/>
              <w:bidi w:val="0"/>
              <w:rPr>
                <w:rFonts w:hint="eastAsia"/>
              </w:rPr>
            </w:pPr>
            <w:r>
              <w:rPr>
                <w:rFonts w:hint="eastAsia"/>
              </w:rPr>
              <w:t>动态总投资</w:t>
            </w:r>
          </w:p>
        </w:tc>
        <w:tc>
          <w:tcPr>
            <w:tcW w:w="2152" w:type="dxa"/>
            <w:shd w:val="clear" w:color="auto" w:fill="auto"/>
            <w:noWrap/>
            <w:vAlign w:val="center"/>
          </w:tcPr>
          <w:p w14:paraId="482E5B12">
            <w:pPr>
              <w:pStyle w:val="100"/>
              <w:bidi w:val="0"/>
              <w:rPr>
                <w:rFonts w:hint="default"/>
                <w:lang w:val="en-US"/>
              </w:rPr>
            </w:pPr>
            <w:r>
              <w:rPr>
                <w:rFonts w:hint="default"/>
                <w:lang w:val="en-US" w:eastAsia="zh-CN"/>
              </w:rPr>
              <w:t xml:space="preserve">3.5844 </w:t>
            </w:r>
          </w:p>
        </w:tc>
        <w:tc>
          <w:tcPr>
            <w:tcW w:w="1979" w:type="dxa"/>
            <w:shd w:val="clear" w:color="auto" w:fill="auto"/>
            <w:vAlign w:val="center"/>
          </w:tcPr>
          <w:p w14:paraId="59F0AF46">
            <w:pPr>
              <w:pStyle w:val="100"/>
              <w:bidi w:val="0"/>
              <w:rPr>
                <w:rFonts w:hint="eastAsia"/>
              </w:rPr>
            </w:pPr>
            <w:r>
              <w:rPr>
                <w:rFonts w:hint="default"/>
                <w:lang w:val="en-US" w:eastAsia="zh-CN"/>
              </w:rPr>
              <w:t>100.00</w:t>
            </w:r>
          </w:p>
        </w:tc>
      </w:tr>
    </w:tbl>
    <w:p w14:paraId="73C06003">
      <w:pPr>
        <w:pStyle w:val="22"/>
        <w:bidi w:val="0"/>
      </w:pPr>
      <w:r>
        <w:t>表7.2-</w:t>
      </w:r>
      <w:r>
        <w:rPr>
          <w:rFonts w:hint="eastAsia"/>
        </w:rPr>
        <w:t>2</w:t>
      </w:r>
      <w:r>
        <w:t xml:space="preserve">   土地复垦工程施工费估算表 </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96"/>
        <w:gridCol w:w="2608"/>
        <w:gridCol w:w="1106"/>
        <w:gridCol w:w="1202"/>
        <w:gridCol w:w="1223"/>
        <w:gridCol w:w="1175"/>
      </w:tblGrid>
      <w:tr w14:paraId="0921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5" w:type="pct"/>
            <w:noWrap/>
            <w:vAlign w:val="center"/>
          </w:tcPr>
          <w:p w14:paraId="5EFE28F6">
            <w:pPr>
              <w:pStyle w:val="100"/>
              <w:bidi w:val="0"/>
              <w:rPr>
                <w:rFonts w:hint="eastAsia"/>
                <w:lang w:eastAsia="zh-CN"/>
              </w:rPr>
            </w:pPr>
            <w:bookmarkStart w:id="209" w:name="_Hlk122368689"/>
            <w:r>
              <w:rPr>
                <w:rFonts w:hint="eastAsia"/>
                <w:lang w:eastAsia="zh-CN"/>
              </w:rPr>
              <w:t>序号</w:t>
            </w:r>
          </w:p>
        </w:tc>
        <w:tc>
          <w:tcPr>
            <w:tcW w:w="577" w:type="pct"/>
            <w:noWrap/>
            <w:vAlign w:val="center"/>
          </w:tcPr>
          <w:p w14:paraId="3E6213EA">
            <w:pPr>
              <w:pStyle w:val="100"/>
              <w:bidi w:val="0"/>
              <w:rPr>
                <w:rFonts w:hint="eastAsia"/>
                <w:lang w:eastAsia="zh-CN"/>
              </w:rPr>
            </w:pPr>
            <w:r>
              <w:rPr>
                <w:rFonts w:hint="eastAsia"/>
                <w:lang w:eastAsia="zh-CN"/>
              </w:rPr>
              <w:t>定额编号</w:t>
            </w:r>
          </w:p>
        </w:tc>
        <w:tc>
          <w:tcPr>
            <w:tcW w:w="1411" w:type="pct"/>
            <w:noWrap/>
            <w:vAlign w:val="center"/>
          </w:tcPr>
          <w:p w14:paraId="2EE285EE">
            <w:pPr>
              <w:pStyle w:val="100"/>
              <w:bidi w:val="0"/>
              <w:rPr>
                <w:rFonts w:hint="eastAsia"/>
                <w:lang w:eastAsia="zh-CN"/>
              </w:rPr>
            </w:pPr>
            <w:r>
              <w:rPr>
                <w:rFonts w:hint="eastAsia"/>
                <w:lang w:eastAsia="zh-CN"/>
              </w:rPr>
              <w:t>工程名称</w:t>
            </w:r>
          </w:p>
        </w:tc>
        <w:tc>
          <w:tcPr>
            <w:tcW w:w="603" w:type="pct"/>
            <w:noWrap/>
            <w:vAlign w:val="center"/>
          </w:tcPr>
          <w:p w14:paraId="01AB0394">
            <w:pPr>
              <w:pStyle w:val="100"/>
              <w:bidi w:val="0"/>
              <w:rPr>
                <w:rFonts w:hint="eastAsia"/>
                <w:lang w:eastAsia="zh-CN"/>
              </w:rPr>
            </w:pPr>
            <w:r>
              <w:rPr>
                <w:rFonts w:hint="eastAsia"/>
                <w:lang w:eastAsia="zh-CN"/>
              </w:rPr>
              <w:t>单位</w:t>
            </w:r>
          </w:p>
        </w:tc>
        <w:tc>
          <w:tcPr>
            <w:tcW w:w="647" w:type="pct"/>
            <w:noWrap/>
            <w:vAlign w:val="center"/>
          </w:tcPr>
          <w:p w14:paraId="0E7712F7">
            <w:pPr>
              <w:pStyle w:val="100"/>
              <w:bidi w:val="0"/>
              <w:rPr>
                <w:rFonts w:hint="eastAsia"/>
                <w:lang w:eastAsia="zh-CN"/>
              </w:rPr>
            </w:pPr>
            <w:r>
              <w:rPr>
                <w:rFonts w:hint="eastAsia"/>
                <w:lang w:eastAsia="zh-CN"/>
              </w:rPr>
              <w:t>工程量</w:t>
            </w:r>
          </w:p>
        </w:tc>
        <w:tc>
          <w:tcPr>
            <w:tcW w:w="664" w:type="pct"/>
            <w:vAlign w:val="center"/>
          </w:tcPr>
          <w:p w14:paraId="66EA1D7A">
            <w:pPr>
              <w:pStyle w:val="100"/>
              <w:bidi w:val="0"/>
              <w:rPr>
                <w:rFonts w:hint="eastAsia"/>
                <w:lang w:eastAsia="zh-CN"/>
              </w:rPr>
            </w:pPr>
            <w:r>
              <w:rPr>
                <w:rFonts w:hint="eastAsia"/>
                <w:lang w:eastAsia="zh-CN"/>
              </w:rPr>
              <w:t>综合单价</w:t>
            </w:r>
          </w:p>
        </w:tc>
        <w:tc>
          <w:tcPr>
            <w:tcW w:w="640" w:type="pct"/>
            <w:vAlign w:val="center"/>
          </w:tcPr>
          <w:p w14:paraId="14DAD9C3">
            <w:pPr>
              <w:pStyle w:val="100"/>
              <w:bidi w:val="0"/>
              <w:rPr>
                <w:rFonts w:hint="eastAsia"/>
                <w:lang w:eastAsia="zh-CN"/>
              </w:rPr>
            </w:pPr>
            <w:r>
              <w:rPr>
                <w:rFonts w:hint="eastAsia"/>
                <w:lang w:eastAsia="zh-CN"/>
              </w:rPr>
              <w:t>费用（元）</w:t>
            </w:r>
          </w:p>
        </w:tc>
      </w:tr>
      <w:tr w14:paraId="5C7D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5" w:type="pct"/>
            <w:noWrap/>
            <w:vAlign w:val="center"/>
          </w:tcPr>
          <w:p w14:paraId="5B8C131D">
            <w:pPr>
              <w:pStyle w:val="100"/>
              <w:bidi w:val="0"/>
              <w:rPr>
                <w:rFonts w:hint="eastAsia"/>
                <w:lang w:eastAsia="zh-CN"/>
              </w:rPr>
            </w:pPr>
            <w:r>
              <w:rPr>
                <w:rFonts w:hint="eastAsia"/>
                <w:lang w:eastAsia="zh-CN"/>
              </w:rPr>
              <w:t>一</w:t>
            </w:r>
          </w:p>
        </w:tc>
        <w:tc>
          <w:tcPr>
            <w:tcW w:w="1989" w:type="pct"/>
            <w:gridSpan w:val="2"/>
            <w:noWrap/>
            <w:vAlign w:val="center"/>
          </w:tcPr>
          <w:p w14:paraId="1E9E7B49">
            <w:pPr>
              <w:pStyle w:val="100"/>
              <w:bidi w:val="0"/>
              <w:rPr>
                <w:rFonts w:hint="eastAsia"/>
                <w:lang w:eastAsia="zh-CN"/>
              </w:rPr>
            </w:pPr>
            <w:r>
              <w:rPr>
                <w:rFonts w:hint="eastAsia"/>
                <w:lang w:eastAsia="zh-CN"/>
              </w:rPr>
              <w:t>土壤重构工程</w:t>
            </w:r>
          </w:p>
        </w:tc>
        <w:tc>
          <w:tcPr>
            <w:tcW w:w="603" w:type="pct"/>
            <w:noWrap/>
            <w:vAlign w:val="center"/>
          </w:tcPr>
          <w:p w14:paraId="39AAC535">
            <w:pPr>
              <w:pStyle w:val="100"/>
              <w:bidi w:val="0"/>
              <w:rPr>
                <w:rFonts w:hint="eastAsia"/>
                <w:lang w:eastAsia="zh-CN"/>
              </w:rPr>
            </w:pPr>
          </w:p>
        </w:tc>
        <w:tc>
          <w:tcPr>
            <w:tcW w:w="647" w:type="pct"/>
            <w:noWrap/>
            <w:vAlign w:val="center"/>
          </w:tcPr>
          <w:p w14:paraId="7D6182D2">
            <w:pPr>
              <w:pStyle w:val="100"/>
              <w:bidi w:val="0"/>
              <w:rPr>
                <w:rFonts w:hint="eastAsia"/>
                <w:lang w:eastAsia="zh-CN"/>
              </w:rPr>
            </w:pPr>
          </w:p>
        </w:tc>
        <w:tc>
          <w:tcPr>
            <w:tcW w:w="664" w:type="pct"/>
            <w:vAlign w:val="center"/>
          </w:tcPr>
          <w:p w14:paraId="50F928D7">
            <w:pPr>
              <w:pStyle w:val="100"/>
              <w:bidi w:val="0"/>
              <w:rPr>
                <w:rFonts w:hint="eastAsia"/>
                <w:lang w:eastAsia="zh-CN"/>
              </w:rPr>
            </w:pPr>
          </w:p>
        </w:tc>
        <w:tc>
          <w:tcPr>
            <w:tcW w:w="640" w:type="pct"/>
            <w:vAlign w:val="center"/>
          </w:tcPr>
          <w:p w14:paraId="106C26BB">
            <w:pPr>
              <w:pStyle w:val="100"/>
              <w:bidi w:val="0"/>
              <w:rPr>
                <w:rFonts w:hint="eastAsia"/>
                <w:lang w:eastAsia="zh-CN"/>
              </w:rPr>
            </w:pPr>
          </w:p>
        </w:tc>
      </w:tr>
      <w:tr w14:paraId="0096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55" w:type="pct"/>
            <w:noWrap/>
            <w:vAlign w:val="center"/>
          </w:tcPr>
          <w:p w14:paraId="1F8FD4B4">
            <w:pPr>
              <w:pStyle w:val="100"/>
              <w:bidi w:val="0"/>
              <w:rPr>
                <w:rFonts w:hint="eastAsia"/>
                <w:lang w:eastAsia="zh-CN"/>
              </w:rPr>
            </w:pPr>
            <w:r>
              <w:rPr>
                <w:rFonts w:hint="eastAsia"/>
                <w:lang w:eastAsia="zh-CN"/>
              </w:rPr>
              <w:t>（</w:t>
            </w:r>
            <w:r>
              <w:rPr>
                <w:rFonts w:hint="eastAsia"/>
                <w:lang w:val="en-US" w:eastAsia="zh-CN"/>
              </w:rPr>
              <w:t>一</w:t>
            </w:r>
            <w:r>
              <w:rPr>
                <w:rFonts w:hint="eastAsia"/>
                <w:lang w:eastAsia="zh-CN"/>
              </w:rPr>
              <w:t>）</w:t>
            </w:r>
          </w:p>
        </w:tc>
        <w:tc>
          <w:tcPr>
            <w:tcW w:w="1989" w:type="pct"/>
            <w:gridSpan w:val="2"/>
            <w:noWrap/>
            <w:vAlign w:val="center"/>
          </w:tcPr>
          <w:p w14:paraId="4F7B9963">
            <w:pPr>
              <w:pStyle w:val="100"/>
              <w:bidi w:val="0"/>
              <w:rPr>
                <w:rFonts w:hint="eastAsia"/>
                <w:lang w:eastAsia="zh-CN"/>
              </w:rPr>
            </w:pPr>
            <w:r>
              <w:rPr>
                <w:rFonts w:hint="eastAsia"/>
                <w:lang w:eastAsia="zh-CN"/>
              </w:rPr>
              <w:t>土地平整工程</w:t>
            </w:r>
          </w:p>
        </w:tc>
        <w:tc>
          <w:tcPr>
            <w:tcW w:w="603" w:type="pct"/>
            <w:noWrap/>
            <w:vAlign w:val="center"/>
          </w:tcPr>
          <w:p w14:paraId="0421AF1F">
            <w:pPr>
              <w:pStyle w:val="100"/>
              <w:bidi w:val="0"/>
              <w:rPr>
                <w:rFonts w:hint="eastAsia"/>
                <w:lang w:eastAsia="zh-CN"/>
              </w:rPr>
            </w:pPr>
          </w:p>
        </w:tc>
        <w:tc>
          <w:tcPr>
            <w:tcW w:w="647" w:type="pct"/>
            <w:noWrap/>
            <w:vAlign w:val="center"/>
          </w:tcPr>
          <w:p w14:paraId="7A8C8EF6">
            <w:pPr>
              <w:pStyle w:val="100"/>
              <w:bidi w:val="0"/>
              <w:rPr>
                <w:rFonts w:hint="eastAsia"/>
                <w:lang w:eastAsia="zh-CN"/>
              </w:rPr>
            </w:pPr>
          </w:p>
        </w:tc>
        <w:tc>
          <w:tcPr>
            <w:tcW w:w="664" w:type="pct"/>
            <w:vAlign w:val="center"/>
          </w:tcPr>
          <w:p w14:paraId="220C6D9D">
            <w:pPr>
              <w:pStyle w:val="100"/>
              <w:bidi w:val="0"/>
              <w:rPr>
                <w:rFonts w:hint="eastAsia"/>
                <w:lang w:eastAsia="zh-CN"/>
              </w:rPr>
            </w:pPr>
          </w:p>
        </w:tc>
        <w:tc>
          <w:tcPr>
            <w:tcW w:w="640" w:type="pct"/>
            <w:vAlign w:val="center"/>
          </w:tcPr>
          <w:p w14:paraId="530F0327">
            <w:pPr>
              <w:pStyle w:val="100"/>
              <w:bidi w:val="0"/>
              <w:rPr>
                <w:rFonts w:hint="eastAsia"/>
                <w:lang w:eastAsia="zh-CN"/>
              </w:rPr>
            </w:pPr>
          </w:p>
        </w:tc>
      </w:tr>
      <w:tr w14:paraId="1345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5" w:type="pct"/>
            <w:noWrap/>
            <w:vAlign w:val="center"/>
          </w:tcPr>
          <w:p w14:paraId="7B503B28">
            <w:pPr>
              <w:pStyle w:val="100"/>
              <w:bidi w:val="0"/>
              <w:rPr>
                <w:rFonts w:hint="eastAsia"/>
                <w:lang w:eastAsia="zh-CN"/>
              </w:rPr>
            </w:pPr>
            <w:r>
              <w:rPr>
                <w:rFonts w:hint="eastAsia"/>
                <w:lang w:eastAsia="zh-CN"/>
              </w:rPr>
              <w:t>1</w:t>
            </w:r>
          </w:p>
        </w:tc>
        <w:tc>
          <w:tcPr>
            <w:tcW w:w="577" w:type="pct"/>
            <w:noWrap/>
            <w:vAlign w:val="center"/>
          </w:tcPr>
          <w:p w14:paraId="4EB1F56D">
            <w:pPr>
              <w:pStyle w:val="100"/>
              <w:bidi w:val="0"/>
              <w:rPr>
                <w:rFonts w:hint="eastAsia"/>
                <w:lang w:eastAsia="zh-CN"/>
              </w:rPr>
            </w:pPr>
          </w:p>
        </w:tc>
        <w:tc>
          <w:tcPr>
            <w:tcW w:w="1411" w:type="pct"/>
            <w:noWrap/>
            <w:vAlign w:val="center"/>
          </w:tcPr>
          <w:p w14:paraId="7123F33D">
            <w:pPr>
              <w:pStyle w:val="100"/>
              <w:bidi w:val="0"/>
              <w:rPr>
                <w:rFonts w:hint="eastAsia"/>
                <w:lang w:eastAsia="zh-CN"/>
              </w:rPr>
            </w:pPr>
            <w:r>
              <w:rPr>
                <w:rFonts w:hint="eastAsia"/>
              </w:rPr>
              <w:t>土地平整</w:t>
            </w:r>
          </w:p>
        </w:tc>
        <w:tc>
          <w:tcPr>
            <w:tcW w:w="603" w:type="pct"/>
            <w:noWrap/>
            <w:vAlign w:val="center"/>
          </w:tcPr>
          <w:p w14:paraId="1092BCD6">
            <w:pPr>
              <w:pStyle w:val="100"/>
              <w:bidi w:val="0"/>
              <w:rPr>
                <w:rFonts w:hint="eastAsia"/>
                <w:lang w:eastAsia="zh-CN"/>
              </w:rPr>
            </w:pPr>
          </w:p>
        </w:tc>
        <w:tc>
          <w:tcPr>
            <w:tcW w:w="647" w:type="pct"/>
            <w:noWrap/>
            <w:vAlign w:val="center"/>
          </w:tcPr>
          <w:p w14:paraId="48CC786C">
            <w:pPr>
              <w:pStyle w:val="100"/>
              <w:bidi w:val="0"/>
              <w:rPr>
                <w:rFonts w:hint="eastAsia"/>
                <w:lang w:eastAsia="zh-CN"/>
              </w:rPr>
            </w:pPr>
          </w:p>
        </w:tc>
        <w:tc>
          <w:tcPr>
            <w:tcW w:w="664" w:type="pct"/>
            <w:vAlign w:val="center"/>
          </w:tcPr>
          <w:p w14:paraId="7928FB36">
            <w:pPr>
              <w:pStyle w:val="100"/>
              <w:bidi w:val="0"/>
              <w:rPr>
                <w:rFonts w:hint="eastAsia"/>
                <w:lang w:eastAsia="zh-CN"/>
              </w:rPr>
            </w:pPr>
          </w:p>
        </w:tc>
        <w:tc>
          <w:tcPr>
            <w:tcW w:w="640" w:type="pct"/>
            <w:vAlign w:val="center"/>
          </w:tcPr>
          <w:p w14:paraId="17EB63FD">
            <w:pPr>
              <w:pStyle w:val="100"/>
              <w:bidi w:val="0"/>
              <w:rPr>
                <w:rFonts w:hint="eastAsia"/>
                <w:lang w:eastAsia="zh-CN"/>
              </w:rPr>
            </w:pPr>
          </w:p>
        </w:tc>
      </w:tr>
      <w:tr w14:paraId="0FC7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55" w:type="pct"/>
            <w:noWrap/>
            <w:vAlign w:val="center"/>
          </w:tcPr>
          <w:p w14:paraId="1BD34638">
            <w:pPr>
              <w:pStyle w:val="100"/>
              <w:bidi w:val="0"/>
              <w:rPr>
                <w:rFonts w:hint="eastAsia"/>
                <w:lang w:eastAsia="zh-CN"/>
              </w:rPr>
            </w:pPr>
            <w:r>
              <w:rPr>
                <w:rFonts w:hint="eastAsia"/>
                <w:lang w:eastAsia="zh-CN"/>
              </w:rPr>
              <w:t>①</w:t>
            </w:r>
          </w:p>
        </w:tc>
        <w:tc>
          <w:tcPr>
            <w:tcW w:w="577" w:type="pct"/>
            <w:noWrap/>
            <w:vAlign w:val="center"/>
          </w:tcPr>
          <w:p w14:paraId="7F30326B">
            <w:pPr>
              <w:pStyle w:val="100"/>
              <w:bidi w:val="0"/>
              <w:rPr>
                <w:rFonts w:hint="default" w:eastAsia="仿宋_GB2312"/>
                <w:lang w:val="en-US" w:eastAsia="zh-CN"/>
              </w:rPr>
            </w:pPr>
            <w:r>
              <w:rPr>
                <w:rFonts w:hint="eastAsia"/>
              </w:rPr>
              <w:t>103</w:t>
            </w:r>
            <w:r>
              <w:rPr>
                <w:rFonts w:hint="eastAsia"/>
                <w:lang w:val="en-US" w:eastAsia="zh-CN"/>
              </w:rPr>
              <w:t>22</w:t>
            </w:r>
          </w:p>
        </w:tc>
        <w:tc>
          <w:tcPr>
            <w:tcW w:w="1411" w:type="pct"/>
            <w:noWrap/>
            <w:vAlign w:val="center"/>
          </w:tcPr>
          <w:p w14:paraId="46CC098B">
            <w:pPr>
              <w:pStyle w:val="100"/>
              <w:bidi w:val="0"/>
              <w:rPr>
                <w:rFonts w:hint="eastAsia"/>
                <w:lang w:eastAsia="zh-CN"/>
              </w:rPr>
            </w:pPr>
            <w:r>
              <w:rPr>
                <w:rFonts w:hint="eastAsia"/>
              </w:rPr>
              <w:t>土地平整</w:t>
            </w:r>
          </w:p>
        </w:tc>
        <w:tc>
          <w:tcPr>
            <w:tcW w:w="603" w:type="pct"/>
            <w:noWrap/>
            <w:vAlign w:val="center"/>
          </w:tcPr>
          <w:p w14:paraId="72FCB450">
            <w:pPr>
              <w:pStyle w:val="100"/>
              <w:bidi w:val="0"/>
              <w:rPr>
                <w:rFonts w:hint="eastAsia"/>
                <w:lang w:eastAsia="zh-CN"/>
              </w:rPr>
            </w:pPr>
            <w:r>
              <w:rPr>
                <w:rFonts w:hint="eastAsia"/>
              </w:rPr>
              <w:t>100m</w:t>
            </w:r>
            <w:r>
              <w:rPr>
                <w:rFonts w:hint="eastAsia"/>
                <w:vertAlign w:val="superscript"/>
              </w:rPr>
              <w:t>3</w:t>
            </w:r>
          </w:p>
        </w:tc>
        <w:tc>
          <w:tcPr>
            <w:tcW w:w="1202" w:type="dxa"/>
            <w:noWrap/>
            <w:vAlign w:val="bottom"/>
          </w:tcPr>
          <w:p w14:paraId="7F97B6E8">
            <w:pPr>
              <w:pStyle w:val="100"/>
              <w:bidi w:val="0"/>
              <w:rPr>
                <w:rFonts w:hint="default"/>
                <w:lang w:val="en-US" w:eastAsia="zh-CN"/>
              </w:rPr>
            </w:pPr>
            <w:r>
              <w:rPr>
                <w:rFonts w:hint="default"/>
                <w:lang w:val="en-US" w:eastAsia="zh-CN"/>
              </w:rPr>
              <w:t xml:space="preserve">39.296 </w:t>
            </w:r>
          </w:p>
        </w:tc>
        <w:tc>
          <w:tcPr>
            <w:tcW w:w="1237" w:type="dxa"/>
            <w:vAlign w:val="center"/>
          </w:tcPr>
          <w:p w14:paraId="40C340FD">
            <w:pPr>
              <w:pStyle w:val="100"/>
              <w:bidi w:val="0"/>
              <w:rPr>
                <w:rFonts w:hint="default"/>
                <w:lang w:val="en-US" w:eastAsia="zh-CN"/>
              </w:rPr>
            </w:pPr>
            <w:r>
              <w:rPr>
                <w:rFonts w:hint="default"/>
                <w:lang w:val="en-US" w:eastAsia="zh-CN"/>
              </w:rPr>
              <w:t xml:space="preserve">706.80 </w:t>
            </w:r>
          </w:p>
        </w:tc>
        <w:tc>
          <w:tcPr>
            <w:tcW w:w="1189" w:type="dxa"/>
            <w:vAlign w:val="center"/>
          </w:tcPr>
          <w:p w14:paraId="273A3550">
            <w:pPr>
              <w:pStyle w:val="100"/>
              <w:bidi w:val="0"/>
              <w:rPr>
                <w:rFonts w:hint="default"/>
                <w:lang w:val="en-US" w:eastAsia="zh-CN"/>
              </w:rPr>
            </w:pPr>
            <w:r>
              <w:rPr>
                <w:rFonts w:hint="default"/>
                <w:lang w:val="en-US" w:eastAsia="zh-CN"/>
              </w:rPr>
              <w:t xml:space="preserve">27774.45 </w:t>
            </w:r>
          </w:p>
        </w:tc>
      </w:tr>
      <w:tr w14:paraId="67D6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359" w:type="pct"/>
            <w:gridSpan w:val="6"/>
            <w:vAlign w:val="center"/>
          </w:tcPr>
          <w:p w14:paraId="3157A244">
            <w:pPr>
              <w:pStyle w:val="100"/>
              <w:bidi w:val="0"/>
              <w:rPr>
                <w:rFonts w:hint="eastAsia"/>
                <w:lang w:val="en-US" w:eastAsia="zh-CN"/>
              </w:rPr>
            </w:pPr>
            <w:r>
              <w:rPr>
                <w:rFonts w:hint="eastAsia"/>
                <w:lang w:val="en-US" w:eastAsia="zh-CN"/>
              </w:rPr>
              <w:t>合计</w:t>
            </w:r>
          </w:p>
        </w:tc>
        <w:tc>
          <w:tcPr>
            <w:tcW w:w="640" w:type="pct"/>
            <w:vAlign w:val="center"/>
          </w:tcPr>
          <w:p w14:paraId="49DF2903">
            <w:pPr>
              <w:pStyle w:val="100"/>
              <w:bidi w:val="0"/>
              <w:rPr>
                <w:rFonts w:hint="eastAsia"/>
                <w:lang w:val="en-US" w:eastAsia="zh-CN"/>
              </w:rPr>
            </w:pPr>
            <w:r>
              <w:rPr>
                <w:rFonts w:hint="eastAsia"/>
                <w:lang w:val="en-US" w:eastAsia="zh-CN"/>
              </w:rPr>
              <w:t xml:space="preserve">27774.45 </w:t>
            </w:r>
            <w:r>
              <w:rPr>
                <w:rFonts w:hint="default"/>
                <w:lang w:val="en-US" w:eastAsia="zh-CN"/>
              </w:rPr>
              <w:t xml:space="preserve"> </w:t>
            </w:r>
          </w:p>
        </w:tc>
      </w:tr>
      <w:bookmarkEnd w:id="209"/>
    </w:tbl>
    <w:p w14:paraId="59003D05">
      <w:pPr>
        <w:spacing w:before="120" w:beforeLines="50" w:line="360" w:lineRule="auto"/>
        <w:jc w:val="center"/>
        <w:rPr>
          <w:rFonts w:hint="eastAsia" w:ascii="Times New Roman" w:hAnsi="Times New Roman" w:eastAsia="黑体" w:cs="Times New Roman"/>
          <w:color w:val="000000"/>
          <w:szCs w:val="24"/>
        </w:rPr>
      </w:pPr>
    </w:p>
    <w:p w14:paraId="022A2BFC">
      <w:pPr>
        <w:spacing w:before="120" w:beforeLines="50" w:line="360" w:lineRule="auto"/>
        <w:jc w:val="center"/>
        <w:rPr>
          <w:rFonts w:hint="eastAsia" w:ascii="Times New Roman" w:hAnsi="Times New Roman" w:eastAsia="黑体" w:cs="Times New Roman"/>
          <w:color w:val="000000"/>
          <w:szCs w:val="24"/>
        </w:rPr>
      </w:pPr>
    </w:p>
    <w:p w14:paraId="4CFF20F2">
      <w:pPr>
        <w:spacing w:before="120" w:beforeLines="50" w:line="360" w:lineRule="auto"/>
        <w:jc w:val="center"/>
        <w:rPr>
          <w:rFonts w:hint="eastAsia" w:ascii="Times New Roman" w:hAnsi="Times New Roman" w:eastAsia="黑体" w:cs="Times New Roman"/>
          <w:color w:val="000000"/>
          <w:szCs w:val="24"/>
        </w:rPr>
      </w:pPr>
    </w:p>
    <w:p w14:paraId="7E4EAA29">
      <w:pPr>
        <w:pStyle w:val="22"/>
        <w:bidi w:val="0"/>
      </w:pPr>
      <w:r>
        <w:rPr>
          <w:rFonts w:hint="eastAsia"/>
        </w:rPr>
        <w:t xml:space="preserve"> </w:t>
      </w:r>
      <w:r>
        <w:t>表7.2-</w:t>
      </w:r>
      <w:r>
        <w:rPr>
          <w:rFonts w:hint="eastAsia"/>
        </w:rPr>
        <w:t>3</w:t>
      </w:r>
      <w:r>
        <w:t xml:space="preserve">  土地复垦其他费用估算表</w:t>
      </w:r>
    </w:p>
    <w:tbl>
      <w:tblPr>
        <w:tblStyle w:val="88"/>
        <w:tblW w:w="5000" w:type="pct"/>
        <w:tblInd w:w="0" w:type="dxa"/>
        <w:tblLayout w:type="autofit"/>
        <w:tblCellMar>
          <w:top w:w="0" w:type="dxa"/>
          <w:left w:w="108" w:type="dxa"/>
          <w:bottom w:w="0" w:type="dxa"/>
          <w:right w:w="108" w:type="dxa"/>
        </w:tblCellMar>
      </w:tblPr>
      <w:tblGrid>
        <w:gridCol w:w="1358"/>
        <w:gridCol w:w="3659"/>
        <w:gridCol w:w="1549"/>
        <w:gridCol w:w="1296"/>
        <w:gridCol w:w="1424"/>
      </w:tblGrid>
      <w:tr w14:paraId="16867E67">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CCD886A">
            <w:pPr>
              <w:pStyle w:val="100"/>
              <w:bidi w:val="0"/>
            </w:pPr>
            <w:r>
              <w:t>其他费用汇总</w:t>
            </w:r>
          </w:p>
        </w:tc>
      </w:tr>
      <w:tr w14:paraId="6DF745A1">
        <w:tblPrEx>
          <w:tblCellMar>
            <w:top w:w="0" w:type="dxa"/>
            <w:left w:w="108" w:type="dxa"/>
            <w:bottom w:w="0" w:type="dxa"/>
            <w:right w:w="108" w:type="dxa"/>
          </w:tblCellMar>
        </w:tblPrEx>
        <w:trPr>
          <w:trHeight w:val="510"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1C3E063C">
            <w:pPr>
              <w:pStyle w:val="100"/>
              <w:bidi w:val="0"/>
            </w:pPr>
            <w:r>
              <w:t>序号</w:t>
            </w:r>
          </w:p>
        </w:tc>
        <w:tc>
          <w:tcPr>
            <w:tcW w:w="1970" w:type="pct"/>
            <w:tcBorders>
              <w:top w:val="single" w:color="000000" w:sz="4" w:space="0"/>
              <w:left w:val="single" w:color="000000" w:sz="4" w:space="0"/>
              <w:bottom w:val="single" w:color="000000" w:sz="4" w:space="0"/>
              <w:right w:val="single" w:color="000000" w:sz="4" w:space="0"/>
            </w:tcBorders>
            <w:vAlign w:val="center"/>
          </w:tcPr>
          <w:p w14:paraId="5922071B">
            <w:pPr>
              <w:pStyle w:val="100"/>
              <w:bidi w:val="0"/>
            </w:pPr>
            <w:r>
              <w:t>费用名称</w:t>
            </w:r>
          </w:p>
        </w:tc>
        <w:tc>
          <w:tcPr>
            <w:tcW w:w="834" w:type="pct"/>
            <w:tcBorders>
              <w:top w:val="single" w:color="000000" w:sz="4" w:space="0"/>
              <w:left w:val="single" w:color="000000" w:sz="4" w:space="0"/>
              <w:bottom w:val="single" w:color="000000" w:sz="4" w:space="0"/>
              <w:right w:val="single" w:color="000000" w:sz="4" w:space="0"/>
            </w:tcBorders>
            <w:vAlign w:val="center"/>
          </w:tcPr>
          <w:p w14:paraId="0C65B301">
            <w:pPr>
              <w:pStyle w:val="100"/>
              <w:bidi w:val="0"/>
            </w:pPr>
            <w:r>
              <w:t>费基（万元）</w:t>
            </w:r>
          </w:p>
        </w:tc>
        <w:tc>
          <w:tcPr>
            <w:tcW w:w="697" w:type="pct"/>
            <w:tcBorders>
              <w:top w:val="single" w:color="000000" w:sz="4" w:space="0"/>
              <w:left w:val="single" w:color="000000" w:sz="4" w:space="0"/>
              <w:bottom w:val="single" w:color="000000" w:sz="4" w:space="0"/>
              <w:right w:val="single" w:color="000000" w:sz="4" w:space="0"/>
            </w:tcBorders>
            <w:vAlign w:val="center"/>
          </w:tcPr>
          <w:p w14:paraId="58796D3C">
            <w:pPr>
              <w:pStyle w:val="100"/>
              <w:bidi w:val="0"/>
            </w:pPr>
            <w:r>
              <w:t>费率（％）</w:t>
            </w:r>
          </w:p>
        </w:tc>
        <w:tc>
          <w:tcPr>
            <w:tcW w:w="766" w:type="pct"/>
            <w:tcBorders>
              <w:top w:val="single" w:color="000000" w:sz="4" w:space="0"/>
              <w:left w:val="single" w:color="000000" w:sz="4" w:space="0"/>
              <w:bottom w:val="single" w:color="000000" w:sz="4" w:space="0"/>
              <w:right w:val="single" w:color="000000" w:sz="4" w:space="0"/>
            </w:tcBorders>
            <w:vAlign w:val="center"/>
          </w:tcPr>
          <w:p w14:paraId="7CE6FAC3">
            <w:pPr>
              <w:pStyle w:val="100"/>
              <w:bidi w:val="0"/>
            </w:pPr>
            <w:r>
              <w:t>金额（万元）</w:t>
            </w:r>
          </w:p>
        </w:tc>
      </w:tr>
      <w:tr w14:paraId="0134007C">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vAlign w:val="center"/>
          </w:tcPr>
          <w:p w14:paraId="64AC0795">
            <w:pPr>
              <w:pStyle w:val="100"/>
              <w:bidi w:val="0"/>
            </w:pPr>
            <w:r>
              <w:t>1</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2AC387B6">
            <w:pPr>
              <w:pStyle w:val="100"/>
              <w:bidi w:val="0"/>
            </w:pPr>
            <w:r>
              <w:t>前期工作费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0C9003BC">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46AD37A0">
            <w:pPr>
              <w:pStyle w:val="100"/>
              <w:bidi w:val="0"/>
              <w:rPr>
                <w:rFonts w:hint="eastAsia"/>
              </w:rPr>
            </w:pPr>
            <w:r>
              <w:rPr>
                <w:rFonts w:hint="default"/>
                <w:lang w:val="en-US" w:eastAsia="zh-CN"/>
              </w:rPr>
              <w:t>6.00</w:t>
            </w:r>
          </w:p>
        </w:tc>
        <w:tc>
          <w:tcPr>
            <w:tcW w:w="1424" w:type="dxa"/>
            <w:tcBorders>
              <w:top w:val="single" w:color="000000" w:sz="4" w:space="0"/>
              <w:left w:val="single" w:color="000000" w:sz="4" w:space="0"/>
              <w:bottom w:val="single" w:color="000000" w:sz="4" w:space="0"/>
              <w:right w:val="single" w:color="000000" w:sz="4" w:space="0"/>
            </w:tcBorders>
            <w:vAlign w:val="center"/>
          </w:tcPr>
          <w:p w14:paraId="31C514CE">
            <w:pPr>
              <w:pStyle w:val="100"/>
              <w:bidi w:val="0"/>
              <w:rPr>
                <w:rFonts w:hint="default"/>
                <w:lang w:val="en-US"/>
              </w:rPr>
            </w:pPr>
            <w:r>
              <w:rPr>
                <w:rFonts w:hint="default"/>
                <w:lang w:val="en-US" w:eastAsia="zh-CN"/>
              </w:rPr>
              <w:t>0.1666</w:t>
            </w:r>
          </w:p>
        </w:tc>
      </w:tr>
      <w:tr w14:paraId="2FF90456">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vAlign w:val="center"/>
          </w:tcPr>
          <w:p w14:paraId="25CD111E">
            <w:pPr>
              <w:pStyle w:val="100"/>
              <w:bidi w:val="0"/>
            </w:pPr>
            <w:r>
              <w:t>（1）</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0A65EC67">
            <w:pPr>
              <w:pStyle w:val="100"/>
              <w:bidi w:val="0"/>
            </w:pPr>
            <w:r>
              <w:t>土地与生态现状调查费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6738473B">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097F30F1">
            <w:pPr>
              <w:pStyle w:val="100"/>
              <w:bidi w:val="0"/>
              <w:rPr>
                <w:rFonts w:hint="eastAsia"/>
              </w:rPr>
            </w:pPr>
            <w:r>
              <w:rPr>
                <w:rFonts w:hint="default"/>
                <w:lang w:val="en-US" w:eastAsia="zh-CN"/>
              </w:rPr>
              <w:t>0.50</w:t>
            </w:r>
          </w:p>
        </w:tc>
        <w:tc>
          <w:tcPr>
            <w:tcW w:w="1424" w:type="dxa"/>
            <w:tcBorders>
              <w:top w:val="single" w:color="000000" w:sz="4" w:space="0"/>
              <w:left w:val="single" w:color="000000" w:sz="4" w:space="0"/>
              <w:bottom w:val="single" w:color="000000" w:sz="4" w:space="0"/>
              <w:right w:val="single" w:color="000000" w:sz="4" w:space="0"/>
            </w:tcBorders>
            <w:vAlign w:val="center"/>
          </w:tcPr>
          <w:p w14:paraId="73C29637">
            <w:pPr>
              <w:pStyle w:val="100"/>
              <w:bidi w:val="0"/>
              <w:rPr>
                <w:rFonts w:hint="eastAsia"/>
              </w:rPr>
            </w:pPr>
            <w:r>
              <w:rPr>
                <w:rFonts w:hint="default"/>
                <w:lang w:val="en-US" w:eastAsia="zh-CN"/>
              </w:rPr>
              <w:t>0.0139</w:t>
            </w:r>
          </w:p>
        </w:tc>
      </w:tr>
      <w:tr w14:paraId="345BE92B">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787C38A6">
            <w:pPr>
              <w:pStyle w:val="100"/>
              <w:bidi w:val="0"/>
            </w:pPr>
            <w:r>
              <w:t>（</w:t>
            </w:r>
            <w:r>
              <w:rPr>
                <w:rFonts w:hint="eastAsia"/>
              </w:rPr>
              <w:t>2</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68FCFECE">
            <w:pPr>
              <w:pStyle w:val="100"/>
              <w:bidi w:val="0"/>
            </w:pPr>
            <w:r>
              <w:t>土地勘测费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1495EEBF">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1D019A44">
            <w:pPr>
              <w:pStyle w:val="100"/>
              <w:bidi w:val="0"/>
              <w:rPr>
                <w:rFonts w:hint="eastAsia"/>
              </w:rPr>
            </w:pPr>
            <w:r>
              <w:rPr>
                <w:rFonts w:hint="default"/>
                <w:lang w:val="en-US" w:eastAsia="zh-CN"/>
              </w:rPr>
              <w:t>1.50</w:t>
            </w:r>
          </w:p>
        </w:tc>
        <w:tc>
          <w:tcPr>
            <w:tcW w:w="1424" w:type="dxa"/>
            <w:tcBorders>
              <w:top w:val="single" w:color="000000" w:sz="4" w:space="0"/>
              <w:left w:val="single" w:color="000000" w:sz="4" w:space="0"/>
              <w:bottom w:val="single" w:color="000000" w:sz="4" w:space="0"/>
              <w:right w:val="single" w:color="000000" w:sz="4" w:space="0"/>
            </w:tcBorders>
            <w:vAlign w:val="center"/>
          </w:tcPr>
          <w:p w14:paraId="2C986FAC">
            <w:pPr>
              <w:pStyle w:val="100"/>
              <w:bidi w:val="0"/>
              <w:rPr>
                <w:rFonts w:hint="default"/>
                <w:lang w:val="en-US"/>
              </w:rPr>
            </w:pPr>
            <w:r>
              <w:rPr>
                <w:rFonts w:hint="default"/>
                <w:lang w:val="en-US" w:eastAsia="zh-CN"/>
              </w:rPr>
              <w:t>0.0417</w:t>
            </w:r>
          </w:p>
        </w:tc>
      </w:tr>
      <w:tr w14:paraId="6CD6A382">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7DD7FAEE">
            <w:pPr>
              <w:pStyle w:val="100"/>
              <w:bidi w:val="0"/>
            </w:pPr>
            <w:r>
              <w:t>（</w:t>
            </w:r>
            <w:r>
              <w:rPr>
                <w:rFonts w:hint="eastAsia"/>
              </w:rPr>
              <w:t>3</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3C71E6B4">
            <w:pPr>
              <w:pStyle w:val="100"/>
              <w:bidi w:val="0"/>
            </w:pPr>
            <w:r>
              <w:t>土地复垦方案编制费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60720A38">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3F67549D">
            <w:pPr>
              <w:pStyle w:val="100"/>
              <w:bidi w:val="0"/>
              <w:rPr>
                <w:rFonts w:hint="eastAsia"/>
              </w:rPr>
            </w:pPr>
            <w:r>
              <w:rPr>
                <w:rFonts w:hint="default"/>
                <w:lang w:val="en-US" w:eastAsia="zh-CN"/>
              </w:rPr>
              <w:t>1.50</w:t>
            </w:r>
          </w:p>
        </w:tc>
        <w:tc>
          <w:tcPr>
            <w:tcW w:w="1424" w:type="dxa"/>
            <w:tcBorders>
              <w:top w:val="single" w:color="000000" w:sz="4" w:space="0"/>
              <w:left w:val="single" w:color="000000" w:sz="4" w:space="0"/>
              <w:bottom w:val="single" w:color="000000" w:sz="4" w:space="0"/>
              <w:right w:val="single" w:color="000000" w:sz="4" w:space="0"/>
            </w:tcBorders>
            <w:vAlign w:val="center"/>
          </w:tcPr>
          <w:p w14:paraId="4BC9DEDC">
            <w:pPr>
              <w:pStyle w:val="100"/>
              <w:bidi w:val="0"/>
              <w:rPr>
                <w:rFonts w:hint="eastAsia"/>
              </w:rPr>
            </w:pPr>
            <w:r>
              <w:rPr>
                <w:rFonts w:hint="default"/>
                <w:lang w:val="en-US" w:eastAsia="zh-CN"/>
              </w:rPr>
              <w:t>0.0417</w:t>
            </w:r>
          </w:p>
        </w:tc>
      </w:tr>
      <w:tr w14:paraId="6A9A2389">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30A168D1">
            <w:pPr>
              <w:pStyle w:val="100"/>
              <w:bidi w:val="0"/>
            </w:pPr>
            <w:r>
              <w:t>（</w:t>
            </w:r>
            <w:r>
              <w:rPr>
                <w:rFonts w:hint="eastAsia"/>
              </w:rPr>
              <w:t>4</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49476C24">
            <w:pPr>
              <w:pStyle w:val="100"/>
              <w:bidi w:val="0"/>
            </w:pPr>
            <w:r>
              <w:t>阶段实施方案编制费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5A410684">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781C8FD0">
            <w:pPr>
              <w:pStyle w:val="100"/>
              <w:bidi w:val="0"/>
              <w:rPr>
                <w:rFonts w:hint="eastAsia"/>
              </w:rPr>
            </w:pPr>
            <w:r>
              <w:rPr>
                <w:rFonts w:hint="default"/>
                <w:lang w:val="en-US" w:eastAsia="zh-CN"/>
              </w:rPr>
              <w:t>1.50</w:t>
            </w:r>
          </w:p>
        </w:tc>
        <w:tc>
          <w:tcPr>
            <w:tcW w:w="1424" w:type="dxa"/>
            <w:tcBorders>
              <w:top w:val="single" w:color="000000" w:sz="4" w:space="0"/>
              <w:left w:val="single" w:color="000000" w:sz="4" w:space="0"/>
              <w:bottom w:val="single" w:color="000000" w:sz="4" w:space="0"/>
              <w:right w:val="single" w:color="000000" w:sz="4" w:space="0"/>
            </w:tcBorders>
            <w:vAlign w:val="center"/>
          </w:tcPr>
          <w:p w14:paraId="3FB69397">
            <w:pPr>
              <w:pStyle w:val="100"/>
              <w:bidi w:val="0"/>
              <w:rPr>
                <w:rFonts w:hint="default"/>
                <w:lang w:val="en-US"/>
              </w:rPr>
            </w:pPr>
            <w:r>
              <w:rPr>
                <w:rFonts w:hint="default"/>
                <w:lang w:val="en-US" w:eastAsia="zh-CN"/>
              </w:rPr>
              <w:t>0.0417</w:t>
            </w:r>
          </w:p>
        </w:tc>
      </w:tr>
      <w:tr w14:paraId="3B828189">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2AA92C0A">
            <w:pPr>
              <w:pStyle w:val="100"/>
              <w:bidi w:val="0"/>
            </w:pPr>
            <w:r>
              <w:t>（</w:t>
            </w:r>
            <w:r>
              <w:rPr>
                <w:rFonts w:hint="eastAsia"/>
              </w:rPr>
              <w:t>5</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358C76F5">
            <w:pPr>
              <w:pStyle w:val="100"/>
              <w:bidi w:val="0"/>
            </w:pPr>
            <w:r>
              <w:t>科研试验费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465E3051">
            <w:pPr>
              <w:pStyle w:val="100"/>
              <w:bidi w:val="0"/>
              <w:rPr>
                <w:rFonts w:hint="default"/>
                <w:lang w:val="en-US" w:eastAsia="zh-CN"/>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23DCED46">
            <w:pPr>
              <w:pStyle w:val="100"/>
              <w:bidi w:val="0"/>
              <w:rPr>
                <w:rFonts w:hint="eastAsia"/>
              </w:rPr>
            </w:pPr>
            <w:r>
              <w:rPr>
                <w:rFonts w:hint="default"/>
                <w:lang w:val="en-US" w:eastAsia="zh-CN"/>
              </w:rPr>
              <w:t>0.50</w:t>
            </w:r>
          </w:p>
        </w:tc>
        <w:tc>
          <w:tcPr>
            <w:tcW w:w="1424" w:type="dxa"/>
            <w:tcBorders>
              <w:top w:val="single" w:color="000000" w:sz="4" w:space="0"/>
              <w:left w:val="single" w:color="000000" w:sz="4" w:space="0"/>
              <w:bottom w:val="single" w:color="000000" w:sz="4" w:space="0"/>
              <w:right w:val="single" w:color="000000" w:sz="4" w:space="0"/>
            </w:tcBorders>
            <w:vAlign w:val="center"/>
          </w:tcPr>
          <w:p w14:paraId="73E0953E">
            <w:pPr>
              <w:pStyle w:val="100"/>
              <w:bidi w:val="0"/>
              <w:rPr>
                <w:rFonts w:hint="eastAsia"/>
              </w:rPr>
            </w:pPr>
            <w:r>
              <w:rPr>
                <w:rFonts w:hint="default"/>
                <w:lang w:val="en-US" w:eastAsia="zh-CN"/>
              </w:rPr>
              <w:t>0.0139</w:t>
            </w:r>
          </w:p>
        </w:tc>
      </w:tr>
      <w:tr w14:paraId="5742D716">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3E811211">
            <w:pPr>
              <w:pStyle w:val="100"/>
              <w:bidi w:val="0"/>
            </w:pPr>
            <w:r>
              <w:t>（</w:t>
            </w:r>
            <w:r>
              <w:rPr>
                <w:rFonts w:hint="eastAsia"/>
              </w:rPr>
              <w:t>6</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5AAB94B6">
            <w:pPr>
              <w:pStyle w:val="100"/>
              <w:bidi w:val="0"/>
            </w:pPr>
            <w:r>
              <w:t>工程招标代理费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7BD3E90B">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vAlign w:val="center"/>
          </w:tcPr>
          <w:p w14:paraId="56012AC6">
            <w:pPr>
              <w:pStyle w:val="100"/>
              <w:bidi w:val="0"/>
              <w:rPr>
                <w:rFonts w:hint="eastAsia"/>
              </w:rPr>
            </w:pPr>
            <w:r>
              <w:rPr>
                <w:rFonts w:hint="default"/>
                <w:lang w:val="en-US" w:eastAsia="zh-CN"/>
              </w:rPr>
              <w:t>0.50</w:t>
            </w:r>
          </w:p>
        </w:tc>
        <w:tc>
          <w:tcPr>
            <w:tcW w:w="1424" w:type="dxa"/>
            <w:tcBorders>
              <w:top w:val="single" w:color="000000" w:sz="4" w:space="0"/>
              <w:left w:val="single" w:color="000000" w:sz="4" w:space="0"/>
              <w:bottom w:val="single" w:color="000000" w:sz="4" w:space="0"/>
              <w:right w:val="single" w:color="000000" w:sz="4" w:space="0"/>
            </w:tcBorders>
            <w:vAlign w:val="center"/>
          </w:tcPr>
          <w:p w14:paraId="39C35689">
            <w:pPr>
              <w:pStyle w:val="100"/>
              <w:bidi w:val="0"/>
              <w:rPr>
                <w:rFonts w:hint="eastAsia"/>
              </w:rPr>
            </w:pPr>
            <w:r>
              <w:rPr>
                <w:rFonts w:hint="default"/>
                <w:lang w:val="en-US" w:eastAsia="zh-CN"/>
              </w:rPr>
              <w:t>0.0139</w:t>
            </w:r>
          </w:p>
        </w:tc>
      </w:tr>
      <w:tr w14:paraId="731DC53F">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3409E4DC">
            <w:pPr>
              <w:pStyle w:val="100"/>
              <w:bidi w:val="0"/>
            </w:pPr>
            <w:r>
              <w:t>2</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4D62FB59">
            <w:pPr>
              <w:pStyle w:val="100"/>
              <w:bidi w:val="0"/>
            </w:pPr>
            <w:r>
              <w:t>工程监理费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3CC22D8A">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142C503E">
            <w:pPr>
              <w:pStyle w:val="100"/>
              <w:bidi w:val="0"/>
              <w:rPr>
                <w:rFonts w:hint="eastAsia"/>
              </w:rPr>
            </w:pPr>
            <w:r>
              <w:rPr>
                <w:rFonts w:hint="default"/>
                <w:lang w:val="en-US" w:eastAsia="zh-CN"/>
              </w:rPr>
              <w:t>2.00</w:t>
            </w:r>
          </w:p>
        </w:tc>
        <w:tc>
          <w:tcPr>
            <w:tcW w:w="1424" w:type="dxa"/>
            <w:tcBorders>
              <w:top w:val="single" w:color="000000" w:sz="4" w:space="0"/>
              <w:left w:val="single" w:color="000000" w:sz="4" w:space="0"/>
              <w:bottom w:val="single" w:color="000000" w:sz="4" w:space="0"/>
              <w:right w:val="single" w:color="000000" w:sz="4" w:space="0"/>
            </w:tcBorders>
            <w:vAlign w:val="center"/>
          </w:tcPr>
          <w:p w14:paraId="148A750C">
            <w:pPr>
              <w:pStyle w:val="100"/>
              <w:bidi w:val="0"/>
              <w:rPr>
                <w:rFonts w:hint="default"/>
                <w:lang w:val="en-US"/>
              </w:rPr>
            </w:pPr>
            <w:r>
              <w:rPr>
                <w:rFonts w:hint="default"/>
                <w:lang w:val="en-US" w:eastAsia="zh-CN"/>
              </w:rPr>
              <w:t>0.0555</w:t>
            </w:r>
          </w:p>
        </w:tc>
      </w:tr>
      <w:tr w14:paraId="153E052F">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67339F52">
            <w:pPr>
              <w:pStyle w:val="100"/>
              <w:bidi w:val="0"/>
            </w:pPr>
            <w:r>
              <w:t>3</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561B868C">
            <w:pPr>
              <w:pStyle w:val="100"/>
              <w:bidi w:val="0"/>
            </w:pPr>
            <w:r>
              <w:t>竣工验收费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2EE37554">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197E493A">
            <w:pPr>
              <w:pStyle w:val="100"/>
              <w:bidi w:val="0"/>
              <w:rPr>
                <w:rFonts w:hint="eastAsia"/>
              </w:rPr>
            </w:pPr>
            <w:r>
              <w:rPr>
                <w:rFonts w:hint="default"/>
                <w:lang w:val="en-US" w:eastAsia="zh-CN"/>
              </w:rPr>
              <w:t>3.00</w:t>
            </w:r>
          </w:p>
        </w:tc>
        <w:tc>
          <w:tcPr>
            <w:tcW w:w="1424" w:type="dxa"/>
            <w:tcBorders>
              <w:top w:val="single" w:color="000000" w:sz="4" w:space="0"/>
              <w:left w:val="single" w:color="000000" w:sz="4" w:space="0"/>
              <w:bottom w:val="single" w:color="000000" w:sz="4" w:space="0"/>
              <w:right w:val="single" w:color="000000" w:sz="4" w:space="0"/>
            </w:tcBorders>
            <w:vAlign w:val="center"/>
          </w:tcPr>
          <w:p w14:paraId="0F01771D">
            <w:pPr>
              <w:pStyle w:val="100"/>
              <w:bidi w:val="0"/>
              <w:rPr>
                <w:rFonts w:hint="default"/>
                <w:lang w:val="en-US"/>
              </w:rPr>
            </w:pPr>
            <w:r>
              <w:rPr>
                <w:rFonts w:hint="default"/>
                <w:lang w:val="en-US" w:eastAsia="zh-CN"/>
              </w:rPr>
              <w:t>0.0833</w:t>
            </w:r>
          </w:p>
        </w:tc>
      </w:tr>
      <w:tr w14:paraId="23225B3E">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vAlign w:val="center"/>
          </w:tcPr>
          <w:p w14:paraId="5F1F3E06">
            <w:pPr>
              <w:pStyle w:val="100"/>
              <w:bidi w:val="0"/>
            </w:pPr>
            <w:r>
              <w:t>（1）</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58994EBE">
            <w:pPr>
              <w:pStyle w:val="100"/>
              <w:bidi w:val="0"/>
            </w:pPr>
            <w:r>
              <w:t>工程复核费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427ABBB5">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1DB1722B">
            <w:pPr>
              <w:pStyle w:val="100"/>
              <w:bidi w:val="0"/>
              <w:rPr>
                <w:rFonts w:hint="eastAsia"/>
              </w:rPr>
            </w:pPr>
            <w:r>
              <w:rPr>
                <w:rFonts w:hint="default"/>
                <w:lang w:val="en-US" w:eastAsia="zh-CN"/>
              </w:rPr>
              <w:t>0.60</w:t>
            </w:r>
          </w:p>
        </w:tc>
        <w:tc>
          <w:tcPr>
            <w:tcW w:w="1424" w:type="dxa"/>
            <w:tcBorders>
              <w:top w:val="single" w:color="000000" w:sz="4" w:space="0"/>
              <w:left w:val="single" w:color="000000" w:sz="4" w:space="0"/>
              <w:bottom w:val="single" w:color="000000" w:sz="4" w:space="0"/>
              <w:right w:val="single" w:color="000000" w:sz="4" w:space="0"/>
            </w:tcBorders>
            <w:vAlign w:val="center"/>
          </w:tcPr>
          <w:p w14:paraId="5A057166">
            <w:pPr>
              <w:pStyle w:val="100"/>
              <w:bidi w:val="0"/>
              <w:rPr>
                <w:rFonts w:hint="eastAsia"/>
              </w:rPr>
            </w:pPr>
            <w:r>
              <w:rPr>
                <w:rFonts w:hint="default"/>
                <w:lang w:val="en-US" w:eastAsia="zh-CN"/>
              </w:rPr>
              <w:t>0.0167</w:t>
            </w:r>
          </w:p>
        </w:tc>
      </w:tr>
      <w:tr w14:paraId="0FE8B2DC">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574C5C32">
            <w:pPr>
              <w:pStyle w:val="100"/>
              <w:bidi w:val="0"/>
            </w:pPr>
            <w:r>
              <w:t>（</w:t>
            </w:r>
            <w:r>
              <w:rPr>
                <w:rFonts w:hint="eastAsia"/>
              </w:rPr>
              <w:t>2</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73439B40">
            <w:pPr>
              <w:pStyle w:val="100"/>
              <w:bidi w:val="0"/>
            </w:pPr>
            <w:r>
              <w:t>工程验收费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5A16F64D">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4BC31935">
            <w:pPr>
              <w:pStyle w:val="100"/>
              <w:bidi w:val="0"/>
              <w:rPr>
                <w:rFonts w:hint="eastAsia"/>
              </w:rPr>
            </w:pPr>
            <w:r>
              <w:rPr>
                <w:rFonts w:hint="default"/>
                <w:lang w:val="en-US" w:eastAsia="zh-CN"/>
              </w:rPr>
              <w:t>0.90</w:t>
            </w:r>
          </w:p>
        </w:tc>
        <w:tc>
          <w:tcPr>
            <w:tcW w:w="1424" w:type="dxa"/>
            <w:tcBorders>
              <w:top w:val="single" w:color="000000" w:sz="4" w:space="0"/>
              <w:left w:val="single" w:color="000000" w:sz="4" w:space="0"/>
              <w:bottom w:val="single" w:color="000000" w:sz="4" w:space="0"/>
              <w:right w:val="single" w:color="000000" w:sz="4" w:space="0"/>
            </w:tcBorders>
            <w:vAlign w:val="center"/>
          </w:tcPr>
          <w:p w14:paraId="2EB3D2D4">
            <w:pPr>
              <w:pStyle w:val="100"/>
              <w:bidi w:val="0"/>
              <w:rPr>
                <w:rFonts w:hint="eastAsia"/>
              </w:rPr>
            </w:pPr>
            <w:r>
              <w:rPr>
                <w:rFonts w:hint="default"/>
                <w:lang w:val="en-US" w:eastAsia="zh-CN"/>
              </w:rPr>
              <w:t>0.0250</w:t>
            </w:r>
          </w:p>
        </w:tc>
      </w:tr>
      <w:tr w14:paraId="1F3FEFEC">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5171538E">
            <w:pPr>
              <w:pStyle w:val="100"/>
              <w:bidi w:val="0"/>
            </w:pPr>
            <w:r>
              <w:t>（</w:t>
            </w:r>
            <w:r>
              <w:rPr>
                <w:rFonts w:hint="eastAsia"/>
              </w:rPr>
              <w:t>3</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7A5A6922">
            <w:pPr>
              <w:pStyle w:val="100"/>
              <w:bidi w:val="0"/>
            </w:pPr>
            <w:r>
              <w:t>工程决算编制与审计费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7E34290D">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269431BE">
            <w:pPr>
              <w:pStyle w:val="100"/>
              <w:bidi w:val="0"/>
              <w:rPr>
                <w:rFonts w:hint="eastAsia"/>
              </w:rPr>
            </w:pPr>
            <w:r>
              <w:rPr>
                <w:rFonts w:hint="default"/>
                <w:lang w:val="en-US" w:eastAsia="zh-CN"/>
              </w:rPr>
              <w:t>0.90</w:t>
            </w:r>
          </w:p>
        </w:tc>
        <w:tc>
          <w:tcPr>
            <w:tcW w:w="1424" w:type="dxa"/>
            <w:tcBorders>
              <w:top w:val="single" w:color="000000" w:sz="4" w:space="0"/>
              <w:left w:val="single" w:color="000000" w:sz="4" w:space="0"/>
              <w:bottom w:val="single" w:color="000000" w:sz="4" w:space="0"/>
              <w:right w:val="single" w:color="000000" w:sz="4" w:space="0"/>
            </w:tcBorders>
            <w:vAlign w:val="center"/>
          </w:tcPr>
          <w:p w14:paraId="0A7EB394">
            <w:pPr>
              <w:pStyle w:val="100"/>
              <w:bidi w:val="0"/>
              <w:rPr>
                <w:rFonts w:hint="default"/>
                <w:lang w:val="en-US"/>
              </w:rPr>
            </w:pPr>
            <w:r>
              <w:rPr>
                <w:rFonts w:hint="default"/>
                <w:lang w:val="en-US" w:eastAsia="zh-CN"/>
              </w:rPr>
              <w:t>0.0250</w:t>
            </w:r>
          </w:p>
        </w:tc>
      </w:tr>
      <w:tr w14:paraId="6C5FEABB">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3E7C29A8">
            <w:pPr>
              <w:pStyle w:val="100"/>
              <w:bidi w:val="0"/>
            </w:pPr>
            <w:r>
              <w:t>（</w:t>
            </w:r>
            <w:r>
              <w:rPr>
                <w:rFonts w:hint="eastAsia"/>
              </w:rPr>
              <w:t>4</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0884DAF4">
            <w:pPr>
              <w:pStyle w:val="100"/>
              <w:bidi w:val="0"/>
            </w:pPr>
            <w:r>
              <w:t>复垦后土地重估与登记费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44D7DB9C">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6793BE51">
            <w:pPr>
              <w:pStyle w:val="100"/>
              <w:bidi w:val="0"/>
              <w:rPr>
                <w:rFonts w:hint="eastAsia"/>
              </w:rPr>
            </w:pPr>
            <w:r>
              <w:rPr>
                <w:rFonts w:hint="default"/>
                <w:lang w:val="en-US" w:eastAsia="zh-CN"/>
              </w:rPr>
              <w:t>0.50</w:t>
            </w:r>
          </w:p>
        </w:tc>
        <w:tc>
          <w:tcPr>
            <w:tcW w:w="1424" w:type="dxa"/>
            <w:tcBorders>
              <w:top w:val="single" w:color="000000" w:sz="4" w:space="0"/>
              <w:left w:val="single" w:color="000000" w:sz="4" w:space="0"/>
              <w:bottom w:val="single" w:color="000000" w:sz="4" w:space="0"/>
              <w:right w:val="single" w:color="000000" w:sz="4" w:space="0"/>
            </w:tcBorders>
            <w:vAlign w:val="center"/>
          </w:tcPr>
          <w:p w14:paraId="73A6F96D">
            <w:pPr>
              <w:pStyle w:val="100"/>
              <w:bidi w:val="0"/>
              <w:rPr>
                <w:rFonts w:hint="eastAsia"/>
              </w:rPr>
            </w:pPr>
            <w:r>
              <w:rPr>
                <w:rFonts w:hint="default"/>
                <w:lang w:val="en-US" w:eastAsia="zh-CN"/>
              </w:rPr>
              <w:t>0.0139</w:t>
            </w:r>
          </w:p>
        </w:tc>
      </w:tr>
      <w:tr w14:paraId="273DBBA0">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tcPr>
          <w:p w14:paraId="4B5BEEBD">
            <w:pPr>
              <w:pStyle w:val="100"/>
              <w:bidi w:val="0"/>
            </w:pPr>
            <w:r>
              <w:t>（</w:t>
            </w:r>
            <w:r>
              <w:rPr>
                <w:rFonts w:hint="eastAsia"/>
              </w:rPr>
              <w:t>5</w:t>
            </w:r>
            <w:r>
              <w:t>）</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1F275FA3">
            <w:pPr>
              <w:pStyle w:val="100"/>
              <w:bidi w:val="0"/>
            </w:pPr>
            <w:r>
              <w:t>标识设定费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47814F7E">
            <w:pPr>
              <w:pStyle w:val="100"/>
              <w:bidi w:val="0"/>
              <w:rPr>
                <w:rFonts w:hint="default"/>
                <w:lang w:val="en-US"/>
              </w:rPr>
            </w:pPr>
            <w:r>
              <w:rPr>
                <w:rFonts w:hint="default"/>
                <w:lang w:val="en-US" w:eastAsia="zh-CN"/>
              </w:rPr>
              <w:t>2.7774</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02B7A3F2">
            <w:pPr>
              <w:pStyle w:val="100"/>
              <w:bidi w:val="0"/>
              <w:rPr>
                <w:rFonts w:hint="eastAsia"/>
              </w:rPr>
            </w:pPr>
            <w:r>
              <w:rPr>
                <w:rFonts w:hint="default"/>
                <w:lang w:val="en-US" w:eastAsia="zh-CN"/>
              </w:rPr>
              <w:t>0.10</w:t>
            </w:r>
          </w:p>
        </w:tc>
        <w:tc>
          <w:tcPr>
            <w:tcW w:w="1424" w:type="dxa"/>
            <w:tcBorders>
              <w:top w:val="single" w:color="000000" w:sz="4" w:space="0"/>
              <w:left w:val="single" w:color="000000" w:sz="4" w:space="0"/>
              <w:bottom w:val="single" w:color="000000" w:sz="4" w:space="0"/>
              <w:right w:val="single" w:color="000000" w:sz="4" w:space="0"/>
            </w:tcBorders>
            <w:vAlign w:val="center"/>
          </w:tcPr>
          <w:p w14:paraId="001814B4">
            <w:pPr>
              <w:pStyle w:val="100"/>
              <w:bidi w:val="0"/>
              <w:rPr>
                <w:rFonts w:hint="eastAsia"/>
              </w:rPr>
            </w:pPr>
            <w:r>
              <w:rPr>
                <w:rFonts w:hint="default"/>
                <w:lang w:val="en-US" w:eastAsia="zh-CN"/>
              </w:rPr>
              <w:t>0.0028</w:t>
            </w:r>
          </w:p>
        </w:tc>
      </w:tr>
      <w:tr w14:paraId="5EB99462">
        <w:tblPrEx>
          <w:tblCellMar>
            <w:top w:w="0" w:type="dxa"/>
            <w:left w:w="108" w:type="dxa"/>
            <w:bottom w:w="0" w:type="dxa"/>
            <w:right w:w="108" w:type="dxa"/>
          </w:tblCellMar>
        </w:tblPrEx>
        <w:trPr>
          <w:trHeight w:val="285"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2A2000AB">
            <w:pPr>
              <w:pStyle w:val="100"/>
              <w:bidi w:val="0"/>
            </w:pPr>
            <w:r>
              <w:t>4</w:t>
            </w:r>
          </w:p>
        </w:tc>
        <w:tc>
          <w:tcPr>
            <w:tcW w:w="1970" w:type="pct"/>
            <w:tcBorders>
              <w:top w:val="single" w:color="000000" w:sz="4" w:space="0"/>
              <w:left w:val="single" w:color="000000" w:sz="4" w:space="0"/>
              <w:bottom w:val="single" w:color="000000" w:sz="4" w:space="0"/>
              <w:right w:val="single" w:color="000000" w:sz="4" w:space="0"/>
            </w:tcBorders>
            <w:noWrap/>
            <w:vAlign w:val="center"/>
          </w:tcPr>
          <w:p w14:paraId="179DBFDD">
            <w:pPr>
              <w:pStyle w:val="100"/>
              <w:bidi w:val="0"/>
            </w:pPr>
            <w:r>
              <w:t>业主管理费</w:t>
            </w:r>
          </w:p>
        </w:tc>
        <w:tc>
          <w:tcPr>
            <w:tcW w:w="1549" w:type="dxa"/>
            <w:tcBorders>
              <w:top w:val="single" w:color="000000" w:sz="4" w:space="0"/>
              <w:left w:val="single" w:color="000000" w:sz="4" w:space="0"/>
              <w:bottom w:val="single" w:color="000000" w:sz="4" w:space="0"/>
              <w:right w:val="single" w:color="000000" w:sz="4" w:space="0"/>
            </w:tcBorders>
            <w:noWrap/>
            <w:vAlign w:val="center"/>
          </w:tcPr>
          <w:p w14:paraId="793835CA">
            <w:pPr>
              <w:pStyle w:val="100"/>
              <w:bidi w:val="0"/>
              <w:rPr>
                <w:rFonts w:hint="default"/>
                <w:lang w:val="en-US" w:eastAsia="zh-CN"/>
              </w:rPr>
            </w:pPr>
            <w:r>
              <w:rPr>
                <w:rFonts w:hint="default"/>
                <w:lang w:val="en-US" w:eastAsia="zh-CN"/>
              </w:rPr>
              <w:t>3.0830</w:t>
            </w:r>
          </w:p>
        </w:tc>
        <w:tc>
          <w:tcPr>
            <w:tcW w:w="1296" w:type="dxa"/>
            <w:tcBorders>
              <w:top w:val="single" w:color="000000" w:sz="4" w:space="0"/>
              <w:left w:val="single" w:color="000000" w:sz="4" w:space="0"/>
              <w:bottom w:val="single" w:color="000000" w:sz="4" w:space="0"/>
              <w:right w:val="single" w:color="000000" w:sz="4" w:space="0"/>
            </w:tcBorders>
            <w:noWrap/>
            <w:vAlign w:val="center"/>
          </w:tcPr>
          <w:p w14:paraId="39352BC2">
            <w:pPr>
              <w:pStyle w:val="100"/>
              <w:bidi w:val="0"/>
              <w:rPr>
                <w:rFonts w:hint="eastAsia"/>
              </w:rPr>
            </w:pPr>
            <w:r>
              <w:rPr>
                <w:rFonts w:hint="default"/>
                <w:lang w:val="en-US" w:eastAsia="zh-CN"/>
              </w:rPr>
              <w:t>2.80</w:t>
            </w:r>
          </w:p>
        </w:tc>
        <w:tc>
          <w:tcPr>
            <w:tcW w:w="1424" w:type="dxa"/>
            <w:tcBorders>
              <w:top w:val="single" w:color="000000" w:sz="4" w:space="0"/>
              <w:left w:val="single" w:color="000000" w:sz="4" w:space="0"/>
              <w:bottom w:val="single" w:color="000000" w:sz="4" w:space="0"/>
              <w:right w:val="single" w:color="000000" w:sz="4" w:space="0"/>
            </w:tcBorders>
            <w:vAlign w:val="center"/>
          </w:tcPr>
          <w:p w14:paraId="35F70CB9">
            <w:pPr>
              <w:pStyle w:val="100"/>
              <w:bidi w:val="0"/>
              <w:rPr>
                <w:rFonts w:hint="default"/>
                <w:lang w:val="en-US"/>
              </w:rPr>
            </w:pPr>
            <w:r>
              <w:rPr>
                <w:rFonts w:hint="default"/>
                <w:lang w:val="en-US" w:eastAsia="zh-CN"/>
              </w:rPr>
              <w:t>0.0863</w:t>
            </w:r>
          </w:p>
        </w:tc>
      </w:tr>
      <w:tr w14:paraId="252AAD10">
        <w:tblPrEx>
          <w:tblCellMar>
            <w:top w:w="0" w:type="dxa"/>
            <w:left w:w="108" w:type="dxa"/>
            <w:bottom w:w="0" w:type="dxa"/>
            <w:right w:w="108" w:type="dxa"/>
          </w:tblCellMar>
        </w:tblPrEx>
        <w:trPr>
          <w:trHeight w:val="285" w:hRule="atLeast"/>
        </w:trPr>
        <w:tc>
          <w:tcPr>
            <w:tcW w:w="4233" w:type="pct"/>
            <w:gridSpan w:val="4"/>
            <w:tcBorders>
              <w:top w:val="single" w:color="000000" w:sz="4" w:space="0"/>
              <w:left w:val="single" w:color="000000" w:sz="4" w:space="0"/>
              <w:bottom w:val="single" w:color="000000" w:sz="4" w:space="0"/>
              <w:right w:val="single" w:color="000000" w:sz="4" w:space="0"/>
            </w:tcBorders>
            <w:vAlign w:val="center"/>
          </w:tcPr>
          <w:p w14:paraId="21EDBC58">
            <w:pPr>
              <w:pStyle w:val="100"/>
              <w:bidi w:val="0"/>
              <w:rPr>
                <w:rFonts w:hint="eastAsia"/>
              </w:rPr>
            </w:pPr>
            <w:r>
              <w:rPr>
                <w:rFonts w:hint="eastAsia"/>
              </w:rPr>
              <w:t>总 计</w:t>
            </w:r>
          </w:p>
        </w:tc>
        <w:tc>
          <w:tcPr>
            <w:tcW w:w="766" w:type="pct"/>
            <w:tcBorders>
              <w:top w:val="single" w:color="000000" w:sz="4" w:space="0"/>
              <w:left w:val="single" w:color="000000" w:sz="4" w:space="0"/>
              <w:bottom w:val="single" w:color="000000" w:sz="4" w:space="0"/>
              <w:right w:val="single" w:color="000000" w:sz="4" w:space="0"/>
            </w:tcBorders>
            <w:vAlign w:val="center"/>
          </w:tcPr>
          <w:p w14:paraId="48F9797D">
            <w:pPr>
              <w:pStyle w:val="100"/>
              <w:bidi w:val="0"/>
              <w:rPr>
                <w:rFonts w:hint="default"/>
                <w:lang w:val="en-US" w:eastAsia="zh-CN"/>
              </w:rPr>
            </w:pPr>
            <w:r>
              <w:rPr>
                <w:rFonts w:hint="eastAsia"/>
                <w:lang w:val="en-US" w:eastAsia="zh-CN"/>
              </w:rPr>
              <w:t>0.3918</w:t>
            </w:r>
          </w:p>
        </w:tc>
      </w:tr>
    </w:tbl>
    <w:p w14:paraId="579BA3CA">
      <w:pPr>
        <w:pStyle w:val="22"/>
        <w:bidi w:val="0"/>
      </w:pPr>
      <w:r>
        <w:rPr>
          <w:rFonts w:hint="eastAsia"/>
        </w:rPr>
        <w:t xml:space="preserve"> </w:t>
      </w:r>
      <w:r>
        <w:t>表7.2-</w:t>
      </w:r>
      <w:r>
        <w:rPr>
          <w:rFonts w:hint="eastAsia"/>
        </w:rPr>
        <w:t xml:space="preserve">4 </w:t>
      </w:r>
      <w:r>
        <w:t xml:space="preserve">  土地复垦工程预备费估算表 </w:t>
      </w:r>
    </w:p>
    <w:tbl>
      <w:tblPr>
        <w:tblStyle w:val="8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1438"/>
        <w:gridCol w:w="1328"/>
        <w:gridCol w:w="1181"/>
        <w:gridCol w:w="1428"/>
        <w:gridCol w:w="1182"/>
        <w:gridCol w:w="1543"/>
      </w:tblGrid>
      <w:tr w14:paraId="193A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86D31B">
            <w:pPr>
              <w:pStyle w:val="100"/>
              <w:bidi w:val="0"/>
            </w:pPr>
            <w:r>
              <w:rPr>
                <w:rFonts w:hint="default"/>
                <w:lang w:val="en-US" w:eastAsia="zh-CN"/>
              </w:rPr>
              <w:t>序号</w:t>
            </w:r>
          </w:p>
        </w:tc>
        <w:tc>
          <w:tcPr>
            <w:tcW w:w="775"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54E5BD">
            <w:pPr>
              <w:pStyle w:val="100"/>
              <w:bidi w:val="0"/>
              <w:rPr>
                <w:rFonts w:hint="default"/>
              </w:rPr>
            </w:pPr>
            <w:r>
              <w:rPr>
                <w:rFonts w:hint="default"/>
                <w:lang w:val="en-US" w:eastAsia="zh-CN"/>
              </w:rPr>
              <w:t>费用名称</w:t>
            </w:r>
          </w:p>
        </w:tc>
        <w:tc>
          <w:tcPr>
            <w:tcW w:w="715" w:type="pct"/>
            <w:tcBorders>
              <w:top w:val="single" w:color="000000" w:sz="8" w:space="0"/>
              <w:left w:val="nil"/>
              <w:bottom w:val="single" w:color="000000" w:sz="8" w:space="0"/>
              <w:right w:val="single" w:color="000000" w:sz="8" w:space="0"/>
            </w:tcBorders>
            <w:shd w:val="clear" w:color="auto" w:fill="auto"/>
            <w:noWrap/>
            <w:vAlign w:val="center"/>
          </w:tcPr>
          <w:p w14:paraId="2D0FF557">
            <w:pPr>
              <w:pStyle w:val="100"/>
              <w:bidi w:val="0"/>
              <w:rPr>
                <w:rFonts w:hint="default"/>
              </w:rPr>
            </w:pPr>
            <w:r>
              <w:rPr>
                <w:rFonts w:hint="default"/>
                <w:lang w:val="en-US" w:eastAsia="zh-CN"/>
              </w:rPr>
              <w:t>工程施工费</w:t>
            </w:r>
          </w:p>
        </w:tc>
        <w:tc>
          <w:tcPr>
            <w:tcW w:w="636" w:type="pct"/>
            <w:tcBorders>
              <w:top w:val="single" w:color="000000" w:sz="8" w:space="0"/>
              <w:left w:val="nil"/>
              <w:bottom w:val="single" w:color="000000" w:sz="8" w:space="0"/>
              <w:right w:val="single" w:color="000000" w:sz="8" w:space="0"/>
            </w:tcBorders>
            <w:shd w:val="clear" w:color="auto" w:fill="auto"/>
            <w:noWrap/>
            <w:vAlign w:val="center"/>
          </w:tcPr>
          <w:p w14:paraId="62C19929">
            <w:pPr>
              <w:pStyle w:val="100"/>
              <w:bidi w:val="0"/>
              <w:rPr>
                <w:rFonts w:hint="default"/>
              </w:rPr>
            </w:pPr>
            <w:r>
              <w:rPr>
                <w:rFonts w:hint="default"/>
                <w:lang w:val="en-US" w:eastAsia="zh-CN"/>
              </w:rPr>
              <w:t>其它费用</w:t>
            </w:r>
          </w:p>
        </w:tc>
        <w:tc>
          <w:tcPr>
            <w:tcW w:w="769" w:type="pct"/>
            <w:tcBorders>
              <w:top w:val="single" w:color="000000" w:sz="8" w:space="0"/>
              <w:left w:val="nil"/>
              <w:bottom w:val="single" w:color="000000" w:sz="8" w:space="0"/>
              <w:right w:val="single" w:color="000000" w:sz="8" w:space="0"/>
            </w:tcBorders>
            <w:shd w:val="clear" w:color="auto" w:fill="auto"/>
            <w:noWrap/>
            <w:vAlign w:val="center"/>
          </w:tcPr>
          <w:p w14:paraId="0DE6A228">
            <w:pPr>
              <w:pStyle w:val="100"/>
              <w:bidi w:val="0"/>
              <w:rPr>
                <w:rFonts w:hint="default"/>
              </w:rPr>
            </w:pPr>
            <w:r>
              <w:rPr>
                <w:rFonts w:hint="default"/>
                <w:lang w:val="en-US" w:eastAsia="zh-CN"/>
              </w:rPr>
              <w:t>小计</w:t>
            </w:r>
          </w:p>
        </w:tc>
        <w:tc>
          <w:tcPr>
            <w:tcW w:w="636" w:type="pct"/>
            <w:tcBorders>
              <w:top w:val="single" w:color="000000" w:sz="8" w:space="0"/>
              <w:left w:val="nil"/>
              <w:bottom w:val="single" w:color="000000" w:sz="8" w:space="0"/>
              <w:right w:val="single" w:color="000000" w:sz="8" w:space="0"/>
            </w:tcBorders>
            <w:shd w:val="clear" w:color="auto" w:fill="auto"/>
            <w:noWrap/>
            <w:vAlign w:val="center"/>
          </w:tcPr>
          <w:p w14:paraId="24717ABE">
            <w:pPr>
              <w:pStyle w:val="100"/>
              <w:bidi w:val="0"/>
              <w:rPr>
                <w:rFonts w:hint="default"/>
              </w:rPr>
            </w:pPr>
            <w:r>
              <w:rPr>
                <w:rFonts w:hint="default"/>
                <w:lang w:val="en-US" w:eastAsia="zh-CN"/>
              </w:rPr>
              <w:t>费率</w:t>
            </w:r>
          </w:p>
        </w:tc>
        <w:tc>
          <w:tcPr>
            <w:tcW w:w="830" w:type="pct"/>
            <w:tcBorders>
              <w:top w:val="single" w:color="000000" w:sz="8" w:space="0"/>
              <w:left w:val="nil"/>
              <w:bottom w:val="single" w:color="000000" w:sz="8" w:space="0"/>
              <w:right w:val="single" w:color="000000" w:sz="8" w:space="0"/>
            </w:tcBorders>
            <w:shd w:val="clear" w:color="auto" w:fill="auto"/>
            <w:noWrap/>
            <w:vAlign w:val="center"/>
          </w:tcPr>
          <w:p w14:paraId="56CE8D0C">
            <w:pPr>
              <w:pStyle w:val="100"/>
              <w:bidi w:val="0"/>
              <w:rPr>
                <w:rFonts w:hint="default"/>
              </w:rPr>
            </w:pPr>
            <w:r>
              <w:rPr>
                <w:rFonts w:hint="default"/>
                <w:lang w:val="en-US" w:eastAsia="zh-CN"/>
              </w:rPr>
              <w:t>合计</w:t>
            </w:r>
          </w:p>
        </w:tc>
      </w:tr>
      <w:tr w14:paraId="5699D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97547C">
            <w:pPr>
              <w:pStyle w:val="100"/>
              <w:bidi w:val="0"/>
              <w:rPr>
                <w:rFonts w:hint="default"/>
              </w:rPr>
            </w:pPr>
          </w:p>
        </w:tc>
        <w:tc>
          <w:tcPr>
            <w:tcW w:w="775"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62A48F">
            <w:pPr>
              <w:pStyle w:val="100"/>
              <w:bidi w:val="0"/>
              <w:rPr>
                <w:rFonts w:hint="default"/>
              </w:rPr>
            </w:pPr>
          </w:p>
        </w:tc>
        <w:tc>
          <w:tcPr>
            <w:tcW w:w="715" w:type="pct"/>
            <w:tcBorders>
              <w:top w:val="nil"/>
              <w:left w:val="nil"/>
              <w:bottom w:val="single" w:color="000000" w:sz="8" w:space="0"/>
              <w:right w:val="single" w:color="000000" w:sz="8" w:space="0"/>
            </w:tcBorders>
            <w:shd w:val="clear" w:color="auto" w:fill="auto"/>
            <w:noWrap/>
            <w:vAlign w:val="center"/>
          </w:tcPr>
          <w:p w14:paraId="1EAA1E47">
            <w:pPr>
              <w:pStyle w:val="100"/>
              <w:bidi w:val="0"/>
              <w:rPr>
                <w:rFonts w:hint="default"/>
              </w:rPr>
            </w:pPr>
            <w:r>
              <w:rPr>
                <w:rFonts w:hint="default"/>
                <w:lang w:val="en-US" w:eastAsia="zh-CN"/>
              </w:rPr>
              <w:t>万元</w:t>
            </w:r>
          </w:p>
        </w:tc>
        <w:tc>
          <w:tcPr>
            <w:tcW w:w="636" w:type="pct"/>
            <w:tcBorders>
              <w:top w:val="nil"/>
              <w:left w:val="nil"/>
              <w:bottom w:val="single" w:color="000000" w:sz="8" w:space="0"/>
              <w:right w:val="single" w:color="000000" w:sz="8" w:space="0"/>
            </w:tcBorders>
            <w:shd w:val="clear" w:color="auto" w:fill="auto"/>
            <w:noWrap/>
            <w:vAlign w:val="center"/>
          </w:tcPr>
          <w:p w14:paraId="5183C97A">
            <w:pPr>
              <w:pStyle w:val="100"/>
              <w:bidi w:val="0"/>
              <w:rPr>
                <w:rFonts w:hint="default"/>
              </w:rPr>
            </w:pPr>
            <w:r>
              <w:rPr>
                <w:rFonts w:hint="default"/>
                <w:lang w:val="en-US" w:eastAsia="zh-CN"/>
              </w:rPr>
              <w:t>万元</w:t>
            </w:r>
          </w:p>
        </w:tc>
        <w:tc>
          <w:tcPr>
            <w:tcW w:w="769" w:type="pct"/>
            <w:tcBorders>
              <w:top w:val="nil"/>
              <w:left w:val="nil"/>
              <w:bottom w:val="single" w:color="000000" w:sz="8" w:space="0"/>
              <w:right w:val="single" w:color="000000" w:sz="8" w:space="0"/>
            </w:tcBorders>
            <w:shd w:val="clear" w:color="auto" w:fill="auto"/>
            <w:noWrap/>
            <w:vAlign w:val="center"/>
          </w:tcPr>
          <w:p w14:paraId="75B3B403">
            <w:pPr>
              <w:pStyle w:val="100"/>
              <w:bidi w:val="0"/>
              <w:rPr>
                <w:rFonts w:hint="default"/>
              </w:rPr>
            </w:pPr>
            <w:r>
              <w:rPr>
                <w:rFonts w:hint="default"/>
                <w:lang w:val="en-US" w:eastAsia="zh-CN"/>
              </w:rPr>
              <w:t>万元</w:t>
            </w:r>
          </w:p>
        </w:tc>
        <w:tc>
          <w:tcPr>
            <w:tcW w:w="636" w:type="pct"/>
            <w:tcBorders>
              <w:top w:val="nil"/>
              <w:left w:val="nil"/>
              <w:bottom w:val="single" w:color="000000" w:sz="8" w:space="0"/>
              <w:right w:val="single" w:color="000000" w:sz="8" w:space="0"/>
            </w:tcBorders>
            <w:shd w:val="clear" w:color="auto" w:fill="auto"/>
            <w:noWrap/>
            <w:vAlign w:val="center"/>
          </w:tcPr>
          <w:p w14:paraId="114CABE0">
            <w:pPr>
              <w:pStyle w:val="100"/>
              <w:bidi w:val="0"/>
              <w:rPr>
                <w:rFonts w:hint="default"/>
              </w:rPr>
            </w:pPr>
            <w:r>
              <w:rPr>
                <w:rFonts w:hint="default"/>
                <w:lang w:val="en-US" w:eastAsia="zh-CN"/>
              </w:rPr>
              <w:t>%</w:t>
            </w:r>
          </w:p>
        </w:tc>
        <w:tc>
          <w:tcPr>
            <w:tcW w:w="830" w:type="pct"/>
            <w:tcBorders>
              <w:top w:val="nil"/>
              <w:left w:val="nil"/>
              <w:bottom w:val="single" w:color="000000" w:sz="8" w:space="0"/>
              <w:right w:val="single" w:color="000000" w:sz="8" w:space="0"/>
            </w:tcBorders>
            <w:shd w:val="clear" w:color="auto" w:fill="auto"/>
            <w:noWrap/>
            <w:vAlign w:val="center"/>
          </w:tcPr>
          <w:p w14:paraId="3C84265E">
            <w:pPr>
              <w:pStyle w:val="100"/>
              <w:bidi w:val="0"/>
              <w:rPr>
                <w:rFonts w:hint="default"/>
              </w:rPr>
            </w:pPr>
            <w:r>
              <w:rPr>
                <w:rFonts w:hint="default"/>
                <w:lang w:val="en-US" w:eastAsia="zh-CN"/>
              </w:rPr>
              <w:t>万元</w:t>
            </w:r>
          </w:p>
        </w:tc>
      </w:tr>
      <w:tr w14:paraId="24E7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36" w:type="pct"/>
            <w:tcBorders>
              <w:top w:val="nil"/>
              <w:left w:val="single" w:color="000000" w:sz="8" w:space="0"/>
              <w:bottom w:val="single" w:color="000000" w:sz="8" w:space="0"/>
              <w:right w:val="single" w:color="000000" w:sz="8" w:space="0"/>
            </w:tcBorders>
            <w:shd w:val="clear" w:color="auto" w:fill="auto"/>
            <w:noWrap/>
            <w:vAlign w:val="center"/>
          </w:tcPr>
          <w:p w14:paraId="4DBCDFB1">
            <w:pPr>
              <w:pStyle w:val="100"/>
              <w:bidi w:val="0"/>
              <w:rPr>
                <w:rFonts w:hint="default"/>
              </w:rPr>
            </w:pPr>
            <w:r>
              <w:rPr>
                <w:rFonts w:hint="default"/>
                <w:lang w:val="en-US" w:eastAsia="zh-CN"/>
              </w:rPr>
              <w:t>1</w:t>
            </w:r>
          </w:p>
        </w:tc>
        <w:tc>
          <w:tcPr>
            <w:tcW w:w="775" w:type="pct"/>
            <w:tcBorders>
              <w:top w:val="nil"/>
              <w:left w:val="nil"/>
              <w:bottom w:val="single" w:color="000000" w:sz="8" w:space="0"/>
              <w:right w:val="single" w:color="000000" w:sz="8" w:space="0"/>
            </w:tcBorders>
            <w:shd w:val="clear" w:color="auto" w:fill="auto"/>
            <w:noWrap/>
            <w:vAlign w:val="center"/>
          </w:tcPr>
          <w:p w14:paraId="19B877D2">
            <w:pPr>
              <w:pStyle w:val="100"/>
              <w:bidi w:val="0"/>
              <w:rPr>
                <w:rFonts w:hint="default"/>
              </w:rPr>
            </w:pPr>
            <w:r>
              <w:rPr>
                <w:rFonts w:hint="default"/>
                <w:lang w:val="en-US" w:eastAsia="zh-CN"/>
              </w:rPr>
              <w:t>基本预备费</w:t>
            </w:r>
          </w:p>
        </w:tc>
        <w:tc>
          <w:tcPr>
            <w:tcW w:w="1328" w:type="dxa"/>
            <w:tcBorders>
              <w:top w:val="nil"/>
              <w:left w:val="nil"/>
              <w:bottom w:val="single" w:color="000000" w:sz="8" w:space="0"/>
              <w:right w:val="single" w:color="000000" w:sz="8" w:space="0"/>
            </w:tcBorders>
            <w:shd w:val="clear" w:color="auto" w:fill="auto"/>
            <w:noWrap/>
            <w:vAlign w:val="center"/>
          </w:tcPr>
          <w:p w14:paraId="49734415">
            <w:pPr>
              <w:pStyle w:val="100"/>
              <w:bidi w:val="0"/>
              <w:rPr>
                <w:rFonts w:hint="default"/>
                <w:lang w:val="en-US"/>
              </w:rPr>
            </w:pPr>
            <w:r>
              <w:rPr>
                <w:rFonts w:hint="default"/>
                <w:lang w:val="en-US" w:eastAsia="zh-CN"/>
              </w:rPr>
              <w:t>2.7774</w:t>
            </w:r>
          </w:p>
        </w:tc>
        <w:tc>
          <w:tcPr>
            <w:tcW w:w="1181" w:type="dxa"/>
            <w:tcBorders>
              <w:top w:val="nil"/>
              <w:left w:val="nil"/>
              <w:bottom w:val="single" w:color="000000" w:sz="8" w:space="0"/>
              <w:right w:val="single" w:color="000000" w:sz="8" w:space="0"/>
            </w:tcBorders>
            <w:shd w:val="clear" w:color="auto" w:fill="auto"/>
            <w:noWrap/>
            <w:vAlign w:val="center"/>
          </w:tcPr>
          <w:p w14:paraId="5014EF61">
            <w:pPr>
              <w:pStyle w:val="100"/>
              <w:bidi w:val="0"/>
              <w:rPr>
                <w:rFonts w:hint="default"/>
                <w:lang w:val="en-US"/>
              </w:rPr>
            </w:pPr>
            <w:r>
              <w:rPr>
                <w:rFonts w:hint="default"/>
                <w:lang w:val="en-US" w:eastAsia="zh-CN"/>
              </w:rPr>
              <w:t>0.3918</w:t>
            </w:r>
          </w:p>
        </w:tc>
        <w:tc>
          <w:tcPr>
            <w:tcW w:w="1428" w:type="dxa"/>
            <w:tcBorders>
              <w:top w:val="nil"/>
              <w:left w:val="nil"/>
              <w:bottom w:val="single" w:color="000000" w:sz="8" w:space="0"/>
              <w:right w:val="single" w:color="000000" w:sz="8" w:space="0"/>
            </w:tcBorders>
            <w:shd w:val="clear" w:color="auto" w:fill="auto"/>
            <w:noWrap/>
            <w:vAlign w:val="center"/>
          </w:tcPr>
          <w:p w14:paraId="06957EB3">
            <w:pPr>
              <w:pStyle w:val="100"/>
              <w:bidi w:val="0"/>
              <w:rPr>
                <w:rFonts w:hint="default"/>
                <w:lang w:val="en-US" w:eastAsia="zh-CN"/>
              </w:rPr>
            </w:pPr>
            <w:r>
              <w:rPr>
                <w:rFonts w:hint="default"/>
                <w:lang w:val="en-US" w:eastAsia="zh-CN"/>
              </w:rPr>
              <w:t>3.1693</w:t>
            </w:r>
          </w:p>
        </w:tc>
        <w:tc>
          <w:tcPr>
            <w:tcW w:w="1181" w:type="dxa"/>
            <w:tcBorders>
              <w:top w:val="nil"/>
              <w:left w:val="nil"/>
              <w:bottom w:val="single" w:color="000000" w:sz="8" w:space="0"/>
              <w:right w:val="single" w:color="000000" w:sz="8" w:space="0"/>
            </w:tcBorders>
            <w:shd w:val="clear" w:color="auto" w:fill="auto"/>
            <w:noWrap/>
            <w:vAlign w:val="center"/>
          </w:tcPr>
          <w:p w14:paraId="7B7EDADC">
            <w:pPr>
              <w:pStyle w:val="100"/>
              <w:bidi w:val="0"/>
              <w:rPr>
                <w:rFonts w:hint="default"/>
              </w:rPr>
            </w:pPr>
            <w:r>
              <w:rPr>
                <w:rFonts w:hint="default"/>
                <w:lang w:val="en-US" w:eastAsia="zh-CN"/>
              </w:rPr>
              <w:t>3</w:t>
            </w:r>
          </w:p>
        </w:tc>
        <w:tc>
          <w:tcPr>
            <w:tcW w:w="1542" w:type="dxa"/>
            <w:tcBorders>
              <w:top w:val="nil"/>
              <w:left w:val="nil"/>
              <w:bottom w:val="single" w:color="000000" w:sz="8" w:space="0"/>
              <w:right w:val="single" w:color="000000" w:sz="8" w:space="0"/>
            </w:tcBorders>
            <w:shd w:val="clear" w:color="auto" w:fill="auto"/>
            <w:noWrap/>
            <w:vAlign w:val="center"/>
          </w:tcPr>
          <w:p w14:paraId="45E29D43">
            <w:pPr>
              <w:pStyle w:val="100"/>
              <w:bidi w:val="0"/>
              <w:rPr>
                <w:rFonts w:hint="default"/>
                <w:lang w:val="en-US"/>
              </w:rPr>
            </w:pPr>
            <w:r>
              <w:rPr>
                <w:rFonts w:hint="default"/>
                <w:lang w:val="en-US" w:eastAsia="zh-CN"/>
              </w:rPr>
              <w:t>0.0951</w:t>
            </w:r>
          </w:p>
        </w:tc>
      </w:tr>
      <w:tr w14:paraId="28CAB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11"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220341">
            <w:pPr>
              <w:pStyle w:val="100"/>
              <w:bidi w:val="0"/>
              <w:rPr>
                <w:rFonts w:hint="default"/>
              </w:rPr>
            </w:pPr>
            <w:r>
              <w:rPr>
                <w:rFonts w:hint="default"/>
                <w:lang w:val="en-US" w:eastAsia="zh-CN"/>
              </w:rPr>
              <w:t>总      计</w:t>
            </w:r>
          </w:p>
        </w:tc>
        <w:tc>
          <w:tcPr>
            <w:tcW w:w="715" w:type="pct"/>
            <w:tcBorders>
              <w:top w:val="nil"/>
              <w:left w:val="nil"/>
              <w:bottom w:val="single" w:color="000000" w:sz="8" w:space="0"/>
              <w:right w:val="single" w:color="000000" w:sz="8" w:space="0"/>
            </w:tcBorders>
            <w:shd w:val="clear" w:color="auto" w:fill="auto"/>
            <w:noWrap/>
            <w:vAlign w:val="center"/>
          </w:tcPr>
          <w:p w14:paraId="53701A64">
            <w:pPr>
              <w:pStyle w:val="100"/>
              <w:bidi w:val="0"/>
              <w:rPr>
                <w:rFonts w:hint="default"/>
              </w:rPr>
            </w:pPr>
            <w:r>
              <w:rPr>
                <w:rFonts w:hint="default"/>
                <w:lang w:val="en-US" w:eastAsia="zh-CN"/>
              </w:rPr>
              <w:t>——</w:t>
            </w:r>
          </w:p>
        </w:tc>
        <w:tc>
          <w:tcPr>
            <w:tcW w:w="636" w:type="pct"/>
            <w:tcBorders>
              <w:top w:val="nil"/>
              <w:left w:val="nil"/>
              <w:bottom w:val="single" w:color="000000" w:sz="8" w:space="0"/>
              <w:right w:val="single" w:color="000000" w:sz="8" w:space="0"/>
            </w:tcBorders>
            <w:shd w:val="clear" w:color="auto" w:fill="auto"/>
            <w:noWrap/>
            <w:vAlign w:val="center"/>
          </w:tcPr>
          <w:p w14:paraId="68CA4B07">
            <w:pPr>
              <w:pStyle w:val="100"/>
              <w:bidi w:val="0"/>
              <w:rPr>
                <w:rFonts w:hint="eastAsia"/>
              </w:rPr>
            </w:pPr>
          </w:p>
        </w:tc>
        <w:tc>
          <w:tcPr>
            <w:tcW w:w="769" w:type="pct"/>
            <w:tcBorders>
              <w:top w:val="nil"/>
              <w:left w:val="nil"/>
              <w:bottom w:val="single" w:color="000000" w:sz="8" w:space="0"/>
              <w:right w:val="single" w:color="000000" w:sz="8" w:space="0"/>
            </w:tcBorders>
            <w:shd w:val="clear" w:color="auto" w:fill="auto"/>
            <w:noWrap/>
            <w:vAlign w:val="center"/>
          </w:tcPr>
          <w:p w14:paraId="5C287391">
            <w:pPr>
              <w:pStyle w:val="100"/>
              <w:bidi w:val="0"/>
              <w:rPr>
                <w:rFonts w:hint="eastAsia"/>
              </w:rPr>
            </w:pPr>
          </w:p>
        </w:tc>
        <w:tc>
          <w:tcPr>
            <w:tcW w:w="636" w:type="pct"/>
            <w:tcBorders>
              <w:top w:val="nil"/>
              <w:left w:val="nil"/>
              <w:bottom w:val="single" w:color="000000" w:sz="8" w:space="0"/>
              <w:right w:val="single" w:color="000000" w:sz="8" w:space="0"/>
            </w:tcBorders>
            <w:shd w:val="clear" w:color="auto" w:fill="auto"/>
            <w:noWrap/>
            <w:vAlign w:val="center"/>
          </w:tcPr>
          <w:p w14:paraId="2251AC25">
            <w:pPr>
              <w:pStyle w:val="100"/>
              <w:bidi w:val="0"/>
              <w:rPr>
                <w:rFonts w:hint="default"/>
              </w:rPr>
            </w:pPr>
          </w:p>
        </w:tc>
        <w:tc>
          <w:tcPr>
            <w:tcW w:w="830" w:type="pct"/>
            <w:tcBorders>
              <w:top w:val="nil"/>
              <w:left w:val="nil"/>
              <w:bottom w:val="single" w:color="000000" w:sz="8" w:space="0"/>
              <w:right w:val="single" w:color="000000" w:sz="8" w:space="0"/>
            </w:tcBorders>
            <w:shd w:val="clear" w:color="auto" w:fill="auto"/>
            <w:noWrap/>
            <w:vAlign w:val="center"/>
          </w:tcPr>
          <w:p w14:paraId="4368C264">
            <w:pPr>
              <w:pStyle w:val="100"/>
              <w:bidi w:val="0"/>
              <w:rPr>
                <w:rFonts w:hint="default"/>
                <w:lang w:val="en-US"/>
              </w:rPr>
            </w:pPr>
            <w:r>
              <w:rPr>
                <w:rFonts w:hint="eastAsia"/>
                <w:lang w:val="en-US" w:eastAsia="zh-CN"/>
              </w:rPr>
              <w:t>0.0951</w:t>
            </w:r>
          </w:p>
        </w:tc>
      </w:tr>
    </w:tbl>
    <w:p w14:paraId="2D09DBAB">
      <w:pPr>
        <w:pStyle w:val="22"/>
        <w:bidi w:val="0"/>
        <w:sectPr>
          <w:pgSz w:w="11906" w:h="16838"/>
          <w:pgMar w:top="1701" w:right="1418" w:bottom="1418" w:left="1418" w:header="851" w:footer="992" w:gutter="0"/>
          <w:pgNumType w:fmt="decimal"/>
          <w:cols w:space="720" w:num="1"/>
          <w:docGrid w:linePitch="312" w:charSpace="0"/>
        </w:sectPr>
      </w:pPr>
    </w:p>
    <w:p w14:paraId="19489DAE">
      <w:pPr>
        <w:pStyle w:val="22"/>
        <w:bidi w:val="0"/>
        <w:jc w:val="right"/>
      </w:pPr>
      <w:r>
        <w:t>表7.2-</w:t>
      </w:r>
      <w:r>
        <w:rPr>
          <w:rFonts w:hint="eastAsia"/>
          <w:lang w:val="en-US" w:eastAsia="zh-CN"/>
        </w:rPr>
        <w:t>5</w:t>
      </w:r>
      <w:r>
        <w:t xml:space="preserve">   土地复垦工程定额单价表  </w:t>
      </w:r>
      <w:r>
        <w:rPr>
          <w:rFonts w:hint="eastAsia"/>
        </w:rPr>
        <w:t xml:space="preserve">     </w:t>
      </w:r>
      <w:r>
        <w:rPr>
          <w:rFonts w:hint="eastAsia"/>
          <w:lang w:val="en-US" w:eastAsia="zh-CN"/>
        </w:rPr>
        <w:t xml:space="preserve">  </w:t>
      </w:r>
      <w:r>
        <w:t xml:space="preserve">         金额单位：元</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5"/>
        <w:gridCol w:w="1813"/>
        <w:gridCol w:w="836"/>
        <w:gridCol w:w="1291"/>
        <w:gridCol w:w="1612"/>
        <w:gridCol w:w="2619"/>
      </w:tblGrid>
      <w:tr w14:paraId="5C9B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5000" w:type="pct"/>
            <w:gridSpan w:val="6"/>
            <w:shd w:val="clear" w:color="auto" w:fill="auto"/>
            <w:noWrap/>
            <w:vAlign w:val="center"/>
          </w:tcPr>
          <w:p w14:paraId="23089395">
            <w:pPr>
              <w:pStyle w:val="100"/>
              <w:bidi w:val="0"/>
            </w:pPr>
            <w:r>
              <w:rPr>
                <w:rFonts w:hint="eastAsia"/>
                <w:lang w:val="en-US" w:eastAsia="zh-CN"/>
              </w:rPr>
              <w:t>定额编号：</w:t>
            </w:r>
            <w:r>
              <w:rPr>
                <w:rFonts w:hint="default"/>
                <w:lang w:val="en-US" w:eastAsia="zh-CN"/>
              </w:rPr>
              <w:t>103</w:t>
            </w:r>
            <w:r>
              <w:rPr>
                <w:rFonts w:hint="eastAsia"/>
                <w:lang w:val="en-US" w:eastAsia="zh-CN"/>
              </w:rPr>
              <w:t>22</w:t>
            </w:r>
            <w:r>
              <w:rPr>
                <w:rFonts w:hint="default"/>
                <w:lang w:val="en-US" w:eastAsia="zh-CN"/>
              </w:rPr>
              <w:t xml:space="preserve">                </w:t>
            </w:r>
            <w:r>
              <w:rPr>
                <w:rFonts w:hint="eastAsia"/>
                <w:lang w:val="en-US" w:eastAsia="zh-CN"/>
              </w:rPr>
              <w:t>推土机推土</w:t>
            </w:r>
            <w:r>
              <w:rPr>
                <w:rFonts w:hint="default"/>
                <w:lang w:val="en-US" w:eastAsia="zh-CN"/>
              </w:rPr>
              <w:t xml:space="preserve">                  </w:t>
            </w:r>
            <w:r>
              <w:rPr>
                <w:rFonts w:hint="eastAsia"/>
                <w:lang w:val="en-US" w:eastAsia="zh-CN"/>
              </w:rPr>
              <w:t>单位：</w:t>
            </w:r>
            <w:r>
              <w:rPr>
                <w:rFonts w:hint="default"/>
                <w:lang w:val="en-US" w:eastAsia="zh-CN"/>
              </w:rPr>
              <w:t>100m</w:t>
            </w:r>
            <w:r>
              <w:rPr>
                <w:rFonts w:hint="default"/>
                <w:vertAlign w:val="superscript"/>
                <w:lang w:val="en-US" w:eastAsia="zh-CN"/>
              </w:rPr>
              <w:t>3</w:t>
            </w:r>
          </w:p>
        </w:tc>
      </w:tr>
      <w:tr w14:paraId="0F59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1014E8D4">
            <w:pPr>
              <w:pStyle w:val="100"/>
              <w:bidi w:val="0"/>
              <w:rPr>
                <w:rFonts w:hint="eastAsia"/>
              </w:rPr>
            </w:pPr>
            <w:r>
              <w:rPr>
                <w:rFonts w:hint="eastAsia"/>
                <w:lang w:val="en-US" w:eastAsia="zh-CN"/>
              </w:rPr>
              <w:t>序号</w:t>
            </w:r>
          </w:p>
        </w:tc>
        <w:tc>
          <w:tcPr>
            <w:tcW w:w="975" w:type="pct"/>
            <w:shd w:val="clear" w:color="auto" w:fill="auto"/>
            <w:noWrap/>
            <w:vAlign w:val="center"/>
          </w:tcPr>
          <w:p w14:paraId="5A8B930D">
            <w:pPr>
              <w:pStyle w:val="100"/>
              <w:bidi w:val="0"/>
              <w:rPr>
                <w:rFonts w:hint="eastAsia"/>
              </w:rPr>
            </w:pPr>
            <w:r>
              <w:rPr>
                <w:rFonts w:hint="eastAsia"/>
                <w:lang w:val="en-US" w:eastAsia="zh-CN"/>
              </w:rPr>
              <w:t>项目名称</w:t>
            </w:r>
          </w:p>
        </w:tc>
        <w:tc>
          <w:tcPr>
            <w:tcW w:w="450" w:type="pct"/>
            <w:shd w:val="clear" w:color="auto" w:fill="auto"/>
            <w:noWrap/>
            <w:vAlign w:val="center"/>
          </w:tcPr>
          <w:p w14:paraId="138E8796">
            <w:pPr>
              <w:pStyle w:val="100"/>
              <w:bidi w:val="0"/>
              <w:rPr>
                <w:rFonts w:hint="eastAsia"/>
              </w:rPr>
            </w:pPr>
            <w:r>
              <w:rPr>
                <w:rFonts w:hint="eastAsia"/>
                <w:lang w:val="en-US" w:eastAsia="zh-CN"/>
              </w:rPr>
              <w:t>单位</w:t>
            </w:r>
          </w:p>
        </w:tc>
        <w:tc>
          <w:tcPr>
            <w:tcW w:w="695" w:type="pct"/>
            <w:shd w:val="clear" w:color="auto" w:fill="auto"/>
            <w:noWrap/>
            <w:vAlign w:val="center"/>
          </w:tcPr>
          <w:p w14:paraId="50BBB7E3">
            <w:pPr>
              <w:pStyle w:val="100"/>
              <w:bidi w:val="0"/>
              <w:rPr>
                <w:rFonts w:hint="eastAsia"/>
              </w:rPr>
            </w:pPr>
            <w:r>
              <w:rPr>
                <w:rFonts w:hint="eastAsia"/>
                <w:lang w:val="en-US" w:eastAsia="zh-CN"/>
              </w:rPr>
              <w:t>数量</w:t>
            </w:r>
          </w:p>
        </w:tc>
        <w:tc>
          <w:tcPr>
            <w:tcW w:w="868" w:type="pct"/>
            <w:shd w:val="clear" w:color="auto" w:fill="auto"/>
            <w:noWrap/>
            <w:vAlign w:val="center"/>
          </w:tcPr>
          <w:p w14:paraId="7A1D77C9">
            <w:pPr>
              <w:pStyle w:val="100"/>
              <w:bidi w:val="0"/>
              <w:rPr>
                <w:rFonts w:hint="eastAsia"/>
              </w:rPr>
            </w:pPr>
            <w:r>
              <w:rPr>
                <w:rFonts w:hint="eastAsia"/>
                <w:lang w:val="en-US" w:eastAsia="zh-CN"/>
              </w:rPr>
              <w:t>单价</w:t>
            </w:r>
          </w:p>
        </w:tc>
        <w:tc>
          <w:tcPr>
            <w:tcW w:w="1407" w:type="pct"/>
            <w:shd w:val="clear" w:color="auto" w:fill="auto"/>
            <w:vAlign w:val="center"/>
          </w:tcPr>
          <w:p w14:paraId="6DE913F6">
            <w:pPr>
              <w:pStyle w:val="100"/>
              <w:bidi w:val="0"/>
              <w:rPr>
                <w:rFonts w:hint="eastAsia"/>
              </w:rPr>
            </w:pPr>
            <w:r>
              <w:rPr>
                <w:rFonts w:hint="eastAsia"/>
                <w:lang w:val="en-US" w:eastAsia="zh-CN"/>
              </w:rPr>
              <w:t>小计（元）</w:t>
            </w:r>
          </w:p>
        </w:tc>
      </w:tr>
      <w:tr w14:paraId="76C5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7A2B7674">
            <w:pPr>
              <w:pStyle w:val="100"/>
              <w:bidi w:val="0"/>
              <w:rPr>
                <w:rFonts w:hint="eastAsia"/>
              </w:rPr>
            </w:pPr>
            <w:r>
              <w:rPr>
                <w:rFonts w:hint="eastAsia"/>
                <w:lang w:val="en-US" w:eastAsia="zh-CN"/>
              </w:rPr>
              <w:t>一</w:t>
            </w:r>
          </w:p>
        </w:tc>
        <w:tc>
          <w:tcPr>
            <w:tcW w:w="975" w:type="pct"/>
            <w:shd w:val="clear" w:color="auto" w:fill="auto"/>
            <w:noWrap/>
            <w:vAlign w:val="center"/>
          </w:tcPr>
          <w:p w14:paraId="4791EB4F">
            <w:pPr>
              <w:pStyle w:val="100"/>
              <w:bidi w:val="0"/>
              <w:rPr>
                <w:rFonts w:hint="eastAsia"/>
              </w:rPr>
            </w:pPr>
            <w:r>
              <w:rPr>
                <w:rFonts w:hint="eastAsia"/>
                <w:lang w:val="en-US" w:eastAsia="zh-CN"/>
              </w:rPr>
              <w:t>直接费</w:t>
            </w:r>
          </w:p>
        </w:tc>
        <w:tc>
          <w:tcPr>
            <w:tcW w:w="450" w:type="pct"/>
            <w:shd w:val="clear" w:color="auto" w:fill="auto"/>
            <w:noWrap/>
            <w:vAlign w:val="center"/>
          </w:tcPr>
          <w:p w14:paraId="533ED545">
            <w:pPr>
              <w:pStyle w:val="100"/>
              <w:bidi w:val="0"/>
              <w:rPr>
                <w:rFonts w:hint="eastAsia"/>
              </w:rPr>
            </w:pPr>
          </w:p>
        </w:tc>
        <w:tc>
          <w:tcPr>
            <w:tcW w:w="1291" w:type="dxa"/>
            <w:shd w:val="clear" w:color="auto" w:fill="auto"/>
            <w:noWrap/>
            <w:vAlign w:val="center"/>
          </w:tcPr>
          <w:p w14:paraId="2D74D063">
            <w:pPr>
              <w:pStyle w:val="100"/>
              <w:bidi w:val="0"/>
              <w:rPr>
                <w:rFonts w:hint="eastAsia"/>
              </w:rPr>
            </w:pPr>
          </w:p>
        </w:tc>
        <w:tc>
          <w:tcPr>
            <w:tcW w:w="1612" w:type="dxa"/>
            <w:shd w:val="clear" w:color="auto" w:fill="auto"/>
            <w:noWrap/>
            <w:vAlign w:val="center"/>
          </w:tcPr>
          <w:p w14:paraId="2C5A5187">
            <w:pPr>
              <w:pStyle w:val="100"/>
              <w:bidi w:val="0"/>
              <w:rPr>
                <w:rFonts w:hint="default"/>
              </w:rPr>
            </w:pPr>
          </w:p>
        </w:tc>
        <w:tc>
          <w:tcPr>
            <w:tcW w:w="2619" w:type="dxa"/>
            <w:shd w:val="clear" w:color="auto" w:fill="auto"/>
            <w:noWrap/>
            <w:vAlign w:val="center"/>
          </w:tcPr>
          <w:p w14:paraId="79CD0956">
            <w:pPr>
              <w:pStyle w:val="100"/>
              <w:bidi w:val="0"/>
              <w:rPr>
                <w:rFonts w:hint="default"/>
                <w:lang w:val="en-US"/>
              </w:rPr>
            </w:pPr>
            <w:r>
              <w:rPr>
                <w:rFonts w:hint="default"/>
                <w:lang w:val="en-US" w:eastAsia="zh-CN"/>
              </w:rPr>
              <w:t>516.79</w:t>
            </w:r>
          </w:p>
        </w:tc>
      </w:tr>
      <w:tr w14:paraId="1AFC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3639D38C">
            <w:pPr>
              <w:pStyle w:val="100"/>
              <w:bidi w:val="0"/>
              <w:rPr>
                <w:rFonts w:hint="eastAsia"/>
              </w:rPr>
            </w:pPr>
            <w:r>
              <w:rPr>
                <w:rFonts w:hint="eastAsia"/>
                <w:lang w:val="en-US" w:eastAsia="zh-CN"/>
              </w:rPr>
              <w:t>（一）</w:t>
            </w:r>
          </w:p>
        </w:tc>
        <w:tc>
          <w:tcPr>
            <w:tcW w:w="975" w:type="pct"/>
            <w:shd w:val="clear" w:color="auto" w:fill="auto"/>
            <w:noWrap/>
            <w:vAlign w:val="center"/>
          </w:tcPr>
          <w:p w14:paraId="1E8D0F50">
            <w:pPr>
              <w:pStyle w:val="100"/>
              <w:bidi w:val="0"/>
              <w:rPr>
                <w:rFonts w:hint="eastAsia"/>
              </w:rPr>
            </w:pPr>
            <w:r>
              <w:rPr>
                <w:rFonts w:hint="eastAsia"/>
                <w:lang w:val="en-US" w:eastAsia="zh-CN"/>
              </w:rPr>
              <w:t>直接工程费</w:t>
            </w:r>
          </w:p>
        </w:tc>
        <w:tc>
          <w:tcPr>
            <w:tcW w:w="450" w:type="pct"/>
            <w:shd w:val="clear" w:color="auto" w:fill="auto"/>
            <w:noWrap/>
            <w:vAlign w:val="center"/>
          </w:tcPr>
          <w:p w14:paraId="71F6226A">
            <w:pPr>
              <w:pStyle w:val="100"/>
              <w:bidi w:val="0"/>
              <w:rPr>
                <w:rFonts w:hint="eastAsia"/>
              </w:rPr>
            </w:pPr>
            <w:r>
              <w:rPr>
                <w:rFonts w:hint="eastAsia"/>
                <w:lang w:val="en-US" w:eastAsia="zh-CN"/>
              </w:rPr>
              <w:t>工日</w:t>
            </w:r>
          </w:p>
        </w:tc>
        <w:tc>
          <w:tcPr>
            <w:tcW w:w="1291" w:type="dxa"/>
            <w:shd w:val="clear" w:color="auto" w:fill="auto"/>
            <w:noWrap/>
            <w:vAlign w:val="center"/>
          </w:tcPr>
          <w:p w14:paraId="658AE1AD">
            <w:pPr>
              <w:pStyle w:val="100"/>
              <w:bidi w:val="0"/>
              <w:rPr>
                <w:rFonts w:hint="default"/>
              </w:rPr>
            </w:pPr>
          </w:p>
        </w:tc>
        <w:tc>
          <w:tcPr>
            <w:tcW w:w="1612" w:type="dxa"/>
            <w:shd w:val="clear" w:color="auto" w:fill="auto"/>
            <w:noWrap/>
            <w:vAlign w:val="center"/>
          </w:tcPr>
          <w:p w14:paraId="13F29C84">
            <w:pPr>
              <w:pStyle w:val="100"/>
              <w:bidi w:val="0"/>
              <w:rPr>
                <w:rFonts w:hint="default"/>
              </w:rPr>
            </w:pPr>
          </w:p>
        </w:tc>
        <w:tc>
          <w:tcPr>
            <w:tcW w:w="2619" w:type="dxa"/>
            <w:shd w:val="clear" w:color="auto" w:fill="auto"/>
            <w:noWrap/>
            <w:vAlign w:val="center"/>
          </w:tcPr>
          <w:p w14:paraId="42C25786">
            <w:pPr>
              <w:pStyle w:val="100"/>
              <w:bidi w:val="0"/>
              <w:rPr>
                <w:rFonts w:hint="default"/>
                <w:lang w:val="en-US"/>
              </w:rPr>
            </w:pPr>
            <w:r>
              <w:rPr>
                <w:rFonts w:hint="default"/>
                <w:lang w:val="en-US" w:eastAsia="zh-CN"/>
              </w:rPr>
              <w:t>498.83</w:t>
            </w:r>
          </w:p>
        </w:tc>
      </w:tr>
      <w:tr w14:paraId="3272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13D6D44D">
            <w:pPr>
              <w:pStyle w:val="100"/>
              <w:bidi w:val="0"/>
              <w:rPr>
                <w:rFonts w:hint="default"/>
              </w:rPr>
            </w:pPr>
            <w:r>
              <w:rPr>
                <w:rFonts w:hint="default"/>
                <w:lang w:val="en-US" w:eastAsia="zh-CN"/>
              </w:rPr>
              <w:t>1</w:t>
            </w:r>
          </w:p>
        </w:tc>
        <w:tc>
          <w:tcPr>
            <w:tcW w:w="975" w:type="pct"/>
            <w:shd w:val="clear" w:color="auto" w:fill="auto"/>
            <w:noWrap/>
            <w:vAlign w:val="center"/>
          </w:tcPr>
          <w:p w14:paraId="162A6072">
            <w:pPr>
              <w:pStyle w:val="100"/>
              <w:bidi w:val="0"/>
              <w:rPr>
                <w:rFonts w:hint="eastAsia"/>
              </w:rPr>
            </w:pPr>
            <w:r>
              <w:rPr>
                <w:rFonts w:hint="eastAsia"/>
                <w:lang w:val="en-US" w:eastAsia="zh-CN"/>
              </w:rPr>
              <w:t>人工费</w:t>
            </w:r>
          </w:p>
        </w:tc>
        <w:tc>
          <w:tcPr>
            <w:tcW w:w="450" w:type="pct"/>
            <w:shd w:val="clear" w:color="auto" w:fill="auto"/>
            <w:noWrap/>
            <w:vAlign w:val="center"/>
          </w:tcPr>
          <w:p w14:paraId="2F182EC7">
            <w:pPr>
              <w:pStyle w:val="100"/>
              <w:bidi w:val="0"/>
              <w:rPr>
                <w:rFonts w:hint="eastAsia"/>
              </w:rPr>
            </w:pPr>
            <w:r>
              <w:rPr>
                <w:rFonts w:hint="eastAsia"/>
                <w:lang w:val="en-US" w:eastAsia="zh-CN"/>
              </w:rPr>
              <w:t>工日</w:t>
            </w:r>
          </w:p>
        </w:tc>
        <w:tc>
          <w:tcPr>
            <w:tcW w:w="1291" w:type="dxa"/>
            <w:shd w:val="clear" w:color="auto" w:fill="auto"/>
            <w:noWrap/>
            <w:vAlign w:val="center"/>
          </w:tcPr>
          <w:p w14:paraId="57DF4D2A">
            <w:pPr>
              <w:pStyle w:val="100"/>
              <w:bidi w:val="0"/>
              <w:rPr>
                <w:rFonts w:hint="default"/>
              </w:rPr>
            </w:pPr>
          </w:p>
        </w:tc>
        <w:tc>
          <w:tcPr>
            <w:tcW w:w="1612" w:type="dxa"/>
            <w:shd w:val="clear" w:color="auto" w:fill="auto"/>
            <w:noWrap/>
            <w:vAlign w:val="center"/>
          </w:tcPr>
          <w:p w14:paraId="685502F6">
            <w:pPr>
              <w:pStyle w:val="100"/>
              <w:bidi w:val="0"/>
              <w:rPr>
                <w:rFonts w:hint="default"/>
              </w:rPr>
            </w:pPr>
          </w:p>
        </w:tc>
        <w:tc>
          <w:tcPr>
            <w:tcW w:w="2619" w:type="dxa"/>
            <w:shd w:val="clear" w:color="auto" w:fill="auto"/>
            <w:noWrap/>
            <w:vAlign w:val="center"/>
          </w:tcPr>
          <w:p w14:paraId="04C31324">
            <w:pPr>
              <w:pStyle w:val="100"/>
              <w:bidi w:val="0"/>
              <w:rPr>
                <w:rFonts w:hint="default"/>
                <w:lang w:val="en-US"/>
              </w:rPr>
            </w:pPr>
            <w:r>
              <w:rPr>
                <w:rFonts w:hint="default"/>
                <w:lang w:val="en-US" w:eastAsia="zh-CN"/>
              </w:rPr>
              <w:t>38.01</w:t>
            </w:r>
          </w:p>
        </w:tc>
      </w:tr>
      <w:tr w14:paraId="4B05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31DA4A24">
            <w:pPr>
              <w:pStyle w:val="100"/>
              <w:bidi w:val="0"/>
              <w:rPr>
                <w:rFonts w:hint="default"/>
              </w:rPr>
            </w:pPr>
          </w:p>
        </w:tc>
        <w:tc>
          <w:tcPr>
            <w:tcW w:w="975" w:type="pct"/>
            <w:shd w:val="clear" w:color="auto" w:fill="auto"/>
            <w:noWrap/>
            <w:vAlign w:val="center"/>
          </w:tcPr>
          <w:p w14:paraId="50EA624A">
            <w:pPr>
              <w:pStyle w:val="100"/>
              <w:bidi w:val="0"/>
              <w:rPr>
                <w:rFonts w:hint="eastAsia"/>
              </w:rPr>
            </w:pPr>
            <w:r>
              <w:rPr>
                <w:rFonts w:hint="eastAsia"/>
                <w:lang w:val="en-US" w:eastAsia="zh-CN"/>
              </w:rPr>
              <w:t>甲类工</w:t>
            </w:r>
          </w:p>
        </w:tc>
        <w:tc>
          <w:tcPr>
            <w:tcW w:w="450" w:type="pct"/>
            <w:shd w:val="clear" w:color="auto" w:fill="auto"/>
            <w:noWrap/>
            <w:vAlign w:val="center"/>
          </w:tcPr>
          <w:p w14:paraId="2198E6F1">
            <w:pPr>
              <w:pStyle w:val="100"/>
              <w:bidi w:val="0"/>
              <w:rPr>
                <w:rFonts w:hint="eastAsia"/>
              </w:rPr>
            </w:pPr>
          </w:p>
        </w:tc>
        <w:tc>
          <w:tcPr>
            <w:tcW w:w="1291" w:type="dxa"/>
            <w:shd w:val="clear" w:color="auto" w:fill="auto"/>
            <w:noWrap/>
            <w:vAlign w:val="center"/>
          </w:tcPr>
          <w:p w14:paraId="53C36DF5">
            <w:pPr>
              <w:pStyle w:val="100"/>
              <w:bidi w:val="0"/>
              <w:rPr>
                <w:rFonts w:hint="default"/>
              </w:rPr>
            </w:pPr>
          </w:p>
        </w:tc>
        <w:tc>
          <w:tcPr>
            <w:tcW w:w="1612" w:type="dxa"/>
            <w:shd w:val="clear" w:color="auto" w:fill="auto"/>
            <w:noWrap/>
            <w:vAlign w:val="center"/>
          </w:tcPr>
          <w:p w14:paraId="04507656">
            <w:pPr>
              <w:pStyle w:val="100"/>
              <w:bidi w:val="0"/>
              <w:rPr>
                <w:rFonts w:hint="default"/>
                <w:lang w:val="en-US"/>
              </w:rPr>
            </w:pPr>
            <w:r>
              <w:rPr>
                <w:rFonts w:hint="default"/>
                <w:lang w:val="en-US" w:eastAsia="zh-CN"/>
              </w:rPr>
              <w:t>132.88</w:t>
            </w:r>
          </w:p>
        </w:tc>
        <w:tc>
          <w:tcPr>
            <w:tcW w:w="2619" w:type="dxa"/>
            <w:shd w:val="clear" w:color="auto" w:fill="auto"/>
            <w:noWrap/>
            <w:vAlign w:val="center"/>
          </w:tcPr>
          <w:p w14:paraId="62E28517">
            <w:pPr>
              <w:pStyle w:val="100"/>
              <w:bidi w:val="0"/>
              <w:rPr>
                <w:rFonts w:hint="default"/>
              </w:rPr>
            </w:pPr>
            <w:r>
              <w:rPr>
                <w:rFonts w:hint="default"/>
                <w:lang w:val="en-US" w:eastAsia="zh-CN"/>
              </w:rPr>
              <w:t>0.00</w:t>
            </w:r>
          </w:p>
        </w:tc>
      </w:tr>
      <w:tr w14:paraId="23BB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3443854B">
            <w:pPr>
              <w:pStyle w:val="100"/>
              <w:bidi w:val="0"/>
              <w:rPr>
                <w:rFonts w:hint="default"/>
              </w:rPr>
            </w:pPr>
          </w:p>
        </w:tc>
        <w:tc>
          <w:tcPr>
            <w:tcW w:w="975" w:type="pct"/>
            <w:shd w:val="clear" w:color="auto" w:fill="auto"/>
            <w:noWrap/>
            <w:vAlign w:val="center"/>
          </w:tcPr>
          <w:p w14:paraId="1878F332">
            <w:pPr>
              <w:pStyle w:val="100"/>
              <w:bidi w:val="0"/>
              <w:rPr>
                <w:rFonts w:hint="eastAsia"/>
              </w:rPr>
            </w:pPr>
            <w:r>
              <w:rPr>
                <w:rFonts w:hint="eastAsia"/>
                <w:lang w:val="en-US" w:eastAsia="zh-CN"/>
              </w:rPr>
              <w:t>乙类工</w:t>
            </w:r>
          </w:p>
        </w:tc>
        <w:tc>
          <w:tcPr>
            <w:tcW w:w="450" w:type="pct"/>
            <w:shd w:val="clear" w:color="auto" w:fill="auto"/>
            <w:noWrap/>
            <w:vAlign w:val="center"/>
          </w:tcPr>
          <w:p w14:paraId="56953780">
            <w:pPr>
              <w:pStyle w:val="100"/>
              <w:bidi w:val="0"/>
              <w:rPr>
                <w:rFonts w:hint="eastAsia"/>
              </w:rPr>
            </w:pPr>
            <w:r>
              <w:rPr>
                <w:rFonts w:hint="eastAsia"/>
                <w:lang w:val="en-US" w:eastAsia="zh-CN"/>
              </w:rPr>
              <w:t>台班</w:t>
            </w:r>
          </w:p>
        </w:tc>
        <w:tc>
          <w:tcPr>
            <w:tcW w:w="1291" w:type="dxa"/>
            <w:shd w:val="clear" w:color="auto" w:fill="auto"/>
            <w:noWrap/>
            <w:vAlign w:val="center"/>
          </w:tcPr>
          <w:p w14:paraId="54400507">
            <w:pPr>
              <w:pStyle w:val="100"/>
              <w:bidi w:val="0"/>
              <w:rPr>
                <w:rFonts w:hint="default"/>
              </w:rPr>
            </w:pPr>
            <w:r>
              <w:rPr>
                <w:rFonts w:hint="default"/>
                <w:lang w:val="en-US" w:eastAsia="zh-CN"/>
              </w:rPr>
              <w:t xml:space="preserve">0.30 </w:t>
            </w:r>
          </w:p>
        </w:tc>
        <w:tc>
          <w:tcPr>
            <w:tcW w:w="1612" w:type="dxa"/>
            <w:shd w:val="clear" w:color="auto" w:fill="auto"/>
            <w:noWrap/>
            <w:vAlign w:val="center"/>
          </w:tcPr>
          <w:p w14:paraId="010B90D4">
            <w:pPr>
              <w:pStyle w:val="100"/>
              <w:bidi w:val="0"/>
              <w:rPr>
                <w:rFonts w:hint="default"/>
                <w:lang w:val="en-US"/>
              </w:rPr>
            </w:pPr>
            <w:r>
              <w:rPr>
                <w:rFonts w:hint="default"/>
                <w:lang w:val="en-US" w:eastAsia="zh-CN"/>
              </w:rPr>
              <w:t>126.71</w:t>
            </w:r>
          </w:p>
        </w:tc>
        <w:tc>
          <w:tcPr>
            <w:tcW w:w="2619" w:type="dxa"/>
            <w:shd w:val="clear" w:color="auto" w:fill="auto"/>
            <w:noWrap/>
            <w:vAlign w:val="center"/>
          </w:tcPr>
          <w:p w14:paraId="04CDC9B9">
            <w:pPr>
              <w:pStyle w:val="100"/>
              <w:bidi w:val="0"/>
              <w:rPr>
                <w:rFonts w:hint="default"/>
                <w:lang w:val="en-US"/>
              </w:rPr>
            </w:pPr>
            <w:r>
              <w:rPr>
                <w:rFonts w:hint="default"/>
                <w:lang w:val="en-US" w:eastAsia="zh-CN"/>
              </w:rPr>
              <w:t>38.01</w:t>
            </w:r>
          </w:p>
        </w:tc>
      </w:tr>
      <w:tr w14:paraId="4960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0CFBDE0D">
            <w:pPr>
              <w:pStyle w:val="100"/>
              <w:bidi w:val="0"/>
              <w:rPr>
                <w:rFonts w:hint="default"/>
              </w:rPr>
            </w:pPr>
            <w:r>
              <w:rPr>
                <w:rFonts w:hint="default"/>
                <w:lang w:val="en-US" w:eastAsia="zh-CN"/>
              </w:rPr>
              <w:t>2</w:t>
            </w:r>
          </w:p>
        </w:tc>
        <w:tc>
          <w:tcPr>
            <w:tcW w:w="975" w:type="pct"/>
            <w:shd w:val="clear" w:color="auto" w:fill="auto"/>
            <w:noWrap/>
            <w:vAlign w:val="center"/>
          </w:tcPr>
          <w:p w14:paraId="656AFD7A">
            <w:pPr>
              <w:pStyle w:val="100"/>
              <w:bidi w:val="0"/>
              <w:rPr>
                <w:rFonts w:hint="eastAsia"/>
              </w:rPr>
            </w:pPr>
            <w:r>
              <w:rPr>
                <w:rFonts w:hint="eastAsia"/>
                <w:lang w:val="en-US" w:eastAsia="zh-CN"/>
              </w:rPr>
              <w:t>机械费用</w:t>
            </w:r>
          </w:p>
        </w:tc>
        <w:tc>
          <w:tcPr>
            <w:tcW w:w="450" w:type="pct"/>
            <w:shd w:val="clear" w:color="auto" w:fill="auto"/>
            <w:noWrap/>
            <w:vAlign w:val="center"/>
          </w:tcPr>
          <w:p w14:paraId="4E1C62AF">
            <w:pPr>
              <w:pStyle w:val="100"/>
              <w:bidi w:val="0"/>
              <w:rPr>
                <w:rFonts w:hint="default"/>
              </w:rPr>
            </w:pPr>
            <w:r>
              <w:rPr>
                <w:rFonts w:hint="default"/>
                <w:lang w:val="en-US" w:eastAsia="zh-CN"/>
              </w:rPr>
              <w:t>%</w:t>
            </w:r>
          </w:p>
        </w:tc>
        <w:tc>
          <w:tcPr>
            <w:tcW w:w="1291" w:type="dxa"/>
            <w:shd w:val="clear" w:color="auto" w:fill="auto"/>
            <w:noWrap/>
            <w:vAlign w:val="center"/>
          </w:tcPr>
          <w:p w14:paraId="35A016DB">
            <w:pPr>
              <w:pStyle w:val="100"/>
              <w:bidi w:val="0"/>
              <w:rPr>
                <w:rFonts w:hint="default"/>
              </w:rPr>
            </w:pPr>
          </w:p>
        </w:tc>
        <w:tc>
          <w:tcPr>
            <w:tcW w:w="1612" w:type="dxa"/>
            <w:shd w:val="clear" w:color="auto" w:fill="auto"/>
            <w:noWrap/>
            <w:vAlign w:val="center"/>
          </w:tcPr>
          <w:p w14:paraId="278A0602">
            <w:pPr>
              <w:pStyle w:val="100"/>
              <w:bidi w:val="0"/>
              <w:rPr>
                <w:rFonts w:hint="default"/>
              </w:rPr>
            </w:pPr>
          </w:p>
        </w:tc>
        <w:tc>
          <w:tcPr>
            <w:tcW w:w="2619" w:type="dxa"/>
            <w:shd w:val="clear" w:color="auto" w:fill="auto"/>
            <w:noWrap/>
            <w:vAlign w:val="center"/>
          </w:tcPr>
          <w:p w14:paraId="3EAD86B9">
            <w:pPr>
              <w:pStyle w:val="100"/>
              <w:bidi w:val="0"/>
              <w:rPr>
                <w:rFonts w:hint="default"/>
                <w:lang w:val="en-US" w:eastAsia="zh-CN"/>
              </w:rPr>
            </w:pPr>
            <w:r>
              <w:rPr>
                <w:rFonts w:hint="default"/>
                <w:lang w:val="en-US" w:eastAsia="zh-CN"/>
              </w:rPr>
              <w:t>437.06</w:t>
            </w:r>
          </w:p>
        </w:tc>
      </w:tr>
      <w:tr w14:paraId="2B7B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2F73D0DB">
            <w:pPr>
              <w:pStyle w:val="100"/>
              <w:bidi w:val="0"/>
              <w:rPr>
                <w:rFonts w:hint="default"/>
              </w:rPr>
            </w:pPr>
          </w:p>
        </w:tc>
        <w:tc>
          <w:tcPr>
            <w:tcW w:w="975" w:type="pct"/>
            <w:shd w:val="clear" w:color="auto" w:fill="auto"/>
            <w:noWrap/>
            <w:vAlign w:val="center"/>
          </w:tcPr>
          <w:p w14:paraId="5D4B5969">
            <w:pPr>
              <w:pStyle w:val="100"/>
              <w:bidi w:val="0"/>
              <w:rPr>
                <w:rFonts w:hint="eastAsia"/>
              </w:rPr>
            </w:pPr>
            <w:r>
              <w:rPr>
                <w:rFonts w:hint="eastAsia"/>
                <w:lang w:val="en-US" w:eastAsia="zh-CN"/>
              </w:rPr>
              <w:t>推土机</w:t>
            </w:r>
            <w:r>
              <w:rPr>
                <w:rFonts w:hint="default"/>
                <w:lang w:val="en-US" w:eastAsia="zh-CN"/>
              </w:rPr>
              <w:t>74kw</w:t>
            </w:r>
          </w:p>
        </w:tc>
        <w:tc>
          <w:tcPr>
            <w:tcW w:w="450" w:type="pct"/>
            <w:shd w:val="clear" w:color="auto" w:fill="auto"/>
            <w:noWrap/>
            <w:vAlign w:val="center"/>
          </w:tcPr>
          <w:p w14:paraId="1CD4ED8C">
            <w:pPr>
              <w:pStyle w:val="100"/>
              <w:bidi w:val="0"/>
              <w:rPr>
                <w:rFonts w:hint="eastAsia"/>
              </w:rPr>
            </w:pPr>
            <w:r>
              <w:rPr>
                <w:rFonts w:hint="eastAsia"/>
                <w:lang w:val="en-US" w:eastAsia="zh-CN"/>
              </w:rPr>
              <w:t>台班</w:t>
            </w:r>
          </w:p>
        </w:tc>
        <w:tc>
          <w:tcPr>
            <w:tcW w:w="1291" w:type="dxa"/>
            <w:shd w:val="clear" w:color="auto" w:fill="auto"/>
            <w:noWrap/>
            <w:vAlign w:val="center"/>
          </w:tcPr>
          <w:p w14:paraId="0732A3B2">
            <w:pPr>
              <w:pStyle w:val="100"/>
              <w:bidi w:val="0"/>
              <w:rPr>
                <w:rFonts w:hint="default"/>
                <w:lang w:val="en-US"/>
              </w:rPr>
            </w:pPr>
            <w:r>
              <w:rPr>
                <w:rFonts w:hint="default"/>
                <w:lang w:val="en-US" w:eastAsia="zh-CN"/>
              </w:rPr>
              <w:t>0.58</w:t>
            </w:r>
          </w:p>
        </w:tc>
        <w:tc>
          <w:tcPr>
            <w:tcW w:w="1612" w:type="dxa"/>
            <w:shd w:val="clear" w:color="auto" w:fill="auto"/>
            <w:noWrap/>
            <w:vAlign w:val="center"/>
          </w:tcPr>
          <w:p w14:paraId="688F3B56">
            <w:pPr>
              <w:pStyle w:val="100"/>
              <w:bidi w:val="0"/>
              <w:rPr>
                <w:rFonts w:hint="default"/>
                <w:lang w:val="en-US"/>
              </w:rPr>
            </w:pPr>
            <w:r>
              <w:rPr>
                <w:rFonts w:hint="default"/>
                <w:lang w:val="en-US" w:eastAsia="zh-CN"/>
              </w:rPr>
              <w:t>753.56</w:t>
            </w:r>
          </w:p>
        </w:tc>
        <w:tc>
          <w:tcPr>
            <w:tcW w:w="2619" w:type="dxa"/>
            <w:shd w:val="clear" w:color="auto" w:fill="auto"/>
            <w:noWrap/>
            <w:vAlign w:val="center"/>
          </w:tcPr>
          <w:p w14:paraId="5986DDEA">
            <w:pPr>
              <w:pStyle w:val="100"/>
              <w:bidi w:val="0"/>
              <w:rPr>
                <w:rFonts w:hint="default"/>
                <w:lang w:val="en-US"/>
              </w:rPr>
            </w:pPr>
            <w:r>
              <w:rPr>
                <w:rFonts w:hint="default"/>
                <w:lang w:val="en-US" w:eastAsia="zh-CN"/>
              </w:rPr>
              <w:t>437.06</w:t>
            </w:r>
          </w:p>
        </w:tc>
      </w:tr>
      <w:tr w14:paraId="7B7E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49F9A26F">
            <w:pPr>
              <w:pStyle w:val="100"/>
              <w:bidi w:val="0"/>
              <w:rPr>
                <w:rFonts w:hint="default"/>
              </w:rPr>
            </w:pPr>
            <w:r>
              <w:rPr>
                <w:rFonts w:hint="default"/>
                <w:lang w:val="en-US" w:eastAsia="zh-CN"/>
              </w:rPr>
              <w:t>3</w:t>
            </w:r>
          </w:p>
        </w:tc>
        <w:tc>
          <w:tcPr>
            <w:tcW w:w="975" w:type="pct"/>
            <w:shd w:val="clear" w:color="auto" w:fill="auto"/>
            <w:noWrap/>
            <w:vAlign w:val="center"/>
          </w:tcPr>
          <w:p w14:paraId="543DDF72">
            <w:pPr>
              <w:pStyle w:val="100"/>
              <w:bidi w:val="0"/>
              <w:rPr>
                <w:rFonts w:hint="eastAsia"/>
              </w:rPr>
            </w:pPr>
            <w:r>
              <w:rPr>
                <w:rFonts w:hint="eastAsia"/>
                <w:lang w:val="en-US" w:eastAsia="zh-CN"/>
              </w:rPr>
              <w:t>其他费用</w:t>
            </w:r>
          </w:p>
        </w:tc>
        <w:tc>
          <w:tcPr>
            <w:tcW w:w="450" w:type="pct"/>
            <w:shd w:val="clear" w:color="auto" w:fill="auto"/>
            <w:noWrap/>
            <w:vAlign w:val="center"/>
          </w:tcPr>
          <w:p w14:paraId="2F3E6C86">
            <w:pPr>
              <w:pStyle w:val="100"/>
              <w:bidi w:val="0"/>
              <w:rPr>
                <w:rFonts w:hint="default"/>
              </w:rPr>
            </w:pPr>
            <w:r>
              <w:rPr>
                <w:rFonts w:hint="default"/>
                <w:lang w:val="en-US" w:eastAsia="zh-CN"/>
              </w:rPr>
              <w:t>%</w:t>
            </w:r>
          </w:p>
        </w:tc>
        <w:tc>
          <w:tcPr>
            <w:tcW w:w="1291" w:type="dxa"/>
            <w:shd w:val="clear" w:color="auto" w:fill="auto"/>
            <w:noWrap/>
            <w:vAlign w:val="center"/>
          </w:tcPr>
          <w:p w14:paraId="1F324B71">
            <w:pPr>
              <w:pStyle w:val="100"/>
              <w:bidi w:val="0"/>
              <w:rPr>
                <w:rFonts w:hint="default"/>
              </w:rPr>
            </w:pPr>
            <w:r>
              <w:rPr>
                <w:rFonts w:hint="default"/>
                <w:lang w:val="en-US" w:eastAsia="zh-CN"/>
              </w:rPr>
              <w:t>5</w:t>
            </w:r>
          </w:p>
        </w:tc>
        <w:tc>
          <w:tcPr>
            <w:tcW w:w="1612" w:type="dxa"/>
            <w:shd w:val="clear" w:color="auto" w:fill="auto"/>
            <w:noWrap/>
            <w:vAlign w:val="center"/>
          </w:tcPr>
          <w:p w14:paraId="39026C90">
            <w:pPr>
              <w:pStyle w:val="100"/>
              <w:bidi w:val="0"/>
              <w:rPr>
                <w:rFonts w:hint="default"/>
                <w:lang w:val="en-US"/>
              </w:rPr>
            </w:pPr>
            <w:r>
              <w:rPr>
                <w:rFonts w:hint="default"/>
                <w:lang w:val="en-US" w:eastAsia="zh-CN"/>
              </w:rPr>
              <w:t>475.08</w:t>
            </w:r>
          </w:p>
        </w:tc>
        <w:tc>
          <w:tcPr>
            <w:tcW w:w="2619" w:type="dxa"/>
            <w:shd w:val="clear" w:color="auto" w:fill="auto"/>
            <w:noWrap/>
            <w:vAlign w:val="center"/>
          </w:tcPr>
          <w:p w14:paraId="35A0C01B">
            <w:pPr>
              <w:pStyle w:val="100"/>
              <w:bidi w:val="0"/>
              <w:rPr>
                <w:rFonts w:hint="default"/>
                <w:lang w:val="en-US"/>
              </w:rPr>
            </w:pPr>
            <w:r>
              <w:rPr>
                <w:rFonts w:hint="default"/>
                <w:lang w:val="en-US" w:eastAsia="zh-CN"/>
              </w:rPr>
              <w:t>23.75</w:t>
            </w:r>
          </w:p>
        </w:tc>
      </w:tr>
      <w:tr w14:paraId="4F8F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6DC91B4B">
            <w:pPr>
              <w:pStyle w:val="100"/>
              <w:bidi w:val="0"/>
              <w:rPr>
                <w:rFonts w:hint="eastAsia"/>
              </w:rPr>
            </w:pPr>
            <w:r>
              <w:rPr>
                <w:rFonts w:hint="eastAsia"/>
                <w:lang w:val="en-US" w:eastAsia="zh-CN"/>
              </w:rPr>
              <w:t>（二）</w:t>
            </w:r>
          </w:p>
        </w:tc>
        <w:tc>
          <w:tcPr>
            <w:tcW w:w="975" w:type="pct"/>
            <w:shd w:val="clear" w:color="auto" w:fill="auto"/>
            <w:noWrap/>
            <w:vAlign w:val="center"/>
          </w:tcPr>
          <w:p w14:paraId="2989F79E">
            <w:pPr>
              <w:pStyle w:val="100"/>
              <w:bidi w:val="0"/>
              <w:rPr>
                <w:rFonts w:hint="eastAsia"/>
              </w:rPr>
            </w:pPr>
            <w:r>
              <w:rPr>
                <w:rFonts w:hint="eastAsia"/>
                <w:lang w:val="en-US" w:eastAsia="zh-CN"/>
              </w:rPr>
              <w:t>措施费</w:t>
            </w:r>
          </w:p>
        </w:tc>
        <w:tc>
          <w:tcPr>
            <w:tcW w:w="450" w:type="pct"/>
            <w:shd w:val="clear" w:color="auto" w:fill="auto"/>
            <w:noWrap/>
            <w:vAlign w:val="center"/>
          </w:tcPr>
          <w:p w14:paraId="1465C013">
            <w:pPr>
              <w:pStyle w:val="100"/>
              <w:bidi w:val="0"/>
              <w:rPr>
                <w:rFonts w:hint="default"/>
              </w:rPr>
            </w:pPr>
            <w:r>
              <w:rPr>
                <w:rFonts w:hint="default"/>
                <w:lang w:val="en-US" w:eastAsia="zh-CN"/>
              </w:rPr>
              <w:t>%</w:t>
            </w:r>
          </w:p>
        </w:tc>
        <w:tc>
          <w:tcPr>
            <w:tcW w:w="1291" w:type="dxa"/>
            <w:shd w:val="clear" w:color="auto" w:fill="auto"/>
            <w:noWrap/>
            <w:vAlign w:val="center"/>
          </w:tcPr>
          <w:p w14:paraId="4EB3ECEF">
            <w:pPr>
              <w:pStyle w:val="100"/>
              <w:bidi w:val="0"/>
              <w:rPr>
                <w:rFonts w:hint="default"/>
              </w:rPr>
            </w:pPr>
            <w:r>
              <w:rPr>
                <w:rFonts w:hint="default"/>
                <w:lang w:val="en-US" w:eastAsia="zh-CN"/>
              </w:rPr>
              <w:t>3.6</w:t>
            </w:r>
          </w:p>
        </w:tc>
        <w:tc>
          <w:tcPr>
            <w:tcW w:w="1612" w:type="dxa"/>
            <w:shd w:val="clear" w:color="auto" w:fill="auto"/>
            <w:noWrap/>
            <w:vAlign w:val="center"/>
          </w:tcPr>
          <w:p w14:paraId="4B868205">
            <w:pPr>
              <w:pStyle w:val="100"/>
              <w:bidi w:val="0"/>
              <w:rPr>
                <w:rFonts w:hint="default"/>
              </w:rPr>
            </w:pPr>
          </w:p>
        </w:tc>
        <w:tc>
          <w:tcPr>
            <w:tcW w:w="2619" w:type="dxa"/>
            <w:shd w:val="clear" w:color="auto" w:fill="auto"/>
            <w:noWrap/>
            <w:vAlign w:val="center"/>
          </w:tcPr>
          <w:p w14:paraId="235F30AB">
            <w:pPr>
              <w:pStyle w:val="100"/>
              <w:bidi w:val="0"/>
              <w:rPr>
                <w:rFonts w:hint="default"/>
                <w:lang w:val="en-US"/>
              </w:rPr>
            </w:pPr>
            <w:r>
              <w:rPr>
                <w:rFonts w:hint="default"/>
                <w:lang w:val="en-US" w:eastAsia="zh-CN"/>
              </w:rPr>
              <w:t>17.96</w:t>
            </w:r>
          </w:p>
        </w:tc>
      </w:tr>
      <w:tr w14:paraId="3BF1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372DA87F">
            <w:pPr>
              <w:pStyle w:val="100"/>
              <w:bidi w:val="0"/>
              <w:rPr>
                <w:rFonts w:hint="eastAsia"/>
              </w:rPr>
            </w:pPr>
            <w:r>
              <w:rPr>
                <w:rFonts w:hint="eastAsia"/>
                <w:lang w:val="en-US" w:eastAsia="zh-CN"/>
              </w:rPr>
              <w:t>二</w:t>
            </w:r>
          </w:p>
        </w:tc>
        <w:tc>
          <w:tcPr>
            <w:tcW w:w="975" w:type="pct"/>
            <w:shd w:val="clear" w:color="auto" w:fill="auto"/>
            <w:noWrap/>
            <w:vAlign w:val="center"/>
          </w:tcPr>
          <w:p w14:paraId="3F743B38">
            <w:pPr>
              <w:pStyle w:val="100"/>
              <w:bidi w:val="0"/>
              <w:rPr>
                <w:rFonts w:hint="eastAsia"/>
              </w:rPr>
            </w:pPr>
            <w:r>
              <w:rPr>
                <w:rFonts w:hint="eastAsia"/>
                <w:lang w:val="en-US" w:eastAsia="zh-CN"/>
              </w:rPr>
              <w:t>间接费</w:t>
            </w:r>
          </w:p>
        </w:tc>
        <w:tc>
          <w:tcPr>
            <w:tcW w:w="450" w:type="pct"/>
            <w:shd w:val="clear" w:color="auto" w:fill="auto"/>
            <w:noWrap/>
            <w:vAlign w:val="center"/>
          </w:tcPr>
          <w:p w14:paraId="2598F013">
            <w:pPr>
              <w:pStyle w:val="100"/>
              <w:bidi w:val="0"/>
              <w:rPr>
                <w:rFonts w:hint="default"/>
              </w:rPr>
            </w:pPr>
            <w:r>
              <w:rPr>
                <w:rFonts w:hint="default"/>
                <w:lang w:val="en-US" w:eastAsia="zh-CN"/>
              </w:rPr>
              <w:t>%</w:t>
            </w:r>
          </w:p>
        </w:tc>
        <w:tc>
          <w:tcPr>
            <w:tcW w:w="1291" w:type="dxa"/>
            <w:shd w:val="clear" w:color="auto" w:fill="auto"/>
            <w:noWrap/>
            <w:vAlign w:val="center"/>
          </w:tcPr>
          <w:p w14:paraId="213E6DE1">
            <w:pPr>
              <w:pStyle w:val="100"/>
              <w:bidi w:val="0"/>
              <w:rPr>
                <w:rFonts w:hint="default"/>
              </w:rPr>
            </w:pPr>
            <w:r>
              <w:rPr>
                <w:rFonts w:hint="default"/>
                <w:lang w:val="en-US" w:eastAsia="zh-CN"/>
              </w:rPr>
              <w:t>5</w:t>
            </w:r>
          </w:p>
        </w:tc>
        <w:tc>
          <w:tcPr>
            <w:tcW w:w="1612" w:type="dxa"/>
            <w:shd w:val="clear" w:color="auto" w:fill="auto"/>
            <w:noWrap/>
            <w:vAlign w:val="center"/>
          </w:tcPr>
          <w:p w14:paraId="4E1E235F">
            <w:pPr>
              <w:pStyle w:val="100"/>
              <w:bidi w:val="0"/>
              <w:rPr>
                <w:rFonts w:hint="default"/>
              </w:rPr>
            </w:pPr>
          </w:p>
        </w:tc>
        <w:tc>
          <w:tcPr>
            <w:tcW w:w="2619" w:type="dxa"/>
            <w:shd w:val="clear" w:color="auto" w:fill="auto"/>
            <w:noWrap/>
            <w:vAlign w:val="center"/>
          </w:tcPr>
          <w:p w14:paraId="21AC4E7A">
            <w:pPr>
              <w:pStyle w:val="100"/>
              <w:bidi w:val="0"/>
              <w:rPr>
                <w:rFonts w:hint="default"/>
                <w:lang w:val="en-US"/>
              </w:rPr>
            </w:pPr>
            <w:r>
              <w:rPr>
                <w:rFonts w:hint="default"/>
                <w:lang w:val="en-US" w:eastAsia="zh-CN"/>
              </w:rPr>
              <w:t>24.94</w:t>
            </w:r>
          </w:p>
        </w:tc>
      </w:tr>
      <w:tr w14:paraId="4D89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10CC6B19">
            <w:pPr>
              <w:pStyle w:val="100"/>
              <w:bidi w:val="0"/>
              <w:rPr>
                <w:rFonts w:hint="eastAsia"/>
              </w:rPr>
            </w:pPr>
            <w:r>
              <w:rPr>
                <w:rFonts w:hint="eastAsia"/>
                <w:lang w:val="en-US" w:eastAsia="zh-CN"/>
              </w:rPr>
              <w:t>三</w:t>
            </w:r>
          </w:p>
        </w:tc>
        <w:tc>
          <w:tcPr>
            <w:tcW w:w="975" w:type="pct"/>
            <w:shd w:val="clear" w:color="auto" w:fill="auto"/>
            <w:noWrap/>
            <w:vAlign w:val="center"/>
          </w:tcPr>
          <w:p w14:paraId="7CEAAEE4">
            <w:pPr>
              <w:pStyle w:val="100"/>
              <w:bidi w:val="0"/>
              <w:rPr>
                <w:rFonts w:hint="eastAsia"/>
              </w:rPr>
            </w:pPr>
            <w:r>
              <w:rPr>
                <w:rFonts w:hint="eastAsia"/>
                <w:lang w:val="en-US" w:eastAsia="zh-CN"/>
              </w:rPr>
              <w:t>利润</w:t>
            </w:r>
          </w:p>
        </w:tc>
        <w:tc>
          <w:tcPr>
            <w:tcW w:w="450" w:type="pct"/>
            <w:shd w:val="clear" w:color="auto" w:fill="auto"/>
            <w:noWrap/>
            <w:vAlign w:val="center"/>
          </w:tcPr>
          <w:p w14:paraId="6919E0A7">
            <w:pPr>
              <w:pStyle w:val="100"/>
              <w:bidi w:val="0"/>
              <w:rPr>
                <w:rFonts w:hint="default"/>
              </w:rPr>
            </w:pPr>
            <w:r>
              <w:rPr>
                <w:rFonts w:hint="default"/>
                <w:lang w:val="en-US" w:eastAsia="zh-CN"/>
              </w:rPr>
              <w:t>%</w:t>
            </w:r>
          </w:p>
        </w:tc>
        <w:tc>
          <w:tcPr>
            <w:tcW w:w="1291" w:type="dxa"/>
            <w:shd w:val="clear" w:color="auto" w:fill="auto"/>
            <w:noWrap/>
            <w:vAlign w:val="center"/>
          </w:tcPr>
          <w:p w14:paraId="2339EE0F">
            <w:pPr>
              <w:pStyle w:val="100"/>
              <w:bidi w:val="0"/>
              <w:rPr>
                <w:rFonts w:hint="default"/>
              </w:rPr>
            </w:pPr>
            <w:r>
              <w:rPr>
                <w:rFonts w:hint="default"/>
                <w:lang w:val="en-US" w:eastAsia="zh-CN"/>
              </w:rPr>
              <w:t>3</w:t>
            </w:r>
          </w:p>
        </w:tc>
        <w:tc>
          <w:tcPr>
            <w:tcW w:w="1612" w:type="dxa"/>
            <w:shd w:val="clear" w:color="auto" w:fill="auto"/>
            <w:noWrap/>
            <w:vAlign w:val="center"/>
          </w:tcPr>
          <w:p w14:paraId="16C5A017">
            <w:pPr>
              <w:pStyle w:val="100"/>
              <w:bidi w:val="0"/>
              <w:rPr>
                <w:rFonts w:hint="default"/>
              </w:rPr>
            </w:pPr>
          </w:p>
        </w:tc>
        <w:tc>
          <w:tcPr>
            <w:tcW w:w="2619" w:type="dxa"/>
            <w:shd w:val="clear" w:color="auto" w:fill="auto"/>
            <w:noWrap/>
            <w:vAlign w:val="center"/>
          </w:tcPr>
          <w:p w14:paraId="3A8F8508">
            <w:pPr>
              <w:pStyle w:val="100"/>
              <w:bidi w:val="0"/>
              <w:rPr>
                <w:rFonts w:hint="default"/>
                <w:lang w:val="en-US"/>
              </w:rPr>
            </w:pPr>
            <w:r>
              <w:rPr>
                <w:rFonts w:hint="default"/>
                <w:lang w:val="en-US" w:eastAsia="zh-CN"/>
              </w:rPr>
              <w:t>16.25</w:t>
            </w:r>
          </w:p>
        </w:tc>
      </w:tr>
      <w:tr w14:paraId="2FB0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4F443644">
            <w:pPr>
              <w:pStyle w:val="100"/>
              <w:bidi w:val="0"/>
              <w:rPr>
                <w:rFonts w:hint="eastAsia"/>
              </w:rPr>
            </w:pPr>
            <w:r>
              <w:rPr>
                <w:rFonts w:hint="eastAsia"/>
                <w:lang w:val="en-US" w:eastAsia="zh-CN"/>
              </w:rPr>
              <w:t>四</w:t>
            </w:r>
          </w:p>
        </w:tc>
        <w:tc>
          <w:tcPr>
            <w:tcW w:w="975" w:type="pct"/>
            <w:shd w:val="clear" w:color="auto" w:fill="auto"/>
            <w:noWrap/>
            <w:vAlign w:val="center"/>
          </w:tcPr>
          <w:p w14:paraId="7963EFE3">
            <w:pPr>
              <w:pStyle w:val="100"/>
              <w:bidi w:val="0"/>
              <w:rPr>
                <w:rFonts w:hint="eastAsia"/>
              </w:rPr>
            </w:pPr>
            <w:r>
              <w:rPr>
                <w:rFonts w:hint="eastAsia"/>
                <w:lang w:val="en-US" w:eastAsia="zh-CN"/>
              </w:rPr>
              <w:t>材料价差</w:t>
            </w:r>
          </w:p>
        </w:tc>
        <w:tc>
          <w:tcPr>
            <w:tcW w:w="450" w:type="pct"/>
            <w:shd w:val="clear" w:color="auto" w:fill="auto"/>
            <w:noWrap/>
            <w:vAlign w:val="center"/>
          </w:tcPr>
          <w:p w14:paraId="27CE0BBA">
            <w:pPr>
              <w:pStyle w:val="100"/>
              <w:bidi w:val="0"/>
              <w:rPr>
                <w:rFonts w:hint="default"/>
              </w:rPr>
            </w:pPr>
          </w:p>
        </w:tc>
        <w:tc>
          <w:tcPr>
            <w:tcW w:w="1291" w:type="dxa"/>
            <w:shd w:val="clear" w:color="auto" w:fill="auto"/>
            <w:noWrap/>
            <w:vAlign w:val="center"/>
          </w:tcPr>
          <w:p w14:paraId="514FC01C">
            <w:pPr>
              <w:pStyle w:val="100"/>
              <w:bidi w:val="0"/>
              <w:rPr>
                <w:rFonts w:hint="eastAsia"/>
              </w:rPr>
            </w:pPr>
          </w:p>
        </w:tc>
        <w:tc>
          <w:tcPr>
            <w:tcW w:w="1612" w:type="dxa"/>
            <w:shd w:val="clear" w:color="auto" w:fill="auto"/>
            <w:noWrap/>
            <w:vAlign w:val="center"/>
          </w:tcPr>
          <w:p w14:paraId="51AE3D28">
            <w:pPr>
              <w:pStyle w:val="100"/>
              <w:bidi w:val="0"/>
              <w:rPr>
                <w:rFonts w:hint="default"/>
              </w:rPr>
            </w:pPr>
          </w:p>
        </w:tc>
        <w:tc>
          <w:tcPr>
            <w:tcW w:w="2619" w:type="dxa"/>
            <w:shd w:val="clear" w:color="auto" w:fill="auto"/>
            <w:noWrap/>
            <w:vAlign w:val="center"/>
          </w:tcPr>
          <w:p w14:paraId="5213E698">
            <w:pPr>
              <w:pStyle w:val="100"/>
              <w:bidi w:val="0"/>
              <w:rPr>
                <w:rFonts w:hint="default"/>
                <w:lang w:val="en-US"/>
              </w:rPr>
            </w:pPr>
            <w:r>
              <w:rPr>
                <w:rFonts w:hint="default"/>
                <w:lang w:val="en-US" w:eastAsia="zh-CN"/>
              </w:rPr>
              <w:t>90.46</w:t>
            </w:r>
          </w:p>
        </w:tc>
      </w:tr>
      <w:tr w14:paraId="4AB6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01" w:type="pct"/>
            <w:shd w:val="clear" w:color="auto" w:fill="auto"/>
            <w:noWrap/>
            <w:vAlign w:val="center"/>
          </w:tcPr>
          <w:p w14:paraId="3D4C5CB4">
            <w:pPr>
              <w:pStyle w:val="100"/>
              <w:bidi w:val="0"/>
              <w:rPr>
                <w:rFonts w:hint="default"/>
              </w:rPr>
            </w:pPr>
          </w:p>
        </w:tc>
        <w:tc>
          <w:tcPr>
            <w:tcW w:w="975" w:type="pct"/>
            <w:shd w:val="clear" w:color="auto" w:fill="auto"/>
            <w:noWrap/>
            <w:vAlign w:val="center"/>
          </w:tcPr>
          <w:p w14:paraId="245C72BF">
            <w:pPr>
              <w:pStyle w:val="100"/>
              <w:bidi w:val="0"/>
              <w:rPr>
                <w:rFonts w:hint="eastAsia"/>
              </w:rPr>
            </w:pPr>
            <w:r>
              <w:rPr>
                <w:rFonts w:hint="eastAsia"/>
                <w:lang w:val="en-US" w:eastAsia="zh-CN"/>
              </w:rPr>
              <w:t>柴油</w:t>
            </w:r>
            <w:r>
              <w:rPr>
                <w:rFonts w:hint="default"/>
                <w:lang w:val="en-US" w:eastAsia="zh-CN"/>
              </w:rPr>
              <w:t>0#</w:t>
            </w:r>
          </w:p>
        </w:tc>
        <w:tc>
          <w:tcPr>
            <w:tcW w:w="450" w:type="pct"/>
            <w:shd w:val="clear" w:color="auto" w:fill="auto"/>
            <w:noWrap/>
            <w:vAlign w:val="center"/>
          </w:tcPr>
          <w:p w14:paraId="60EEB4A4">
            <w:pPr>
              <w:pStyle w:val="100"/>
              <w:bidi w:val="0"/>
              <w:rPr>
                <w:rFonts w:hint="default"/>
              </w:rPr>
            </w:pPr>
            <w:r>
              <w:rPr>
                <w:rFonts w:hint="default"/>
                <w:lang w:val="en-US" w:eastAsia="zh-CN"/>
              </w:rPr>
              <w:t>kg</w:t>
            </w:r>
          </w:p>
        </w:tc>
        <w:tc>
          <w:tcPr>
            <w:tcW w:w="1291" w:type="dxa"/>
            <w:shd w:val="clear" w:color="auto" w:fill="auto"/>
            <w:noWrap/>
            <w:vAlign w:val="center"/>
          </w:tcPr>
          <w:p w14:paraId="6CE41A81">
            <w:pPr>
              <w:pStyle w:val="100"/>
              <w:bidi w:val="0"/>
              <w:rPr>
                <w:rFonts w:hint="default"/>
              </w:rPr>
            </w:pPr>
            <w:r>
              <w:rPr>
                <w:rFonts w:hint="default"/>
                <w:lang w:val="en-US" w:eastAsia="zh-CN"/>
              </w:rPr>
              <w:t>31.9</w:t>
            </w:r>
          </w:p>
        </w:tc>
        <w:tc>
          <w:tcPr>
            <w:tcW w:w="1612" w:type="dxa"/>
            <w:shd w:val="clear" w:color="auto" w:fill="auto"/>
            <w:noWrap/>
            <w:vAlign w:val="center"/>
          </w:tcPr>
          <w:p w14:paraId="41EA3F33">
            <w:pPr>
              <w:pStyle w:val="100"/>
              <w:bidi w:val="0"/>
              <w:rPr>
                <w:rFonts w:hint="default"/>
              </w:rPr>
            </w:pPr>
            <w:r>
              <w:rPr>
                <w:rFonts w:hint="default"/>
                <w:lang w:val="en-US" w:eastAsia="zh-CN"/>
              </w:rPr>
              <w:t>2.84</w:t>
            </w:r>
          </w:p>
        </w:tc>
        <w:tc>
          <w:tcPr>
            <w:tcW w:w="2619" w:type="dxa"/>
            <w:shd w:val="clear" w:color="auto" w:fill="auto"/>
            <w:noWrap/>
            <w:vAlign w:val="center"/>
          </w:tcPr>
          <w:p w14:paraId="2B751AF9">
            <w:pPr>
              <w:pStyle w:val="100"/>
              <w:bidi w:val="0"/>
              <w:rPr>
                <w:rFonts w:hint="default"/>
                <w:lang w:val="en-US"/>
              </w:rPr>
            </w:pPr>
            <w:r>
              <w:rPr>
                <w:rFonts w:hint="default"/>
                <w:lang w:val="en-US" w:eastAsia="zh-CN"/>
              </w:rPr>
              <w:t>90.46</w:t>
            </w:r>
          </w:p>
        </w:tc>
      </w:tr>
      <w:tr w14:paraId="1F9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1" w:type="pct"/>
            <w:shd w:val="clear" w:color="auto" w:fill="auto"/>
            <w:noWrap/>
            <w:vAlign w:val="center"/>
          </w:tcPr>
          <w:p w14:paraId="2DB20662">
            <w:pPr>
              <w:pStyle w:val="100"/>
              <w:bidi w:val="0"/>
              <w:rPr>
                <w:rFonts w:hint="eastAsia"/>
              </w:rPr>
            </w:pPr>
            <w:r>
              <w:rPr>
                <w:rFonts w:hint="eastAsia"/>
                <w:lang w:val="en-US" w:eastAsia="zh-CN"/>
              </w:rPr>
              <w:t>五</w:t>
            </w:r>
          </w:p>
        </w:tc>
        <w:tc>
          <w:tcPr>
            <w:tcW w:w="975" w:type="pct"/>
            <w:shd w:val="clear" w:color="auto" w:fill="auto"/>
            <w:noWrap/>
            <w:vAlign w:val="center"/>
          </w:tcPr>
          <w:p w14:paraId="46760F10">
            <w:pPr>
              <w:pStyle w:val="100"/>
              <w:bidi w:val="0"/>
              <w:rPr>
                <w:rFonts w:hint="eastAsia"/>
              </w:rPr>
            </w:pPr>
            <w:r>
              <w:rPr>
                <w:rFonts w:hint="eastAsia"/>
                <w:lang w:val="en-US" w:eastAsia="zh-CN"/>
              </w:rPr>
              <w:t>税金</w:t>
            </w:r>
          </w:p>
        </w:tc>
        <w:tc>
          <w:tcPr>
            <w:tcW w:w="450" w:type="pct"/>
            <w:shd w:val="clear" w:color="auto" w:fill="auto"/>
            <w:noWrap/>
            <w:vAlign w:val="center"/>
          </w:tcPr>
          <w:p w14:paraId="2A4030F2">
            <w:pPr>
              <w:pStyle w:val="100"/>
              <w:bidi w:val="0"/>
              <w:rPr>
                <w:rFonts w:hint="default"/>
              </w:rPr>
            </w:pPr>
            <w:r>
              <w:rPr>
                <w:rFonts w:hint="default"/>
                <w:lang w:val="en-US" w:eastAsia="zh-CN"/>
              </w:rPr>
              <w:t>%</w:t>
            </w:r>
          </w:p>
        </w:tc>
        <w:tc>
          <w:tcPr>
            <w:tcW w:w="1291" w:type="dxa"/>
            <w:shd w:val="clear" w:color="auto" w:fill="auto"/>
            <w:noWrap/>
            <w:vAlign w:val="center"/>
          </w:tcPr>
          <w:p w14:paraId="069FFD37">
            <w:pPr>
              <w:pStyle w:val="100"/>
              <w:bidi w:val="0"/>
              <w:rPr>
                <w:rFonts w:hint="default"/>
              </w:rPr>
            </w:pPr>
            <w:r>
              <w:rPr>
                <w:rFonts w:hint="default"/>
                <w:lang w:val="en-US" w:eastAsia="zh-CN"/>
              </w:rPr>
              <w:t>9</w:t>
            </w:r>
          </w:p>
        </w:tc>
        <w:tc>
          <w:tcPr>
            <w:tcW w:w="1612" w:type="dxa"/>
            <w:shd w:val="clear" w:color="auto" w:fill="auto"/>
            <w:noWrap/>
            <w:vAlign w:val="center"/>
          </w:tcPr>
          <w:p w14:paraId="33A15445">
            <w:pPr>
              <w:pStyle w:val="100"/>
              <w:bidi w:val="0"/>
              <w:rPr>
                <w:rFonts w:hint="eastAsia"/>
              </w:rPr>
            </w:pPr>
          </w:p>
        </w:tc>
        <w:tc>
          <w:tcPr>
            <w:tcW w:w="2619" w:type="dxa"/>
            <w:shd w:val="clear" w:color="auto" w:fill="auto"/>
            <w:noWrap/>
            <w:vAlign w:val="center"/>
          </w:tcPr>
          <w:p w14:paraId="5F35F6FA">
            <w:pPr>
              <w:pStyle w:val="100"/>
              <w:bidi w:val="0"/>
              <w:rPr>
                <w:rFonts w:hint="default"/>
                <w:lang w:val="en-US"/>
              </w:rPr>
            </w:pPr>
            <w:r>
              <w:rPr>
                <w:rFonts w:hint="default"/>
                <w:lang w:val="en-US" w:eastAsia="zh-CN"/>
              </w:rPr>
              <w:t>58.36</w:t>
            </w:r>
          </w:p>
        </w:tc>
      </w:tr>
      <w:tr w14:paraId="0BEB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577" w:type="pct"/>
            <w:gridSpan w:val="2"/>
            <w:shd w:val="clear" w:color="auto" w:fill="auto"/>
            <w:noWrap/>
            <w:vAlign w:val="center"/>
          </w:tcPr>
          <w:p w14:paraId="4BCF7351">
            <w:pPr>
              <w:pStyle w:val="100"/>
              <w:bidi w:val="0"/>
              <w:rPr>
                <w:rFonts w:hint="eastAsia"/>
              </w:rPr>
            </w:pPr>
            <w:r>
              <w:rPr>
                <w:rFonts w:hint="eastAsia"/>
                <w:lang w:val="en-US" w:eastAsia="zh-CN"/>
              </w:rPr>
              <w:t>合计</w:t>
            </w:r>
          </w:p>
        </w:tc>
        <w:tc>
          <w:tcPr>
            <w:tcW w:w="450" w:type="pct"/>
            <w:shd w:val="clear" w:color="auto" w:fill="auto"/>
            <w:noWrap/>
            <w:vAlign w:val="center"/>
          </w:tcPr>
          <w:p w14:paraId="7A2720F1">
            <w:pPr>
              <w:pStyle w:val="100"/>
              <w:bidi w:val="0"/>
              <w:rPr>
                <w:rFonts w:hint="default"/>
              </w:rPr>
            </w:pPr>
          </w:p>
        </w:tc>
        <w:tc>
          <w:tcPr>
            <w:tcW w:w="1291" w:type="dxa"/>
            <w:shd w:val="clear" w:color="auto" w:fill="auto"/>
            <w:noWrap/>
            <w:vAlign w:val="center"/>
          </w:tcPr>
          <w:p w14:paraId="390E2194">
            <w:pPr>
              <w:pStyle w:val="100"/>
              <w:bidi w:val="0"/>
              <w:rPr>
                <w:rFonts w:hint="default"/>
              </w:rPr>
            </w:pPr>
          </w:p>
        </w:tc>
        <w:tc>
          <w:tcPr>
            <w:tcW w:w="1612" w:type="dxa"/>
            <w:shd w:val="clear" w:color="auto" w:fill="auto"/>
            <w:noWrap/>
            <w:vAlign w:val="center"/>
          </w:tcPr>
          <w:p w14:paraId="2FC4E58A">
            <w:pPr>
              <w:pStyle w:val="100"/>
              <w:bidi w:val="0"/>
              <w:rPr>
                <w:rFonts w:hint="default"/>
              </w:rPr>
            </w:pPr>
          </w:p>
        </w:tc>
        <w:tc>
          <w:tcPr>
            <w:tcW w:w="2619" w:type="dxa"/>
            <w:shd w:val="clear" w:color="auto" w:fill="auto"/>
            <w:noWrap/>
            <w:vAlign w:val="center"/>
          </w:tcPr>
          <w:p w14:paraId="5DA070B6">
            <w:pPr>
              <w:pStyle w:val="100"/>
              <w:bidi w:val="0"/>
              <w:rPr>
                <w:rFonts w:hint="default"/>
                <w:lang w:val="en-US"/>
              </w:rPr>
            </w:pPr>
            <w:r>
              <w:rPr>
                <w:rFonts w:hint="default"/>
                <w:lang w:val="en-US" w:eastAsia="zh-CN"/>
              </w:rPr>
              <w:t>706.80</w:t>
            </w:r>
          </w:p>
        </w:tc>
      </w:tr>
    </w:tbl>
    <w:p w14:paraId="5B9FEE12">
      <w:pPr>
        <w:pStyle w:val="22"/>
        <w:bidi w:val="0"/>
        <w:rPr>
          <w:rFonts w:hint="eastAsia"/>
        </w:rPr>
      </w:pPr>
      <w:r>
        <w:rPr>
          <w:rFonts w:hint="eastAsia"/>
        </w:rPr>
        <w:t>表7.2-</w:t>
      </w:r>
      <w:r>
        <w:rPr>
          <w:rFonts w:hint="eastAsia"/>
          <w:lang w:val="en-US" w:eastAsia="zh-CN"/>
        </w:rPr>
        <w:t>6</w:t>
      </w:r>
      <w:r>
        <w:rPr>
          <w:rFonts w:hint="eastAsia"/>
        </w:rPr>
        <w:t xml:space="preserve">  主要材料费计算表</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4"/>
        <w:gridCol w:w="524"/>
        <w:gridCol w:w="834"/>
        <w:gridCol w:w="756"/>
        <w:gridCol w:w="983"/>
        <w:gridCol w:w="756"/>
        <w:gridCol w:w="870"/>
        <w:gridCol w:w="1024"/>
        <w:gridCol w:w="983"/>
        <w:gridCol w:w="697"/>
        <w:gridCol w:w="988"/>
      </w:tblGrid>
      <w:tr w14:paraId="4138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465" w:type="pct"/>
            <w:shd w:val="clear" w:color="auto" w:fill="auto"/>
            <w:vAlign w:val="center"/>
          </w:tcPr>
          <w:p w14:paraId="6D41472C">
            <w:pPr>
              <w:pStyle w:val="100"/>
              <w:bidi w:val="0"/>
              <w:rPr>
                <w:sz w:val="20"/>
                <w:szCs w:val="20"/>
              </w:rPr>
            </w:pPr>
            <w:r>
              <w:rPr>
                <w:rFonts w:hint="eastAsia"/>
                <w:sz w:val="20"/>
                <w:szCs w:val="20"/>
                <w:lang w:val="en-US" w:eastAsia="zh-CN"/>
              </w:rPr>
              <w:t>名称</w:t>
            </w:r>
          </w:p>
        </w:tc>
        <w:tc>
          <w:tcPr>
            <w:tcW w:w="282" w:type="pct"/>
            <w:shd w:val="clear" w:color="auto" w:fill="auto"/>
            <w:vAlign w:val="center"/>
          </w:tcPr>
          <w:p w14:paraId="10E3A046">
            <w:pPr>
              <w:pStyle w:val="100"/>
              <w:bidi w:val="0"/>
              <w:rPr>
                <w:rFonts w:hint="eastAsia"/>
                <w:sz w:val="20"/>
                <w:szCs w:val="20"/>
              </w:rPr>
            </w:pPr>
            <w:r>
              <w:rPr>
                <w:rFonts w:hint="eastAsia"/>
                <w:sz w:val="20"/>
                <w:szCs w:val="20"/>
                <w:lang w:val="en-US" w:eastAsia="zh-CN"/>
              </w:rPr>
              <w:t>单位</w:t>
            </w:r>
          </w:p>
        </w:tc>
        <w:tc>
          <w:tcPr>
            <w:tcW w:w="449" w:type="pct"/>
            <w:shd w:val="clear" w:color="auto" w:fill="auto"/>
            <w:vAlign w:val="center"/>
          </w:tcPr>
          <w:p w14:paraId="5E773A8F">
            <w:pPr>
              <w:pStyle w:val="100"/>
              <w:bidi w:val="0"/>
              <w:rPr>
                <w:rFonts w:hint="eastAsia"/>
                <w:sz w:val="20"/>
                <w:szCs w:val="20"/>
              </w:rPr>
            </w:pPr>
            <w:r>
              <w:rPr>
                <w:rFonts w:hint="eastAsia"/>
                <w:sz w:val="20"/>
                <w:szCs w:val="20"/>
                <w:lang w:val="en-US" w:eastAsia="zh-CN"/>
              </w:rPr>
              <w:t>单位毛重（</w:t>
            </w:r>
            <w:r>
              <w:rPr>
                <w:rFonts w:hint="default"/>
                <w:sz w:val="20"/>
                <w:szCs w:val="20"/>
                <w:lang w:val="en-US" w:eastAsia="zh-CN"/>
              </w:rPr>
              <w:t>T</w:t>
            </w:r>
            <w:r>
              <w:rPr>
                <w:rFonts w:hint="eastAsia"/>
                <w:sz w:val="20"/>
                <w:szCs w:val="20"/>
                <w:lang w:val="en-US" w:eastAsia="zh-CN"/>
              </w:rPr>
              <w:t>）</w:t>
            </w:r>
          </w:p>
        </w:tc>
        <w:tc>
          <w:tcPr>
            <w:tcW w:w="407" w:type="pct"/>
            <w:shd w:val="clear" w:color="auto" w:fill="auto"/>
            <w:vAlign w:val="center"/>
          </w:tcPr>
          <w:p w14:paraId="0FF8C14A">
            <w:pPr>
              <w:pStyle w:val="100"/>
              <w:bidi w:val="0"/>
              <w:rPr>
                <w:rFonts w:hint="eastAsia"/>
                <w:sz w:val="20"/>
                <w:szCs w:val="20"/>
              </w:rPr>
            </w:pPr>
            <w:r>
              <w:rPr>
                <w:rFonts w:hint="eastAsia"/>
                <w:sz w:val="20"/>
                <w:szCs w:val="20"/>
                <w:lang w:val="en-US" w:eastAsia="zh-CN"/>
              </w:rPr>
              <w:t>每吨运杂费</w:t>
            </w:r>
          </w:p>
        </w:tc>
        <w:tc>
          <w:tcPr>
            <w:tcW w:w="529" w:type="pct"/>
            <w:shd w:val="clear" w:color="auto" w:fill="auto"/>
            <w:vAlign w:val="center"/>
          </w:tcPr>
          <w:p w14:paraId="7AFC0E26">
            <w:pPr>
              <w:pStyle w:val="100"/>
              <w:bidi w:val="0"/>
              <w:rPr>
                <w:rFonts w:hint="eastAsia"/>
                <w:sz w:val="20"/>
                <w:szCs w:val="20"/>
              </w:rPr>
            </w:pPr>
            <w:r>
              <w:rPr>
                <w:rFonts w:hint="eastAsia"/>
                <w:sz w:val="20"/>
                <w:szCs w:val="20"/>
                <w:lang w:val="en-US" w:eastAsia="zh-CN"/>
              </w:rPr>
              <w:t>原价</w:t>
            </w:r>
          </w:p>
        </w:tc>
        <w:tc>
          <w:tcPr>
            <w:tcW w:w="407" w:type="pct"/>
            <w:shd w:val="clear" w:color="auto" w:fill="auto"/>
            <w:vAlign w:val="center"/>
          </w:tcPr>
          <w:p w14:paraId="00C3FE3B">
            <w:pPr>
              <w:pStyle w:val="100"/>
              <w:bidi w:val="0"/>
              <w:rPr>
                <w:rFonts w:hint="eastAsia"/>
                <w:sz w:val="20"/>
                <w:szCs w:val="20"/>
              </w:rPr>
            </w:pPr>
            <w:r>
              <w:rPr>
                <w:rFonts w:hint="eastAsia"/>
                <w:sz w:val="20"/>
                <w:szCs w:val="20"/>
                <w:lang w:val="en-US" w:eastAsia="zh-CN"/>
              </w:rPr>
              <w:t>运杂费</w:t>
            </w:r>
          </w:p>
        </w:tc>
        <w:tc>
          <w:tcPr>
            <w:tcW w:w="468" w:type="pct"/>
            <w:shd w:val="clear" w:color="auto" w:fill="auto"/>
            <w:vAlign w:val="center"/>
          </w:tcPr>
          <w:p w14:paraId="2925A60F">
            <w:pPr>
              <w:pStyle w:val="100"/>
              <w:bidi w:val="0"/>
              <w:rPr>
                <w:rFonts w:hint="eastAsia"/>
                <w:sz w:val="20"/>
                <w:szCs w:val="20"/>
              </w:rPr>
            </w:pPr>
            <w:r>
              <w:rPr>
                <w:rFonts w:hint="eastAsia"/>
                <w:sz w:val="20"/>
                <w:szCs w:val="20"/>
                <w:lang w:val="en-US" w:eastAsia="zh-CN"/>
              </w:rPr>
              <w:t>采购及保管费</w:t>
            </w:r>
          </w:p>
        </w:tc>
        <w:tc>
          <w:tcPr>
            <w:tcW w:w="551" w:type="pct"/>
            <w:shd w:val="clear" w:color="auto" w:fill="auto"/>
            <w:vAlign w:val="center"/>
          </w:tcPr>
          <w:p w14:paraId="61A8FE21">
            <w:pPr>
              <w:pStyle w:val="100"/>
              <w:bidi w:val="0"/>
              <w:rPr>
                <w:rFonts w:hint="eastAsia"/>
                <w:sz w:val="20"/>
                <w:szCs w:val="20"/>
              </w:rPr>
            </w:pPr>
            <w:r>
              <w:rPr>
                <w:rFonts w:hint="eastAsia"/>
                <w:sz w:val="20"/>
                <w:szCs w:val="20"/>
                <w:lang w:val="en-US" w:eastAsia="zh-CN"/>
              </w:rPr>
              <w:t>到工地价格</w:t>
            </w:r>
          </w:p>
        </w:tc>
        <w:tc>
          <w:tcPr>
            <w:tcW w:w="529" w:type="pct"/>
            <w:shd w:val="clear" w:color="auto" w:fill="auto"/>
            <w:vAlign w:val="center"/>
          </w:tcPr>
          <w:p w14:paraId="6B9BED6E">
            <w:pPr>
              <w:pStyle w:val="100"/>
              <w:bidi w:val="0"/>
              <w:rPr>
                <w:rFonts w:hint="eastAsia"/>
                <w:sz w:val="20"/>
                <w:szCs w:val="20"/>
              </w:rPr>
            </w:pPr>
            <w:r>
              <w:rPr>
                <w:rFonts w:hint="eastAsia"/>
                <w:sz w:val="20"/>
                <w:szCs w:val="20"/>
                <w:lang w:val="en-US" w:eastAsia="zh-CN"/>
              </w:rPr>
              <w:t>价格：元</w:t>
            </w:r>
          </w:p>
        </w:tc>
        <w:tc>
          <w:tcPr>
            <w:tcW w:w="375" w:type="pct"/>
            <w:shd w:val="clear" w:color="auto" w:fill="auto"/>
            <w:vAlign w:val="center"/>
          </w:tcPr>
          <w:p w14:paraId="76C4111B">
            <w:pPr>
              <w:pStyle w:val="100"/>
              <w:bidi w:val="0"/>
              <w:rPr>
                <w:rFonts w:hint="eastAsia"/>
                <w:sz w:val="20"/>
                <w:szCs w:val="20"/>
              </w:rPr>
            </w:pPr>
            <w:r>
              <w:rPr>
                <w:rFonts w:hint="eastAsia"/>
                <w:sz w:val="20"/>
                <w:szCs w:val="20"/>
                <w:lang w:val="en-US" w:eastAsia="zh-CN"/>
              </w:rPr>
              <w:t>限价</w:t>
            </w:r>
          </w:p>
        </w:tc>
        <w:tc>
          <w:tcPr>
            <w:tcW w:w="532" w:type="pct"/>
            <w:shd w:val="clear" w:color="auto" w:fill="auto"/>
            <w:vAlign w:val="center"/>
          </w:tcPr>
          <w:p w14:paraId="1E94284A">
            <w:pPr>
              <w:pStyle w:val="100"/>
              <w:bidi w:val="0"/>
              <w:rPr>
                <w:rFonts w:hint="eastAsia"/>
                <w:sz w:val="20"/>
                <w:szCs w:val="20"/>
              </w:rPr>
            </w:pPr>
            <w:r>
              <w:rPr>
                <w:rFonts w:hint="eastAsia"/>
                <w:sz w:val="20"/>
                <w:szCs w:val="20"/>
                <w:lang w:val="en-US" w:eastAsia="zh-CN"/>
              </w:rPr>
              <w:t>材料价差</w:t>
            </w:r>
          </w:p>
        </w:tc>
      </w:tr>
      <w:tr w14:paraId="34C4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65" w:type="pct"/>
            <w:shd w:val="clear" w:color="auto" w:fill="auto"/>
            <w:vAlign w:val="center"/>
          </w:tcPr>
          <w:p w14:paraId="03D14B05">
            <w:pPr>
              <w:pStyle w:val="100"/>
              <w:bidi w:val="0"/>
              <w:rPr>
                <w:rFonts w:hint="default"/>
                <w:sz w:val="20"/>
                <w:szCs w:val="20"/>
              </w:rPr>
            </w:pPr>
            <w:r>
              <w:rPr>
                <w:rFonts w:hint="default"/>
                <w:sz w:val="20"/>
                <w:szCs w:val="20"/>
                <w:lang w:val="en-US" w:eastAsia="zh-CN"/>
              </w:rPr>
              <w:t>92</w:t>
            </w:r>
            <w:r>
              <w:rPr>
                <w:rFonts w:hint="eastAsia"/>
                <w:sz w:val="20"/>
                <w:szCs w:val="20"/>
                <w:lang w:val="en-US" w:eastAsia="zh-CN"/>
              </w:rPr>
              <w:t>号汽油</w:t>
            </w:r>
          </w:p>
        </w:tc>
        <w:tc>
          <w:tcPr>
            <w:tcW w:w="282" w:type="pct"/>
            <w:shd w:val="clear" w:color="auto" w:fill="auto"/>
            <w:vAlign w:val="center"/>
          </w:tcPr>
          <w:p w14:paraId="2551BD45">
            <w:pPr>
              <w:pStyle w:val="100"/>
              <w:bidi w:val="0"/>
              <w:rPr>
                <w:rFonts w:hint="default"/>
                <w:sz w:val="20"/>
                <w:szCs w:val="20"/>
              </w:rPr>
            </w:pPr>
            <w:r>
              <w:rPr>
                <w:rFonts w:hint="default"/>
                <w:sz w:val="20"/>
                <w:szCs w:val="20"/>
                <w:lang w:val="en-US" w:eastAsia="zh-CN"/>
              </w:rPr>
              <w:t>T</w:t>
            </w:r>
          </w:p>
        </w:tc>
        <w:tc>
          <w:tcPr>
            <w:tcW w:w="449" w:type="pct"/>
            <w:shd w:val="clear" w:color="auto" w:fill="auto"/>
            <w:vAlign w:val="center"/>
          </w:tcPr>
          <w:p w14:paraId="6A577039">
            <w:pPr>
              <w:pStyle w:val="100"/>
              <w:bidi w:val="0"/>
              <w:rPr>
                <w:rFonts w:hint="default"/>
                <w:sz w:val="20"/>
                <w:szCs w:val="20"/>
              </w:rPr>
            </w:pPr>
            <w:r>
              <w:rPr>
                <w:rFonts w:hint="default"/>
                <w:sz w:val="20"/>
                <w:szCs w:val="20"/>
                <w:lang w:val="en-US" w:eastAsia="zh-CN"/>
              </w:rPr>
              <w:t>1</w:t>
            </w:r>
          </w:p>
        </w:tc>
        <w:tc>
          <w:tcPr>
            <w:tcW w:w="756" w:type="dxa"/>
            <w:shd w:val="clear" w:color="auto" w:fill="auto"/>
            <w:vAlign w:val="center"/>
          </w:tcPr>
          <w:p w14:paraId="0A1EA3CA">
            <w:pPr>
              <w:pStyle w:val="100"/>
              <w:bidi w:val="0"/>
              <w:rPr>
                <w:rFonts w:hint="default"/>
                <w:sz w:val="20"/>
                <w:szCs w:val="20"/>
                <w:lang w:val="en-US"/>
              </w:rPr>
            </w:pPr>
            <w:r>
              <w:rPr>
                <w:rFonts w:hint="default"/>
                <w:sz w:val="20"/>
                <w:szCs w:val="20"/>
                <w:lang w:val="en-US" w:eastAsia="zh-CN"/>
              </w:rPr>
              <w:t>6.968</w:t>
            </w:r>
          </w:p>
        </w:tc>
        <w:tc>
          <w:tcPr>
            <w:tcW w:w="983" w:type="dxa"/>
            <w:shd w:val="clear" w:color="auto" w:fill="auto"/>
            <w:vAlign w:val="center"/>
          </w:tcPr>
          <w:p w14:paraId="3579117D">
            <w:pPr>
              <w:pStyle w:val="100"/>
              <w:bidi w:val="0"/>
              <w:rPr>
                <w:rFonts w:hint="default"/>
                <w:sz w:val="20"/>
                <w:szCs w:val="20"/>
              </w:rPr>
            </w:pPr>
            <w:r>
              <w:rPr>
                <w:rFonts w:hint="default"/>
                <w:sz w:val="20"/>
                <w:szCs w:val="20"/>
                <w:lang w:val="en-US" w:eastAsia="zh-CN"/>
              </w:rPr>
              <w:t xml:space="preserve">8691.00 </w:t>
            </w:r>
          </w:p>
        </w:tc>
        <w:tc>
          <w:tcPr>
            <w:tcW w:w="756" w:type="dxa"/>
            <w:shd w:val="clear" w:color="auto" w:fill="auto"/>
            <w:vAlign w:val="center"/>
          </w:tcPr>
          <w:p w14:paraId="4B97FF22">
            <w:pPr>
              <w:pStyle w:val="100"/>
              <w:bidi w:val="0"/>
              <w:rPr>
                <w:rFonts w:hint="default"/>
                <w:sz w:val="20"/>
                <w:szCs w:val="20"/>
                <w:lang w:val="en-US"/>
              </w:rPr>
            </w:pPr>
            <w:r>
              <w:rPr>
                <w:rFonts w:hint="default"/>
                <w:sz w:val="20"/>
                <w:szCs w:val="20"/>
                <w:lang w:val="en-US" w:eastAsia="zh-CN"/>
              </w:rPr>
              <w:t>6.968</w:t>
            </w:r>
          </w:p>
        </w:tc>
        <w:tc>
          <w:tcPr>
            <w:tcW w:w="870" w:type="dxa"/>
            <w:shd w:val="clear" w:color="auto" w:fill="auto"/>
            <w:vAlign w:val="center"/>
          </w:tcPr>
          <w:p w14:paraId="64A479FC">
            <w:pPr>
              <w:pStyle w:val="100"/>
              <w:bidi w:val="0"/>
              <w:rPr>
                <w:rFonts w:hint="default"/>
                <w:sz w:val="20"/>
                <w:szCs w:val="20"/>
                <w:lang w:val="en-US"/>
              </w:rPr>
            </w:pPr>
            <w:r>
              <w:rPr>
                <w:rFonts w:hint="default"/>
                <w:sz w:val="20"/>
                <w:szCs w:val="20"/>
                <w:lang w:val="en-US" w:eastAsia="zh-CN"/>
              </w:rPr>
              <w:t>188.75</w:t>
            </w:r>
          </w:p>
        </w:tc>
        <w:tc>
          <w:tcPr>
            <w:tcW w:w="1024" w:type="dxa"/>
            <w:shd w:val="clear" w:color="auto" w:fill="auto"/>
            <w:vAlign w:val="center"/>
          </w:tcPr>
          <w:p w14:paraId="0C5C2ABF">
            <w:pPr>
              <w:pStyle w:val="100"/>
              <w:bidi w:val="0"/>
              <w:rPr>
                <w:rFonts w:hint="default"/>
                <w:sz w:val="20"/>
                <w:szCs w:val="20"/>
                <w:lang w:val="en-US"/>
              </w:rPr>
            </w:pPr>
            <w:r>
              <w:rPr>
                <w:rFonts w:hint="default"/>
                <w:sz w:val="20"/>
                <w:szCs w:val="20"/>
                <w:lang w:val="en-US" w:eastAsia="zh-CN"/>
              </w:rPr>
              <w:t>8697.97</w:t>
            </w:r>
          </w:p>
        </w:tc>
        <w:tc>
          <w:tcPr>
            <w:tcW w:w="983" w:type="dxa"/>
            <w:shd w:val="clear" w:color="auto" w:fill="auto"/>
            <w:vAlign w:val="center"/>
          </w:tcPr>
          <w:p w14:paraId="76410A4F">
            <w:pPr>
              <w:pStyle w:val="100"/>
              <w:bidi w:val="0"/>
              <w:rPr>
                <w:rFonts w:hint="default"/>
                <w:sz w:val="20"/>
                <w:szCs w:val="20"/>
                <w:lang w:val="en-US"/>
              </w:rPr>
            </w:pPr>
            <w:r>
              <w:rPr>
                <w:rFonts w:hint="default"/>
                <w:sz w:val="20"/>
                <w:szCs w:val="20"/>
                <w:lang w:val="en-US" w:eastAsia="zh-CN"/>
              </w:rPr>
              <w:t>8886.71</w:t>
            </w:r>
          </w:p>
        </w:tc>
        <w:tc>
          <w:tcPr>
            <w:tcW w:w="697" w:type="dxa"/>
            <w:shd w:val="clear" w:color="auto" w:fill="auto"/>
            <w:vAlign w:val="center"/>
          </w:tcPr>
          <w:p w14:paraId="6995D289">
            <w:pPr>
              <w:pStyle w:val="100"/>
              <w:bidi w:val="0"/>
              <w:rPr>
                <w:rFonts w:hint="default"/>
                <w:sz w:val="20"/>
                <w:szCs w:val="20"/>
              </w:rPr>
            </w:pPr>
            <w:r>
              <w:rPr>
                <w:rFonts w:hint="default"/>
                <w:sz w:val="20"/>
                <w:szCs w:val="20"/>
                <w:lang w:val="en-US" w:eastAsia="zh-CN"/>
              </w:rPr>
              <w:t>5000</w:t>
            </w:r>
          </w:p>
        </w:tc>
        <w:tc>
          <w:tcPr>
            <w:tcW w:w="988" w:type="dxa"/>
            <w:shd w:val="clear" w:color="auto" w:fill="auto"/>
            <w:vAlign w:val="center"/>
          </w:tcPr>
          <w:p w14:paraId="6CB0608F">
            <w:pPr>
              <w:pStyle w:val="100"/>
              <w:bidi w:val="0"/>
              <w:rPr>
                <w:rFonts w:hint="default"/>
                <w:sz w:val="20"/>
                <w:szCs w:val="20"/>
                <w:lang w:val="en-US"/>
              </w:rPr>
            </w:pPr>
            <w:r>
              <w:rPr>
                <w:rFonts w:hint="default"/>
                <w:sz w:val="20"/>
                <w:szCs w:val="20"/>
                <w:lang w:val="en-US" w:eastAsia="zh-CN"/>
              </w:rPr>
              <w:t>3886.71</w:t>
            </w:r>
          </w:p>
        </w:tc>
      </w:tr>
      <w:tr w14:paraId="1726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65" w:type="pct"/>
            <w:shd w:val="clear" w:color="auto" w:fill="auto"/>
            <w:vAlign w:val="center"/>
          </w:tcPr>
          <w:p w14:paraId="7A706C3D">
            <w:pPr>
              <w:pStyle w:val="100"/>
              <w:bidi w:val="0"/>
              <w:rPr>
                <w:rFonts w:hint="default"/>
                <w:sz w:val="20"/>
                <w:szCs w:val="20"/>
              </w:rPr>
            </w:pPr>
            <w:r>
              <w:rPr>
                <w:rFonts w:hint="default"/>
                <w:sz w:val="20"/>
                <w:szCs w:val="20"/>
                <w:lang w:val="en-US" w:eastAsia="zh-CN"/>
              </w:rPr>
              <w:t>0</w:t>
            </w:r>
            <w:r>
              <w:rPr>
                <w:rFonts w:hint="eastAsia"/>
                <w:sz w:val="20"/>
                <w:szCs w:val="20"/>
                <w:lang w:val="en-US" w:eastAsia="zh-CN"/>
              </w:rPr>
              <w:t>号柴油</w:t>
            </w:r>
          </w:p>
        </w:tc>
        <w:tc>
          <w:tcPr>
            <w:tcW w:w="282" w:type="pct"/>
            <w:shd w:val="clear" w:color="auto" w:fill="auto"/>
            <w:vAlign w:val="center"/>
          </w:tcPr>
          <w:p w14:paraId="06F9A02D">
            <w:pPr>
              <w:pStyle w:val="100"/>
              <w:bidi w:val="0"/>
              <w:rPr>
                <w:rFonts w:hint="default"/>
                <w:sz w:val="20"/>
                <w:szCs w:val="20"/>
              </w:rPr>
            </w:pPr>
            <w:r>
              <w:rPr>
                <w:rFonts w:hint="default"/>
                <w:sz w:val="20"/>
                <w:szCs w:val="20"/>
                <w:lang w:val="en-US" w:eastAsia="zh-CN"/>
              </w:rPr>
              <w:t>T</w:t>
            </w:r>
          </w:p>
        </w:tc>
        <w:tc>
          <w:tcPr>
            <w:tcW w:w="449" w:type="pct"/>
            <w:shd w:val="clear" w:color="auto" w:fill="auto"/>
            <w:vAlign w:val="center"/>
          </w:tcPr>
          <w:p w14:paraId="474936FD">
            <w:pPr>
              <w:pStyle w:val="100"/>
              <w:bidi w:val="0"/>
              <w:rPr>
                <w:rFonts w:hint="default"/>
                <w:sz w:val="20"/>
                <w:szCs w:val="20"/>
              </w:rPr>
            </w:pPr>
            <w:r>
              <w:rPr>
                <w:rFonts w:hint="default"/>
                <w:sz w:val="20"/>
                <w:szCs w:val="20"/>
                <w:lang w:val="en-US" w:eastAsia="zh-CN"/>
              </w:rPr>
              <w:t>1</w:t>
            </w:r>
          </w:p>
        </w:tc>
        <w:tc>
          <w:tcPr>
            <w:tcW w:w="756" w:type="dxa"/>
            <w:shd w:val="clear" w:color="auto" w:fill="auto"/>
            <w:vAlign w:val="center"/>
          </w:tcPr>
          <w:p w14:paraId="52BC505E">
            <w:pPr>
              <w:pStyle w:val="100"/>
              <w:bidi w:val="0"/>
              <w:rPr>
                <w:rFonts w:hint="default"/>
                <w:sz w:val="20"/>
                <w:szCs w:val="20"/>
                <w:lang w:val="en-US"/>
              </w:rPr>
            </w:pPr>
            <w:r>
              <w:rPr>
                <w:rFonts w:hint="default"/>
                <w:sz w:val="20"/>
                <w:szCs w:val="20"/>
                <w:lang w:val="en-US" w:eastAsia="zh-CN"/>
              </w:rPr>
              <w:t>6.968</w:t>
            </w:r>
          </w:p>
        </w:tc>
        <w:tc>
          <w:tcPr>
            <w:tcW w:w="983" w:type="dxa"/>
            <w:shd w:val="clear" w:color="auto" w:fill="auto"/>
            <w:vAlign w:val="center"/>
          </w:tcPr>
          <w:p w14:paraId="315B5711">
            <w:pPr>
              <w:pStyle w:val="100"/>
              <w:bidi w:val="0"/>
              <w:rPr>
                <w:rFonts w:hint="default"/>
                <w:sz w:val="20"/>
                <w:szCs w:val="20"/>
              </w:rPr>
            </w:pPr>
            <w:r>
              <w:rPr>
                <w:rFonts w:hint="default"/>
                <w:sz w:val="20"/>
                <w:szCs w:val="20"/>
                <w:lang w:val="en-US" w:eastAsia="zh-CN"/>
              </w:rPr>
              <w:t xml:space="preserve">7173.00 </w:t>
            </w:r>
          </w:p>
        </w:tc>
        <w:tc>
          <w:tcPr>
            <w:tcW w:w="756" w:type="dxa"/>
            <w:shd w:val="clear" w:color="auto" w:fill="auto"/>
            <w:vAlign w:val="center"/>
          </w:tcPr>
          <w:p w14:paraId="6E27629D">
            <w:pPr>
              <w:pStyle w:val="100"/>
              <w:bidi w:val="0"/>
              <w:rPr>
                <w:rFonts w:hint="default"/>
                <w:sz w:val="20"/>
                <w:szCs w:val="20"/>
              </w:rPr>
            </w:pPr>
            <w:r>
              <w:rPr>
                <w:rFonts w:hint="default"/>
                <w:sz w:val="20"/>
                <w:szCs w:val="20"/>
                <w:lang w:val="en-US" w:eastAsia="zh-CN"/>
              </w:rPr>
              <w:t>6.968</w:t>
            </w:r>
          </w:p>
        </w:tc>
        <w:tc>
          <w:tcPr>
            <w:tcW w:w="870" w:type="dxa"/>
            <w:shd w:val="clear" w:color="auto" w:fill="auto"/>
            <w:vAlign w:val="center"/>
          </w:tcPr>
          <w:p w14:paraId="4E782E9E">
            <w:pPr>
              <w:pStyle w:val="100"/>
              <w:bidi w:val="0"/>
              <w:rPr>
                <w:rFonts w:hint="default"/>
                <w:sz w:val="20"/>
                <w:szCs w:val="20"/>
                <w:lang w:val="en-US"/>
              </w:rPr>
            </w:pPr>
            <w:r>
              <w:rPr>
                <w:rFonts w:hint="default"/>
                <w:sz w:val="20"/>
                <w:szCs w:val="20"/>
                <w:lang w:val="en-US" w:eastAsia="zh-CN"/>
              </w:rPr>
              <w:t>155.81</w:t>
            </w:r>
          </w:p>
        </w:tc>
        <w:tc>
          <w:tcPr>
            <w:tcW w:w="1024" w:type="dxa"/>
            <w:shd w:val="clear" w:color="auto" w:fill="auto"/>
            <w:vAlign w:val="center"/>
          </w:tcPr>
          <w:p w14:paraId="0CF7ABCC">
            <w:pPr>
              <w:pStyle w:val="100"/>
              <w:bidi w:val="0"/>
              <w:rPr>
                <w:rFonts w:hint="default"/>
                <w:sz w:val="20"/>
                <w:szCs w:val="20"/>
                <w:lang w:val="en-US"/>
              </w:rPr>
            </w:pPr>
            <w:r>
              <w:rPr>
                <w:rFonts w:hint="default"/>
                <w:sz w:val="20"/>
                <w:szCs w:val="20"/>
                <w:lang w:val="en-US" w:eastAsia="zh-CN"/>
              </w:rPr>
              <w:t>7179.97</w:t>
            </w:r>
          </w:p>
        </w:tc>
        <w:tc>
          <w:tcPr>
            <w:tcW w:w="983" w:type="dxa"/>
            <w:shd w:val="clear" w:color="auto" w:fill="auto"/>
            <w:vAlign w:val="center"/>
          </w:tcPr>
          <w:p w14:paraId="6E233CEA">
            <w:pPr>
              <w:pStyle w:val="100"/>
              <w:bidi w:val="0"/>
              <w:rPr>
                <w:rFonts w:hint="default"/>
                <w:sz w:val="20"/>
                <w:szCs w:val="20"/>
                <w:lang w:val="en-US"/>
              </w:rPr>
            </w:pPr>
            <w:r>
              <w:rPr>
                <w:rFonts w:hint="default"/>
                <w:sz w:val="20"/>
                <w:szCs w:val="20"/>
                <w:lang w:val="en-US" w:eastAsia="zh-CN"/>
              </w:rPr>
              <w:t>7335.77</w:t>
            </w:r>
          </w:p>
        </w:tc>
        <w:tc>
          <w:tcPr>
            <w:tcW w:w="697" w:type="dxa"/>
            <w:shd w:val="clear" w:color="auto" w:fill="auto"/>
            <w:vAlign w:val="center"/>
          </w:tcPr>
          <w:p w14:paraId="2E43D0A8">
            <w:pPr>
              <w:pStyle w:val="100"/>
              <w:bidi w:val="0"/>
              <w:rPr>
                <w:rFonts w:hint="default"/>
                <w:sz w:val="20"/>
                <w:szCs w:val="20"/>
              </w:rPr>
            </w:pPr>
            <w:r>
              <w:rPr>
                <w:rFonts w:hint="default"/>
                <w:sz w:val="20"/>
                <w:szCs w:val="20"/>
                <w:lang w:val="en-US" w:eastAsia="zh-CN"/>
              </w:rPr>
              <w:t>4500</w:t>
            </w:r>
          </w:p>
        </w:tc>
        <w:tc>
          <w:tcPr>
            <w:tcW w:w="988" w:type="dxa"/>
            <w:shd w:val="clear" w:color="auto" w:fill="auto"/>
            <w:vAlign w:val="center"/>
          </w:tcPr>
          <w:p w14:paraId="42AB1462">
            <w:pPr>
              <w:pStyle w:val="100"/>
              <w:bidi w:val="0"/>
              <w:rPr>
                <w:rFonts w:hint="default"/>
                <w:sz w:val="20"/>
                <w:szCs w:val="20"/>
                <w:lang w:val="en-US"/>
              </w:rPr>
            </w:pPr>
            <w:r>
              <w:rPr>
                <w:rFonts w:hint="default"/>
                <w:sz w:val="20"/>
                <w:szCs w:val="20"/>
                <w:lang w:val="en-US" w:eastAsia="zh-CN"/>
              </w:rPr>
              <w:t>2835.77</w:t>
            </w:r>
          </w:p>
        </w:tc>
      </w:tr>
    </w:tbl>
    <w:p w14:paraId="44E34A31">
      <w:pPr>
        <w:pStyle w:val="22"/>
        <w:bidi w:val="0"/>
        <w:rPr>
          <w:rFonts w:hint="eastAsia"/>
          <w:lang w:eastAsia="zh-CN"/>
        </w:rPr>
      </w:pPr>
      <w:r>
        <w:rPr>
          <w:lang w:eastAsia="zh-CN"/>
        </w:rPr>
        <w:t>表7.2-</w:t>
      </w:r>
      <w:r>
        <w:rPr>
          <w:rFonts w:hint="eastAsia"/>
          <w:lang w:val="en-US" w:eastAsia="zh-CN"/>
        </w:rPr>
        <w:t>7</w:t>
      </w:r>
      <w:r>
        <w:rPr>
          <w:lang w:eastAsia="zh-CN"/>
        </w:rPr>
        <w:t xml:space="preserve">  </w:t>
      </w:r>
      <w:r>
        <w:rPr>
          <w:rFonts w:hint="eastAsia"/>
          <w:lang w:eastAsia="zh-CN"/>
        </w:rPr>
        <w:t>主要材料运杂费计算表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7"/>
        <w:gridCol w:w="1006"/>
        <w:gridCol w:w="513"/>
        <w:gridCol w:w="1329"/>
        <w:gridCol w:w="850"/>
        <w:gridCol w:w="1276"/>
        <w:gridCol w:w="710"/>
        <w:gridCol w:w="2126"/>
        <w:gridCol w:w="863"/>
      </w:tblGrid>
      <w:tr w14:paraId="4D5A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4" w:type="pct"/>
            <w:tcMar>
              <w:top w:w="15" w:type="dxa"/>
              <w:left w:w="15" w:type="dxa"/>
              <w:right w:w="15" w:type="dxa"/>
            </w:tcMar>
            <w:vAlign w:val="center"/>
          </w:tcPr>
          <w:p w14:paraId="72867110">
            <w:pPr>
              <w:pStyle w:val="100"/>
              <w:bidi w:val="0"/>
              <w:rPr>
                <w:rFonts w:hint="eastAsia"/>
                <w:lang w:eastAsia="zh-CN"/>
              </w:rPr>
            </w:pPr>
            <w:r>
              <w:rPr>
                <w:rFonts w:hint="eastAsia"/>
                <w:lang w:eastAsia="zh-CN"/>
              </w:rPr>
              <w:t>编号</w:t>
            </w:r>
          </w:p>
        </w:tc>
        <w:tc>
          <w:tcPr>
            <w:tcW w:w="552" w:type="pct"/>
            <w:tcMar>
              <w:top w:w="15" w:type="dxa"/>
              <w:left w:w="15" w:type="dxa"/>
              <w:right w:w="15" w:type="dxa"/>
            </w:tcMar>
            <w:vAlign w:val="center"/>
          </w:tcPr>
          <w:p w14:paraId="105C4C10">
            <w:pPr>
              <w:pStyle w:val="100"/>
              <w:bidi w:val="0"/>
              <w:rPr>
                <w:rFonts w:hint="eastAsia"/>
                <w:lang w:eastAsia="zh-CN"/>
              </w:rPr>
            </w:pPr>
            <w:r>
              <w:rPr>
                <w:rFonts w:hint="eastAsia"/>
                <w:lang w:eastAsia="zh-CN"/>
              </w:rPr>
              <w:t>材料名称</w:t>
            </w:r>
          </w:p>
        </w:tc>
        <w:tc>
          <w:tcPr>
            <w:tcW w:w="281" w:type="pct"/>
            <w:tcMar>
              <w:top w:w="15" w:type="dxa"/>
              <w:left w:w="15" w:type="dxa"/>
              <w:right w:w="15" w:type="dxa"/>
            </w:tcMar>
            <w:vAlign w:val="center"/>
          </w:tcPr>
          <w:p w14:paraId="1999D5EB">
            <w:pPr>
              <w:pStyle w:val="100"/>
              <w:bidi w:val="0"/>
              <w:rPr>
                <w:rFonts w:hint="eastAsia"/>
                <w:lang w:eastAsia="zh-CN"/>
              </w:rPr>
            </w:pPr>
            <w:r>
              <w:rPr>
                <w:rFonts w:hint="eastAsia"/>
                <w:lang w:eastAsia="zh-CN"/>
              </w:rPr>
              <w:t>单位</w:t>
            </w:r>
          </w:p>
        </w:tc>
        <w:tc>
          <w:tcPr>
            <w:tcW w:w="730" w:type="pct"/>
            <w:tcMar>
              <w:top w:w="15" w:type="dxa"/>
              <w:left w:w="15" w:type="dxa"/>
              <w:right w:w="15" w:type="dxa"/>
            </w:tcMar>
            <w:vAlign w:val="center"/>
          </w:tcPr>
          <w:p w14:paraId="7E8139A1">
            <w:pPr>
              <w:pStyle w:val="100"/>
              <w:bidi w:val="0"/>
              <w:rPr>
                <w:rFonts w:hint="eastAsia"/>
                <w:lang w:eastAsia="zh-CN"/>
              </w:rPr>
            </w:pPr>
            <w:r>
              <w:rPr>
                <w:rFonts w:hint="eastAsia"/>
                <w:lang w:eastAsia="zh-CN"/>
              </w:rPr>
              <w:t>运输起止地点</w:t>
            </w:r>
          </w:p>
        </w:tc>
        <w:tc>
          <w:tcPr>
            <w:tcW w:w="467" w:type="pct"/>
            <w:tcMar>
              <w:top w:w="15" w:type="dxa"/>
              <w:left w:w="15" w:type="dxa"/>
              <w:right w:w="15" w:type="dxa"/>
            </w:tcMar>
            <w:vAlign w:val="center"/>
          </w:tcPr>
          <w:p w14:paraId="1731BA1C">
            <w:pPr>
              <w:pStyle w:val="100"/>
              <w:bidi w:val="0"/>
              <w:rPr>
                <w:rFonts w:hint="eastAsia"/>
                <w:lang w:eastAsia="zh-CN"/>
              </w:rPr>
            </w:pPr>
            <w:r>
              <w:rPr>
                <w:rFonts w:hint="eastAsia"/>
                <w:lang w:eastAsia="zh-CN"/>
              </w:rPr>
              <w:t>运输</w:t>
            </w:r>
          </w:p>
          <w:p w14:paraId="5FC293A4">
            <w:pPr>
              <w:pStyle w:val="100"/>
              <w:bidi w:val="0"/>
              <w:rPr>
                <w:rFonts w:hint="eastAsia"/>
                <w:lang w:eastAsia="zh-CN"/>
              </w:rPr>
            </w:pPr>
            <w:r>
              <w:rPr>
                <w:rFonts w:hint="eastAsia"/>
                <w:lang w:eastAsia="zh-CN"/>
              </w:rPr>
              <w:t>距离（km）</w:t>
            </w:r>
          </w:p>
        </w:tc>
        <w:tc>
          <w:tcPr>
            <w:tcW w:w="701" w:type="pct"/>
            <w:tcMar>
              <w:top w:w="15" w:type="dxa"/>
              <w:left w:w="15" w:type="dxa"/>
              <w:right w:w="15" w:type="dxa"/>
            </w:tcMar>
            <w:vAlign w:val="center"/>
          </w:tcPr>
          <w:p w14:paraId="1418EBCF">
            <w:pPr>
              <w:pStyle w:val="100"/>
              <w:bidi w:val="0"/>
              <w:rPr>
                <w:rFonts w:hint="eastAsia"/>
                <w:lang w:eastAsia="zh-CN"/>
              </w:rPr>
            </w:pPr>
            <w:r>
              <w:rPr>
                <w:rFonts w:hint="eastAsia"/>
                <w:lang w:eastAsia="zh-CN"/>
              </w:rPr>
              <w:t>运率</w:t>
            </w:r>
          </w:p>
          <w:p w14:paraId="5AA8D363">
            <w:pPr>
              <w:pStyle w:val="100"/>
              <w:bidi w:val="0"/>
              <w:rPr>
                <w:rFonts w:hint="eastAsia"/>
                <w:lang w:eastAsia="zh-CN"/>
              </w:rPr>
            </w:pPr>
            <w:r>
              <w:rPr>
                <w:rFonts w:hint="eastAsia"/>
                <w:lang w:eastAsia="zh-CN"/>
              </w:rPr>
              <w:t>（元/吨·km）</w:t>
            </w:r>
          </w:p>
        </w:tc>
        <w:tc>
          <w:tcPr>
            <w:tcW w:w="390" w:type="pct"/>
            <w:tcMar>
              <w:top w:w="15" w:type="dxa"/>
              <w:left w:w="15" w:type="dxa"/>
              <w:right w:w="15" w:type="dxa"/>
            </w:tcMar>
            <w:vAlign w:val="center"/>
          </w:tcPr>
          <w:p w14:paraId="1FAED367">
            <w:pPr>
              <w:pStyle w:val="100"/>
              <w:bidi w:val="0"/>
              <w:rPr>
                <w:rFonts w:hint="eastAsia"/>
                <w:lang w:eastAsia="zh-CN"/>
              </w:rPr>
            </w:pPr>
            <w:r>
              <w:rPr>
                <w:rFonts w:hint="eastAsia"/>
                <w:lang w:eastAsia="zh-CN"/>
              </w:rPr>
              <w:t>装卸费（元）</w:t>
            </w:r>
          </w:p>
        </w:tc>
        <w:tc>
          <w:tcPr>
            <w:tcW w:w="1168" w:type="pct"/>
            <w:tcMar>
              <w:top w:w="15" w:type="dxa"/>
              <w:left w:w="15" w:type="dxa"/>
              <w:right w:w="15" w:type="dxa"/>
            </w:tcMar>
            <w:vAlign w:val="center"/>
          </w:tcPr>
          <w:p w14:paraId="70608474">
            <w:pPr>
              <w:pStyle w:val="100"/>
              <w:bidi w:val="0"/>
              <w:rPr>
                <w:rFonts w:hint="eastAsia"/>
                <w:lang w:eastAsia="zh-CN"/>
              </w:rPr>
            </w:pPr>
            <w:r>
              <w:rPr>
                <w:rFonts w:hint="eastAsia"/>
                <w:lang w:eastAsia="zh-CN"/>
              </w:rPr>
              <w:t>每吨运杂费计算公式</w:t>
            </w:r>
          </w:p>
        </w:tc>
        <w:tc>
          <w:tcPr>
            <w:tcW w:w="474" w:type="pct"/>
            <w:tcMar>
              <w:top w:w="15" w:type="dxa"/>
              <w:left w:w="15" w:type="dxa"/>
              <w:right w:w="15" w:type="dxa"/>
            </w:tcMar>
            <w:vAlign w:val="center"/>
          </w:tcPr>
          <w:p w14:paraId="07025E08">
            <w:pPr>
              <w:pStyle w:val="100"/>
              <w:bidi w:val="0"/>
              <w:rPr>
                <w:rFonts w:hint="eastAsia"/>
                <w:lang w:eastAsia="zh-CN"/>
              </w:rPr>
            </w:pPr>
            <w:r>
              <w:rPr>
                <w:rFonts w:hint="eastAsia"/>
                <w:lang w:eastAsia="zh-CN"/>
              </w:rPr>
              <w:t>每吨运杂费（元）</w:t>
            </w:r>
          </w:p>
        </w:tc>
      </w:tr>
      <w:tr w14:paraId="1C89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4" w:type="pct"/>
            <w:noWrap/>
            <w:tcMar>
              <w:top w:w="15" w:type="dxa"/>
              <w:left w:w="15" w:type="dxa"/>
              <w:right w:w="15" w:type="dxa"/>
            </w:tcMar>
            <w:vAlign w:val="center"/>
          </w:tcPr>
          <w:p w14:paraId="2E0FE959">
            <w:pPr>
              <w:pStyle w:val="100"/>
              <w:bidi w:val="0"/>
              <w:rPr>
                <w:rFonts w:hint="eastAsia"/>
                <w:lang w:eastAsia="zh-CN"/>
              </w:rPr>
            </w:pPr>
            <w:r>
              <w:rPr>
                <w:rFonts w:hint="eastAsia"/>
                <w:lang w:val="en-US" w:eastAsia="zh-CN"/>
              </w:rPr>
              <w:t>1</w:t>
            </w:r>
          </w:p>
        </w:tc>
        <w:tc>
          <w:tcPr>
            <w:tcW w:w="552" w:type="pct"/>
            <w:noWrap/>
            <w:tcMar>
              <w:top w:w="15" w:type="dxa"/>
              <w:left w:w="15" w:type="dxa"/>
              <w:right w:w="15" w:type="dxa"/>
            </w:tcMar>
            <w:vAlign w:val="center"/>
          </w:tcPr>
          <w:p w14:paraId="0F69D78C">
            <w:pPr>
              <w:pStyle w:val="100"/>
              <w:bidi w:val="0"/>
              <w:rPr>
                <w:rFonts w:hint="eastAsia"/>
                <w:lang w:eastAsia="zh-CN"/>
              </w:rPr>
            </w:pPr>
            <w:r>
              <w:rPr>
                <w:rFonts w:hint="eastAsia"/>
                <w:lang w:eastAsia="zh-CN"/>
              </w:rPr>
              <w:t>汽油</w:t>
            </w:r>
          </w:p>
        </w:tc>
        <w:tc>
          <w:tcPr>
            <w:tcW w:w="281" w:type="pct"/>
            <w:noWrap/>
            <w:tcMar>
              <w:top w:w="15" w:type="dxa"/>
              <w:left w:w="15" w:type="dxa"/>
              <w:right w:w="15" w:type="dxa"/>
            </w:tcMar>
            <w:vAlign w:val="center"/>
          </w:tcPr>
          <w:p w14:paraId="2BDBB9BE">
            <w:pPr>
              <w:pStyle w:val="100"/>
              <w:bidi w:val="0"/>
              <w:rPr>
                <w:rFonts w:hint="eastAsia"/>
                <w:lang w:eastAsia="zh-CN"/>
              </w:rPr>
            </w:pPr>
            <w:r>
              <w:rPr>
                <w:rFonts w:hint="eastAsia"/>
                <w:lang w:eastAsia="zh-CN"/>
              </w:rPr>
              <w:t>t</w:t>
            </w:r>
          </w:p>
        </w:tc>
        <w:tc>
          <w:tcPr>
            <w:tcW w:w="730" w:type="pct"/>
            <w:noWrap/>
            <w:tcMar>
              <w:top w:w="15" w:type="dxa"/>
              <w:left w:w="15" w:type="dxa"/>
              <w:right w:w="15" w:type="dxa"/>
            </w:tcMar>
            <w:vAlign w:val="center"/>
          </w:tcPr>
          <w:p w14:paraId="126FC56C">
            <w:pPr>
              <w:pStyle w:val="100"/>
              <w:bidi w:val="0"/>
              <w:rPr>
                <w:rFonts w:hint="eastAsia"/>
                <w:lang w:eastAsia="zh-CN"/>
              </w:rPr>
            </w:pPr>
            <w:r>
              <w:rPr>
                <w:rFonts w:hint="eastAsia"/>
                <w:lang w:val="en-US" w:eastAsia="zh-CN"/>
              </w:rPr>
              <w:t>加油站</w:t>
            </w:r>
            <w:r>
              <w:rPr>
                <w:rFonts w:hint="eastAsia"/>
                <w:lang w:eastAsia="zh-CN"/>
              </w:rPr>
              <w:t>至项目区</w:t>
            </w:r>
          </w:p>
        </w:tc>
        <w:tc>
          <w:tcPr>
            <w:tcW w:w="850" w:type="dxa"/>
            <w:noWrap/>
            <w:tcMar>
              <w:top w:w="15" w:type="dxa"/>
              <w:left w:w="15" w:type="dxa"/>
              <w:right w:w="15" w:type="dxa"/>
            </w:tcMar>
            <w:vAlign w:val="center"/>
          </w:tcPr>
          <w:p w14:paraId="7319C646">
            <w:pPr>
              <w:pStyle w:val="100"/>
              <w:bidi w:val="0"/>
              <w:rPr>
                <w:rFonts w:hint="default"/>
                <w:lang w:val="en-US" w:eastAsia="zh-CN"/>
              </w:rPr>
            </w:pPr>
            <w:r>
              <w:rPr>
                <w:rFonts w:hint="eastAsia"/>
                <w:lang w:val="en-US" w:eastAsia="zh-CN"/>
              </w:rPr>
              <w:t>4</w:t>
            </w:r>
          </w:p>
        </w:tc>
        <w:tc>
          <w:tcPr>
            <w:tcW w:w="1276" w:type="dxa"/>
            <w:noWrap/>
            <w:tcMar>
              <w:top w:w="15" w:type="dxa"/>
              <w:left w:w="15" w:type="dxa"/>
              <w:right w:w="15" w:type="dxa"/>
            </w:tcMar>
            <w:vAlign w:val="center"/>
          </w:tcPr>
          <w:p w14:paraId="41836456">
            <w:pPr>
              <w:pStyle w:val="100"/>
              <w:bidi w:val="0"/>
              <w:rPr>
                <w:rFonts w:hint="default"/>
                <w:lang w:val="en-US" w:eastAsia="zh-CN"/>
              </w:rPr>
            </w:pPr>
            <w:r>
              <w:rPr>
                <w:rFonts w:hint="eastAsia"/>
                <w:lang w:val="en-US" w:eastAsia="zh-CN"/>
              </w:rPr>
              <w:t>1.742</w:t>
            </w:r>
          </w:p>
        </w:tc>
        <w:tc>
          <w:tcPr>
            <w:tcW w:w="390" w:type="pct"/>
            <w:noWrap/>
            <w:tcMar>
              <w:top w:w="15" w:type="dxa"/>
              <w:left w:w="15" w:type="dxa"/>
              <w:right w:w="15" w:type="dxa"/>
            </w:tcMar>
            <w:vAlign w:val="center"/>
          </w:tcPr>
          <w:p w14:paraId="16D49287">
            <w:pPr>
              <w:pStyle w:val="100"/>
              <w:bidi w:val="0"/>
              <w:rPr>
                <w:rFonts w:hint="eastAsia"/>
                <w:lang w:eastAsia="zh-CN"/>
              </w:rPr>
            </w:pPr>
          </w:p>
        </w:tc>
        <w:tc>
          <w:tcPr>
            <w:tcW w:w="1168" w:type="pct"/>
            <w:noWrap/>
            <w:tcMar>
              <w:top w:w="15" w:type="dxa"/>
              <w:left w:w="15" w:type="dxa"/>
              <w:right w:w="15" w:type="dxa"/>
            </w:tcMar>
            <w:vAlign w:val="center"/>
          </w:tcPr>
          <w:p w14:paraId="04AFC1B4">
            <w:pPr>
              <w:pStyle w:val="100"/>
              <w:bidi w:val="0"/>
              <w:rPr>
                <w:rFonts w:hint="eastAsia"/>
                <w:lang w:eastAsia="zh-CN"/>
              </w:rPr>
            </w:pPr>
            <w:r>
              <w:rPr>
                <w:rFonts w:hint="eastAsia"/>
                <w:lang w:eastAsia="zh-CN"/>
              </w:rPr>
              <w:t>（运输距离×运率）+装卸费</w:t>
            </w:r>
          </w:p>
        </w:tc>
        <w:tc>
          <w:tcPr>
            <w:tcW w:w="474" w:type="pct"/>
            <w:noWrap/>
            <w:tcMar>
              <w:top w:w="15" w:type="dxa"/>
              <w:left w:w="15" w:type="dxa"/>
              <w:right w:w="15" w:type="dxa"/>
            </w:tcMar>
            <w:vAlign w:val="center"/>
          </w:tcPr>
          <w:p w14:paraId="06AE0F1B">
            <w:pPr>
              <w:pStyle w:val="100"/>
              <w:bidi w:val="0"/>
              <w:rPr>
                <w:rFonts w:hint="default"/>
                <w:lang w:val="en-US" w:eastAsia="zh-CN"/>
              </w:rPr>
            </w:pPr>
            <w:r>
              <w:rPr>
                <w:rFonts w:hint="eastAsia"/>
                <w:lang w:val="en-US" w:eastAsia="zh-CN"/>
              </w:rPr>
              <w:t>6.968</w:t>
            </w:r>
          </w:p>
        </w:tc>
      </w:tr>
      <w:tr w14:paraId="7F05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4" w:type="pct"/>
            <w:noWrap/>
            <w:tcMar>
              <w:top w:w="15" w:type="dxa"/>
              <w:left w:w="15" w:type="dxa"/>
              <w:right w:w="15" w:type="dxa"/>
            </w:tcMar>
            <w:vAlign w:val="center"/>
          </w:tcPr>
          <w:p w14:paraId="1799B484">
            <w:pPr>
              <w:pStyle w:val="100"/>
              <w:bidi w:val="0"/>
              <w:rPr>
                <w:rFonts w:hint="eastAsia"/>
                <w:lang w:eastAsia="zh-CN"/>
              </w:rPr>
            </w:pPr>
            <w:r>
              <w:rPr>
                <w:rFonts w:hint="eastAsia"/>
                <w:lang w:val="en-US" w:eastAsia="zh-CN"/>
              </w:rPr>
              <w:t>2</w:t>
            </w:r>
          </w:p>
        </w:tc>
        <w:tc>
          <w:tcPr>
            <w:tcW w:w="552" w:type="pct"/>
            <w:noWrap/>
            <w:tcMar>
              <w:top w:w="15" w:type="dxa"/>
              <w:left w:w="15" w:type="dxa"/>
              <w:right w:w="15" w:type="dxa"/>
            </w:tcMar>
            <w:vAlign w:val="center"/>
          </w:tcPr>
          <w:p w14:paraId="1B7EEA9E">
            <w:pPr>
              <w:pStyle w:val="100"/>
              <w:bidi w:val="0"/>
              <w:rPr>
                <w:rFonts w:hint="eastAsia"/>
                <w:lang w:eastAsia="zh-CN"/>
              </w:rPr>
            </w:pPr>
            <w:r>
              <w:rPr>
                <w:rFonts w:hint="eastAsia"/>
                <w:lang w:eastAsia="zh-CN"/>
              </w:rPr>
              <w:t>柴油</w:t>
            </w:r>
          </w:p>
        </w:tc>
        <w:tc>
          <w:tcPr>
            <w:tcW w:w="281" w:type="pct"/>
            <w:noWrap/>
            <w:tcMar>
              <w:top w:w="15" w:type="dxa"/>
              <w:left w:w="15" w:type="dxa"/>
              <w:right w:w="15" w:type="dxa"/>
            </w:tcMar>
            <w:vAlign w:val="center"/>
          </w:tcPr>
          <w:p w14:paraId="79B74ABB">
            <w:pPr>
              <w:pStyle w:val="100"/>
              <w:bidi w:val="0"/>
              <w:rPr>
                <w:rFonts w:hint="eastAsia"/>
                <w:lang w:eastAsia="zh-CN"/>
              </w:rPr>
            </w:pPr>
            <w:r>
              <w:rPr>
                <w:rFonts w:hint="eastAsia"/>
                <w:lang w:eastAsia="zh-CN"/>
              </w:rPr>
              <w:t>t</w:t>
            </w:r>
          </w:p>
        </w:tc>
        <w:tc>
          <w:tcPr>
            <w:tcW w:w="1329" w:type="dxa"/>
            <w:noWrap/>
            <w:tcMar>
              <w:top w:w="15" w:type="dxa"/>
              <w:left w:w="15" w:type="dxa"/>
              <w:right w:w="15" w:type="dxa"/>
            </w:tcMar>
            <w:vAlign w:val="center"/>
          </w:tcPr>
          <w:p w14:paraId="45E68EBF">
            <w:pPr>
              <w:pStyle w:val="100"/>
              <w:bidi w:val="0"/>
              <w:ind w:firstLine="0" w:firstLineChars="0"/>
              <w:rPr>
                <w:rFonts w:hint="eastAsia"/>
                <w:lang w:eastAsia="zh-CN"/>
              </w:rPr>
            </w:pPr>
            <w:r>
              <w:rPr>
                <w:rFonts w:hint="eastAsia"/>
                <w:lang w:val="en-US" w:eastAsia="zh-CN"/>
              </w:rPr>
              <w:t>加油站</w:t>
            </w:r>
            <w:r>
              <w:rPr>
                <w:rFonts w:hint="eastAsia"/>
                <w:lang w:eastAsia="zh-CN"/>
              </w:rPr>
              <w:t>至项目区</w:t>
            </w:r>
          </w:p>
        </w:tc>
        <w:tc>
          <w:tcPr>
            <w:tcW w:w="850" w:type="dxa"/>
            <w:noWrap/>
            <w:tcMar>
              <w:top w:w="15" w:type="dxa"/>
              <w:left w:w="15" w:type="dxa"/>
              <w:right w:w="15" w:type="dxa"/>
            </w:tcMar>
            <w:vAlign w:val="center"/>
          </w:tcPr>
          <w:p w14:paraId="5C5F1CAF">
            <w:pPr>
              <w:pStyle w:val="100"/>
              <w:bidi w:val="0"/>
              <w:ind w:firstLine="0" w:firstLineChars="0"/>
              <w:rPr>
                <w:rFonts w:hint="default"/>
                <w:lang w:val="en-US" w:eastAsia="zh-CN"/>
              </w:rPr>
            </w:pPr>
            <w:r>
              <w:rPr>
                <w:rFonts w:hint="eastAsia"/>
                <w:lang w:val="en-US" w:eastAsia="zh-CN"/>
              </w:rPr>
              <w:t>4</w:t>
            </w:r>
          </w:p>
        </w:tc>
        <w:tc>
          <w:tcPr>
            <w:tcW w:w="1276" w:type="dxa"/>
            <w:noWrap/>
            <w:tcMar>
              <w:top w:w="15" w:type="dxa"/>
              <w:left w:w="15" w:type="dxa"/>
              <w:right w:w="15" w:type="dxa"/>
            </w:tcMar>
            <w:vAlign w:val="center"/>
          </w:tcPr>
          <w:p w14:paraId="4896D2CC">
            <w:pPr>
              <w:pStyle w:val="100"/>
              <w:bidi w:val="0"/>
              <w:ind w:firstLine="0" w:firstLineChars="0"/>
              <w:rPr>
                <w:rFonts w:hint="eastAsia"/>
                <w:lang w:eastAsia="zh-CN"/>
              </w:rPr>
            </w:pPr>
            <w:r>
              <w:rPr>
                <w:rFonts w:hint="eastAsia"/>
                <w:lang w:val="en-US" w:eastAsia="zh-CN"/>
              </w:rPr>
              <w:t>1.742</w:t>
            </w:r>
          </w:p>
        </w:tc>
        <w:tc>
          <w:tcPr>
            <w:tcW w:w="710" w:type="dxa"/>
            <w:noWrap/>
            <w:tcMar>
              <w:top w:w="15" w:type="dxa"/>
              <w:left w:w="15" w:type="dxa"/>
              <w:right w:w="15" w:type="dxa"/>
            </w:tcMar>
            <w:vAlign w:val="center"/>
          </w:tcPr>
          <w:p w14:paraId="56CE9E32">
            <w:pPr>
              <w:pStyle w:val="100"/>
              <w:bidi w:val="0"/>
              <w:ind w:firstLine="0" w:firstLineChars="0"/>
              <w:rPr>
                <w:rFonts w:hint="eastAsia"/>
                <w:lang w:eastAsia="zh-CN"/>
              </w:rPr>
            </w:pPr>
          </w:p>
        </w:tc>
        <w:tc>
          <w:tcPr>
            <w:tcW w:w="2126" w:type="dxa"/>
            <w:noWrap/>
            <w:tcMar>
              <w:top w:w="15" w:type="dxa"/>
              <w:left w:w="15" w:type="dxa"/>
              <w:right w:w="15" w:type="dxa"/>
            </w:tcMar>
            <w:vAlign w:val="center"/>
          </w:tcPr>
          <w:p w14:paraId="0983E98A">
            <w:pPr>
              <w:pStyle w:val="100"/>
              <w:bidi w:val="0"/>
              <w:ind w:firstLine="0" w:firstLineChars="0"/>
              <w:rPr>
                <w:rFonts w:hint="eastAsia"/>
                <w:lang w:eastAsia="zh-CN"/>
              </w:rPr>
            </w:pPr>
            <w:r>
              <w:rPr>
                <w:rFonts w:hint="eastAsia"/>
                <w:lang w:eastAsia="zh-CN"/>
              </w:rPr>
              <w:t>（运输距离×运率）+装卸费</w:t>
            </w:r>
          </w:p>
        </w:tc>
        <w:tc>
          <w:tcPr>
            <w:tcW w:w="863" w:type="dxa"/>
            <w:noWrap/>
            <w:tcMar>
              <w:top w:w="15" w:type="dxa"/>
              <w:left w:w="15" w:type="dxa"/>
              <w:right w:w="15" w:type="dxa"/>
            </w:tcMar>
            <w:vAlign w:val="center"/>
          </w:tcPr>
          <w:p w14:paraId="471C5EB4">
            <w:pPr>
              <w:pStyle w:val="100"/>
              <w:bidi w:val="0"/>
              <w:ind w:firstLine="0" w:firstLineChars="0"/>
              <w:rPr>
                <w:rFonts w:hint="default"/>
                <w:lang w:val="en-US" w:eastAsia="zh-CN"/>
              </w:rPr>
            </w:pPr>
            <w:r>
              <w:rPr>
                <w:rFonts w:hint="eastAsia"/>
                <w:lang w:val="en-US" w:eastAsia="zh-CN"/>
              </w:rPr>
              <w:t>6.968</w:t>
            </w:r>
          </w:p>
        </w:tc>
      </w:tr>
    </w:tbl>
    <w:p w14:paraId="5F6F069E">
      <w:pPr>
        <w:pStyle w:val="22"/>
        <w:bidi w:val="0"/>
        <w:rPr>
          <w:lang w:eastAsia="zh-CN"/>
        </w:rPr>
      </w:pPr>
      <w:r>
        <w:rPr>
          <w:lang w:eastAsia="zh-CN"/>
        </w:rPr>
        <w:t>表7.2</w:t>
      </w:r>
      <w:r>
        <w:rPr>
          <w:rFonts w:hint="eastAsia"/>
          <w:lang w:eastAsia="zh-CN"/>
        </w:rPr>
        <w:t>-</w:t>
      </w:r>
      <w:r>
        <w:rPr>
          <w:rFonts w:hint="eastAsia"/>
          <w:lang w:val="en-US" w:eastAsia="zh-CN"/>
        </w:rPr>
        <w:t xml:space="preserve">8 </w:t>
      </w:r>
      <w:r>
        <w:rPr>
          <w:rFonts w:hint="eastAsia"/>
          <w:lang w:eastAsia="zh-CN"/>
        </w:rPr>
        <w:t xml:space="preserve">  监测</w:t>
      </w:r>
    </w:p>
    <w:tbl>
      <w:tblPr>
        <w:tblStyle w:val="88"/>
        <w:tblW w:w="50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0"/>
        <w:gridCol w:w="1373"/>
        <w:gridCol w:w="1809"/>
        <w:gridCol w:w="1712"/>
        <w:gridCol w:w="546"/>
        <w:gridCol w:w="670"/>
        <w:gridCol w:w="891"/>
        <w:gridCol w:w="756"/>
        <w:gridCol w:w="893"/>
      </w:tblGrid>
      <w:tr w14:paraId="7621F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7" w:type="pct"/>
            <w:shd w:val="clear" w:color="auto" w:fill="auto"/>
            <w:noWrap/>
            <w:vAlign w:val="center"/>
          </w:tcPr>
          <w:p w14:paraId="6BF375DB">
            <w:pPr>
              <w:pStyle w:val="100"/>
              <w:bidi w:val="0"/>
              <w:rPr>
                <w:rFonts w:hint="eastAsia"/>
                <w:lang w:eastAsia="zh-CN"/>
              </w:rPr>
            </w:pPr>
            <w:r>
              <w:rPr>
                <w:rFonts w:hint="eastAsia"/>
                <w:lang w:eastAsia="zh-CN"/>
              </w:rPr>
              <w:t>序号</w:t>
            </w:r>
          </w:p>
        </w:tc>
        <w:tc>
          <w:tcPr>
            <w:tcW w:w="754" w:type="pct"/>
            <w:shd w:val="clear" w:color="auto" w:fill="auto"/>
            <w:noWrap/>
            <w:vAlign w:val="center"/>
          </w:tcPr>
          <w:p w14:paraId="2EC62879">
            <w:pPr>
              <w:pStyle w:val="100"/>
              <w:bidi w:val="0"/>
              <w:rPr>
                <w:rFonts w:hint="eastAsia"/>
                <w:lang w:eastAsia="zh-CN"/>
              </w:rPr>
            </w:pPr>
            <w:r>
              <w:rPr>
                <w:rFonts w:hint="eastAsia"/>
                <w:lang w:eastAsia="zh-CN"/>
              </w:rPr>
              <w:t>定额编号</w:t>
            </w:r>
          </w:p>
        </w:tc>
        <w:tc>
          <w:tcPr>
            <w:tcW w:w="1933" w:type="pct"/>
            <w:gridSpan w:val="2"/>
            <w:shd w:val="clear" w:color="auto" w:fill="auto"/>
            <w:noWrap/>
            <w:vAlign w:val="center"/>
          </w:tcPr>
          <w:p w14:paraId="64645772">
            <w:pPr>
              <w:pStyle w:val="100"/>
              <w:bidi w:val="0"/>
              <w:rPr>
                <w:rFonts w:hint="eastAsia"/>
                <w:lang w:eastAsia="zh-CN"/>
              </w:rPr>
            </w:pPr>
            <w:r>
              <w:rPr>
                <w:rFonts w:hint="eastAsia"/>
                <w:lang w:eastAsia="zh-CN"/>
              </w:rPr>
              <w:t>工程名称</w:t>
            </w:r>
          </w:p>
        </w:tc>
        <w:tc>
          <w:tcPr>
            <w:tcW w:w="300" w:type="pct"/>
            <w:shd w:val="clear" w:color="auto" w:fill="auto"/>
            <w:noWrap/>
            <w:vAlign w:val="center"/>
          </w:tcPr>
          <w:p w14:paraId="172A1D8D">
            <w:pPr>
              <w:pStyle w:val="100"/>
              <w:bidi w:val="0"/>
              <w:rPr>
                <w:rFonts w:hint="eastAsia"/>
                <w:lang w:eastAsia="zh-CN"/>
              </w:rPr>
            </w:pPr>
            <w:r>
              <w:rPr>
                <w:rFonts w:hint="eastAsia"/>
                <w:lang w:eastAsia="zh-CN"/>
              </w:rPr>
              <w:t>单位</w:t>
            </w:r>
          </w:p>
        </w:tc>
        <w:tc>
          <w:tcPr>
            <w:tcW w:w="368" w:type="pct"/>
            <w:shd w:val="clear" w:color="auto" w:fill="auto"/>
            <w:noWrap/>
            <w:vAlign w:val="center"/>
          </w:tcPr>
          <w:p w14:paraId="05B67A9B">
            <w:pPr>
              <w:pStyle w:val="100"/>
              <w:bidi w:val="0"/>
              <w:rPr>
                <w:rFonts w:hint="eastAsia"/>
                <w:lang w:eastAsia="zh-CN"/>
              </w:rPr>
            </w:pPr>
            <w:r>
              <w:rPr>
                <w:rFonts w:hint="eastAsia"/>
                <w:lang w:eastAsia="zh-CN"/>
              </w:rPr>
              <w:t>工程量</w:t>
            </w:r>
          </w:p>
        </w:tc>
        <w:tc>
          <w:tcPr>
            <w:tcW w:w="489" w:type="pct"/>
            <w:shd w:val="clear" w:color="auto" w:fill="auto"/>
            <w:noWrap/>
            <w:vAlign w:val="center"/>
          </w:tcPr>
          <w:p w14:paraId="10A113BB">
            <w:pPr>
              <w:pStyle w:val="100"/>
              <w:bidi w:val="0"/>
              <w:rPr>
                <w:rFonts w:hint="eastAsia"/>
                <w:lang w:eastAsia="zh-CN"/>
              </w:rPr>
            </w:pPr>
            <w:r>
              <w:rPr>
                <w:rFonts w:hint="eastAsia"/>
                <w:lang w:eastAsia="zh-CN"/>
              </w:rPr>
              <w:t>综合单价</w:t>
            </w:r>
          </w:p>
          <w:p w14:paraId="4F34B5AB">
            <w:pPr>
              <w:pStyle w:val="100"/>
              <w:bidi w:val="0"/>
              <w:rPr>
                <w:rFonts w:hint="eastAsia"/>
                <w:lang w:eastAsia="zh-CN"/>
              </w:rPr>
            </w:pPr>
            <w:r>
              <w:rPr>
                <w:rFonts w:hint="eastAsia"/>
                <w:lang w:eastAsia="zh-CN"/>
              </w:rPr>
              <w:t>（元）</w:t>
            </w:r>
          </w:p>
        </w:tc>
        <w:tc>
          <w:tcPr>
            <w:tcW w:w="415" w:type="pct"/>
            <w:shd w:val="clear" w:color="auto" w:fill="auto"/>
            <w:noWrap/>
            <w:vAlign w:val="center"/>
          </w:tcPr>
          <w:p w14:paraId="1E65AD7B">
            <w:pPr>
              <w:pStyle w:val="100"/>
              <w:bidi w:val="0"/>
              <w:rPr>
                <w:rFonts w:hint="eastAsia"/>
                <w:lang w:eastAsia="zh-CN"/>
              </w:rPr>
            </w:pPr>
            <w:r>
              <w:rPr>
                <w:rFonts w:hint="eastAsia"/>
                <w:lang w:eastAsia="zh-CN"/>
              </w:rPr>
              <w:t>小计</w:t>
            </w:r>
          </w:p>
          <w:p w14:paraId="6D6A768E">
            <w:pPr>
              <w:pStyle w:val="100"/>
              <w:bidi w:val="0"/>
              <w:rPr>
                <w:rFonts w:hint="eastAsia"/>
                <w:lang w:eastAsia="zh-CN"/>
              </w:rPr>
            </w:pPr>
            <w:r>
              <w:rPr>
                <w:rFonts w:hint="eastAsia"/>
                <w:lang w:eastAsia="zh-CN"/>
              </w:rPr>
              <w:t>（元）</w:t>
            </w:r>
          </w:p>
        </w:tc>
        <w:tc>
          <w:tcPr>
            <w:tcW w:w="490" w:type="pct"/>
            <w:shd w:val="clear" w:color="auto" w:fill="auto"/>
            <w:noWrap/>
            <w:vAlign w:val="center"/>
          </w:tcPr>
          <w:p w14:paraId="3C0207DE">
            <w:pPr>
              <w:pStyle w:val="100"/>
              <w:bidi w:val="0"/>
              <w:rPr>
                <w:rFonts w:hint="eastAsia"/>
                <w:lang w:eastAsia="zh-CN"/>
              </w:rPr>
            </w:pPr>
            <w:r>
              <w:rPr>
                <w:rFonts w:hint="eastAsia"/>
                <w:lang w:eastAsia="zh-CN"/>
              </w:rPr>
              <w:t>小计</w:t>
            </w:r>
          </w:p>
          <w:p w14:paraId="00587C10">
            <w:pPr>
              <w:pStyle w:val="100"/>
              <w:bidi w:val="0"/>
              <w:rPr>
                <w:rFonts w:hint="eastAsia"/>
                <w:lang w:eastAsia="zh-CN"/>
              </w:rPr>
            </w:pPr>
            <w:r>
              <w:rPr>
                <w:rFonts w:hint="eastAsia"/>
                <w:lang w:eastAsia="zh-CN"/>
              </w:rPr>
              <w:t>（万元）</w:t>
            </w:r>
          </w:p>
        </w:tc>
      </w:tr>
      <w:tr w14:paraId="315C2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7" w:type="pct"/>
            <w:shd w:val="clear" w:color="auto" w:fill="auto"/>
            <w:noWrap/>
            <w:vAlign w:val="center"/>
          </w:tcPr>
          <w:p w14:paraId="09B66364">
            <w:pPr>
              <w:pStyle w:val="100"/>
              <w:bidi w:val="0"/>
              <w:rPr>
                <w:rFonts w:hint="eastAsia"/>
                <w:lang w:eastAsia="zh-CN"/>
              </w:rPr>
            </w:pPr>
            <w:r>
              <w:rPr>
                <w:rFonts w:hint="eastAsia"/>
                <w:lang w:eastAsia="zh-CN"/>
              </w:rPr>
              <w:t>一</w:t>
            </w:r>
          </w:p>
        </w:tc>
        <w:tc>
          <w:tcPr>
            <w:tcW w:w="754" w:type="pct"/>
            <w:shd w:val="clear" w:color="auto" w:fill="auto"/>
            <w:noWrap/>
            <w:vAlign w:val="center"/>
          </w:tcPr>
          <w:p w14:paraId="6BA75FBA">
            <w:pPr>
              <w:pStyle w:val="100"/>
              <w:bidi w:val="0"/>
              <w:rPr>
                <w:rFonts w:hint="eastAsia"/>
                <w:lang w:eastAsia="zh-CN"/>
              </w:rPr>
            </w:pPr>
          </w:p>
        </w:tc>
        <w:tc>
          <w:tcPr>
            <w:tcW w:w="1933" w:type="pct"/>
            <w:gridSpan w:val="2"/>
            <w:shd w:val="clear" w:color="auto" w:fill="auto"/>
            <w:noWrap/>
            <w:vAlign w:val="center"/>
          </w:tcPr>
          <w:p w14:paraId="6BEB2B16">
            <w:pPr>
              <w:pStyle w:val="100"/>
              <w:bidi w:val="0"/>
              <w:rPr>
                <w:rFonts w:hint="eastAsia"/>
                <w:lang w:eastAsia="zh-CN"/>
              </w:rPr>
            </w:pPr>
            <w:r>
              <w:rPr>
                <w:rFonts w:hint="eastAsia"/>
                <w:lang w:eastAsia="zh-CN"/>
              </w:rPr>
              <w:t>监测工程</w:t>
            </w:r>
          </w:p>
        </w:tc>
        <w:tc>
          <w:tcPr>
            <w:tcW w:w="300" w:type="pct"/>
            <w:shd w:val="clear" w:color="auto" w:fill="auto"/>
            <w:noWrap/>
            <w:vAlign w:val="center"/>
          </w:tcPr>
          <w:p w14:paraId="705E88DE">
            <w:pPr>
              <w:pStyle w:val="100"/>
              <w:bidi w:val="0"/>
              <w:rPr>
                <w:rFonts w:hint="eastAsia"/>
                <w:lang w:eastAsia="zh-CN"/>
              </w:rPr>
            </w:pPr>
          </w:p>
        </w:tc>
        <w:tc>
          <w:tcPr>
            <w:tcW w:w="368" w:type="pct"/>
            <w:shd w:val="clear" w:color="auto" w:fill="auto"/>
            <w:noWrap/>
            <w:vAlign w:val="center"/>
          </w:tcPr>
          <w:p w14:paraId="396C0F75">
            <w:pPr>
              <w:pStyle w:val="100"/>
              <w:bidi w:val="0"/>
              <w:rPr>
                <w:rFonts w:hint="eastAsia"/>
                <w:lang w:eastAsia="zh-CN"/>
              </w:rPr>
            </w:pPr>
          </w:p>
        </w:tc>
        <w:tc>
          <w:tcPr>
            <w:tcW w:w="489" w:type="pct"/>
            <w:shd w:val="clear" w:color="auto" w:fill="auto"/>
            <w:noWrap/>
            <w:vAlign w:val="center"/>
          </w:tcPr>
          <w:p w14:paraId="61F01300">
            <w:pPr>
              <w:pStyle w:val="100"/>
              <w:bidi w:val="0"/>
              <w:rPr>
                <w:rFonts w:hint="eastAsia"/>
                <w:lang w:eastAsia="zh-CN"/>
              </w:rPr>
            </w:pPr>
          </w:p>
        </w:tc>
        <w:tc>
          <w:tcPr>
            <w:tcW w:w="415" w:type="pct"/>
            <w:shd w:val="clear" w:color="auto" w:fill="auto"/>
            <w:noWrap/>
            <w:vAlign w:val="center"/>
          </w:tcPr>
          <w:p w14:paraId="08331DFE">
            <w:pPr>
              <w:pStyle w:val="100"/>
              <w:bidi w:val="0"/>
              <w:rPr>
                <w:rFonts w:hint="default"/>
                <w:lang w:val="en-US" w:eastAsia="zh-CN"/>
              </w:rPr>
            </w:pPr>
          </w:p>
        </w:tc>
        <w:tc>
          <w:tcPr>
            <w:tcW w:w="490" w:type="pct"/>
            <w:shd w:val="clear" w:color="auto" w:fill="auto"/>
            <w:noWrap/>
            <w:vAlign w:val="center"/>
          </w:tcPr>
          <w:p w14:paraId="676D2D64">
            <w:pPr>
              <w:pStyle w:val="100"/>
              <w:bidi w:val="0"/>
              <w:rPr>
                <w:rFonts w:hint="default"/>
                <w:lang w:val="en-US" w:eastAsia="zh-CN"/>
              </w:rPr>
            </w:pPr>
            <w:r>
              <w:rPr>
                <w:rFonts w:hint="eastAsia"/>
                <w:lang w:val="en-US" w:eastAsia="zh-CN"/>
              </w:rPr>
              <w:t>0.3200</w:t>
            </w:r>
          </w:p>
        </w:tc>
      </w:tr>
      <w:tr w14:paraId="7872E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7" w:type="pct"/>
            <w:shd w:val="clear" w:color="auto" w:fill="auto"/>
            <w:noWrap/>
            <w:vAlign w:val="center"/>
          </w:tcPr>
          <w:p w14:paraId="1952ADE8">
            <w:pPr>
              <w:pStyle w:val="100"/>
              <w:bidi w:val="0"/>
              <w:rPr>
                <w:rFonts w:hint="eastAsia"/>
                <w:lang w:eastAsia="zh-CN"/>
              </w:rPr>
            </w:pPr>
            <w:r>
              <w:rPr>
                <w:rFonts w:hint="eastAsia"/>
                <w:lang w:eastAsia="zh-CN"/>
              </w:rPr>
              <w:t>1</w:t>
            </w:r>
          </w:p>
        </w:tc>
        <w:tc>
          <w:tcPr>
            <w:tcW w:w="754" w:type="pct"/>
            <w:shd w:val="clear" w:color="auto" w:fill="auto"/>
            <w:noWrap/>
            <w:vAlign w:val="center"/>
          </w:tcPr>
          <w:p w14:paraId="105969B0">
            <w:pPr>
              <w:pStyle w:val="100"/>
              <w:bidi w:val="0"/>
              <w:rPr>
                <w:rFonts w:hint="eastAsia"/>
                <w:lang w:eastAsia="zh-CN"/>
              </w:rPr>
            </w:pPr>
            <w:r>
              <w:rPr>
                <w:rFonts w:hint="eastAsia"/>
                <w:lang w:eastAsia="zh-CN"/>
              </w:rPr>
              <w:t>按市场</w:t>
            </w:r>
          </w:p>
        </w:tc>
        <w:tc>
          <w:tcPr>
            <w:tcW w:w="993" w:type="pct"/>
            <w:shd w:val="clear" w:color="auto" w:fill="auto"/>
            <w:noWrap/>
            <w:vAlign w:val="center"/>
          </w:tcPr>
          <w:p w14:paraId="3ED63665">
            <w:pPr>
              <w:pStyle w:val="100"/>
              <w:bidi w:val="0"/>
              <w:rPr>
                <w:rFonts w:hint="eastAsia"/>
                <w:lang w:eastAsia="zh-CN"/>
              </w:rPr>
            </w:pPr>
            <w:r>
              <w:rPr>
                <w:rFonts w:hint="eastAsia"/>
                <w:lang w:eastAsia="zh-CN"/>
              </w:rPr>
              <w:t>土地损毁监测</w:t>
            </w:r>
          </w:p>
        </w:tc>
        <w:tc>
          <w:tcPr>
            <w:tcW w:w="939" w:type="pct"/>
            <w:shd w:val="clear" w:color="auto" w:fill="auto"/>
            <w:vAlign w:val="center"/>
          </w:tcPr>
          <w:p w14:paraId="17F23782">
            <w:pPr>
              <w:pStyle w:val="100"/>
              <w:bidi w:val="0"/>
              <w:rPr>
                <w:rFonts w:hint="eastAsia"/>
                <w:lang w:eastAsia="zh-CN"/>
              </w:rPr>
            </w:pPr>
            <w:r>
              <w:rPr>
                <w:rFonts w:hint="eastAsia"/>
                <w:lang w:eastAsia="zh-CN"/>
              </w:rPr>
              <w:t>土地损毁情况调查</w:t>
            </w:r>
          </w:p>
        </w:tc>
        <w:tc>
          <w:tcPr>
            <w:tcW w:w="300" w:type="pct"/>
            <w:shd w:val="clear" w:color="auto" w:fill="auto"/>
            <w:noWrap/>
            <w:vAlign w:val="center"/>
          </w:tcPr>
          <w:p w14:paraId="3FA6BBBE">
            <w:pPr>
              <w:pStyle w:val="100"/>
              <w:bidi w:val="0"/>
              <w:rPr>
                <w:rFonts w:hint="eastAsia"/>
                <w:lang w:eastAsia="zh-CN"/>
              </w:rPr>
            </w:pPr>
            <w:r>
              <w:rPr>
                <w:rFonts w:hint="eastAsia"/>
                <w:lang w:eastAsia="zh-CN"/>
              </w:rPr>
              <w:t>次</w:t>
            </w:r>
          </w:p>
        </w:tc>
        <w:tc>
          <w:tcPr>
            <w:tcW w:w="368" w:type="pct"/>
            <w:shd w:val="clear" w:color="auto" w:fill="auto"/>
            <w:noWrap/>
            <w:vAlign w:val="center"/>
          </w:tcPr>
          <w:p w14:paraId="538AF92E">
            <w:pPr>
              <w:pStyle w:val="100"/>
              <w:bidi w:val="0"/>
              <w:rPr>
                <w:rFonts w:hint="default"/>
                <w:lang w:val="en-US" w:eastAsia="zh-CN"/>
              </w:rPr>
            </w:pPr>
            <w:r>
              <w:rPr>
                <w:rFonts w:hint="eastAsia"/>
                <w:lang w:val="en-US" w:eastAsia="zh-CN"/>
              </w:rPr>
              <w:t>8</w:t>
            </w:r>
          </w:p>
        </w:tc>
        <w:tc>
          <w:tcPr>
            <w:tcW w:w="489" w:type="pct"/>
            <w:shd w:val="clear" w:color="auto" w:fill="auto"/>
            <w:noWrap/>
            <w:vAlign w:val="center"/>
          </w:tcPr>
          <w:p w14:paraId="0559D23F">
            <w:pPr>
              <w:pStyle w:val="100"/>
              <w:bidi w:val="0"/>
              <w:rPr>
                <w:rFonts w:hint="eastAsia"/>
                <w:lang w:eastAsia="zh-CN"/>
              </w:rPr>
            </w:pPr>
            <w:r>
              <w:rPr>
                <w:rFonts w:hint="eastAsia"/>
                <w:lang w:val="en-US" w:eastAsia="zh-CN"/>
              </w:rPr>
              <w:t>4</w:t>
            </w:r>
            <w:r>
              <w:rPr>
                <w:rFonts w:hint="eastAsia"/>
                <w:lang w:eastAsia="zh-CN"/>
              </w:rPr>
              <w:t>00.00</w:t>
            </w:r>
          </w:p>
        </w:tc>
        <w:tc>
          <w:tcPr>
            <w:tcW w:w="415" w:type="pct"/>
            <w:shd w:val="clear" w:color="auto" w:fill="auto"/>
            <w:noWrap/>
            <w:vAlign w:val="center"/>
          </w:tcPr>
          <w:p w14:paraId="0E2CDDEC">
            <w:pPr>
              <w:pStyle w:val="100"/>
              <w:bidi w:val="0"/>
              <w:rPr>
                <w:rFonts w:hint="default"/>
                <w:lang w:val="en-US" w:eastAsia="zh-CN"/>
              </w:rPr>
            </w:pPr>
            <w:r>
              <w:rPr>
                <w:rFonts w:hint="eastAsia"/>
                <w:lang w:val="en-US" w:eastAsia="zh-CN"/>
              </w:rPr>
              <w:t>3200</w:t>
            </w:r>
          </w:p>
        </w:tc>
        <w:tc>
          <w:tcPr>
            <w:tcW w:w="490" w:type="pct"/>
            <w:shd w:val="clear" w:color="auto" w:fill="auto"/>
            <w:noWrap/>
            <w:vAlign w:val="center"/>
          </w:tcPr>
          <w:p w14:paraId="0798FB40">
            <w:pPr>
              <w:pStyle w:val="100"/>
              <w:bidi w:val="0"/>
              <w:rPr>
                <w:rFonts w:hint="default"/>
                <w:lang w:val="en-US" w:eastAsia="zh-CN"/>
              </w:rPr>
            </w:pPr>
            <w:r>
              <w:rPr>
                <w:rFonts w:hint="eastAsia"/>
                <w:lang w:val="en-US" w:eastAsia="zh-CN"/>
              </w:rPr>
              <w:t>0.3200</w:t>
            </w:r>
          </w:p>
        </w:tc>
      </w:tr>
    </w:tbl>
    <w:p w14:paraId="291D8887">
      <w:pPr>
        <w:widowControl/>
        <w:spacing w:line="312" w:lineRule="exact"/>
        <w:ind w:firstLine="0" w:firstLineChars="0"/>
        <w:jc w:val="center"/>
        <w:textAlignment w:val="center"/>
        <w:rPr>
          <w:color w:val="000000"/>
          <w:sz w:val="21"/>
          <w:szCs w:val="21"/>
          <w:lang w:eastAsia="zh-CN" w:bidi="ar"/>
        </w:rPr>
      </w:pPr>
    </w:p>
    <w:p w14:paraId="2CBC6A2B">
      <w:pPr>
        <w:widowControl/>
        <w:spacing w:line="312" w:lineRule="exact"/>
        <w:ind w:firstLine="0" w:firstLineChars="0"/>
        <w:jc w:val="center"/>
        <w:textAlignment w:val="center"/>
        <w:rPr>
          <w:color w:val="000000"/>
          <w:sz w:val="21"/>
          <w:szCs w:val="21"/>
          <w:lang w:eastAsia="zh-CN" w:bidi="ar"/>
        </w:rPr>
        <w:sectPr>
          <w:pgSz w:w="11906" w:h="16838"/>
          <w:pgMar w:top="1701" w:right="1418" w:bottom="1418" w:left="1418" w:header="851" w:footer="992" w:gutter="0"/>
          <w:pgNumType w:fmt="decimal"/>
          <w:cols w:space="720" w:num="1"/>
          <w:docGrid w:linePitch="312" w:charSpace="0"/>
        </w:sectPr>
      </w:pPr>
    </w:p>
    <w:p w14:paraId="1B2739BF">
      <w:pPr>
        <w:pStyle w:val="22"/>
        <w:bidi w:val="0"/>
        <w:jc w:val="right"/>
        <w:rPr>
          <w:lang w:eastAsia="zh-CN"/>
        </w:rPr>
      </w:pPr>
      <w:r>
        <w:rPr>
          <w:rFonts w:hint="eastAsia"/>
          <w:lang w:eastAsia="zh-CN"/>
        </w:rPr>
        <w:t>表7.2-</w:t>
      </w:r>
      <w:r>
        <w:rPr>
          <w:rFonts w:hint="eastAsia"/>
          <w:lang w:val="en-US" w:eastAsia="zh-CN"/>
        </w:rPr>
        <w:t>9</w:t>
      </w:r>
      <w:r>
        <w:rPr>
          <w:rFonts w:hint="eastAsia"/>
          <w:lang w:eastAsia="zh-CN"/>
        </w:rPr>
        <w:t xml:space="preserve">  机械台班单价计算表   </w:t>
      </w:r>
      <w:r>
        <w:rPr>
          <w:rFonts w:hint="eastAsia"/>
          <w:lang w:val="en-US" w:eastAsia="zh-CN"/>
        </w:rPr>
        <w:t xml:space="preserve"> </w:t>
      </w:r>
      <w:r>
        <w:rPr>
          <w:rFonts w:hint="eastAsia"/>
          <w:lang w:eastAsia="zh-CN"/>
        </w:rPr>
        <w:t xml:space="preserve">                                      金额单位：元</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1"/>
        <w:gridCol w:w="1930"/>
        <w:gridCol w:w="876"/>
        <w:gridCol w:w="1976"/>
        <w:gridCol w:w="876"/>
        <w:gridCol w:w="825"/>
        <w:gridCol w:w="1014"/>
        <w:gridCol w:w="1014"/>
        <w:gridCol w:w="1014"/>
        <w:gridCol w:w="769"/>
        <w:gridCol w:w="769"/>
        <w:gridCol w:w="975"/>
        <w:gridCol w:w="1018"/>
      </w:tblGrid>
      <w:tr w14:paraId="36BD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13" w:type="pct"/>
            <w:vMerge w:val="restart"/>
            <w:shd w:val="clear" w:color="auto" w:fill="auto"/>
            <w:noWrap/>
            <w:vAlign w:val="center"/>
          </w:tcPr>
          <w:p w14:paraId="3A0577AB">
            <w:pPr>
              <w:pStyle w:val="100"/>
              <w:bidi w:val="0"/>
              <w:rPr>
                <w:rFonts w:hint="eastAsia"/>
              </w:rPr>
            </w:pPr>
            <w:r>
              <w:rPr>
                <w:rFonts w:hint="eastAsia"/>
                <w:lang w:val="en-US" w:eastAsia="zh-CN"/>
              </w:rPr>
              <w:t>编号</w:t>
            </w:r>
          </w:p>
        </w:tc>
        <w:tc>
          <w:tcPr>
            <w:tcW w:w="693" w:type="pct"/>
            <w:vMerge w:val="restart"/>
            <w:shd w:val="clear" w:color="auto" w:fill="auto"/>
            <w:noWrap/>
            <w:vAlign w:val="center"/>
          </w:tcPr>
          <w:p w14:paraId="510028A7">
            <w:pPr>
              <w:pStyle w:val="100"/>
              <w:bidi w:val="0"/>
              <w:rPr>
                <w:rFonts w:hint="eastAsia"/>
              </w:rPr>
            </w:pPr>
            <w:r>
              <w:rPr>
                <w:rFonts w:hint="eastAsia"/>
                <w:lang w:val="en-US" w:eastAsia="zh-CN"/>
              </w:rPr>
              <w:t>机械名称</w:t>
            </w:r>
          </w:p>
        </w:tc>
        <w:tc>
          <w:tcPr>
            <w:tcW w:w="1633" w:type="pct"/>
            <w:gridSpan w:val="4"/>
            <w:shd w:val="clear" w:color="auto" w:fill="auto"/>
            <w:noWrap/>
            <w:vAlign w:val="center"/>
          </w:tcPr>
          <w:p w14:paraId="5DFA89E7">
            <w:pPr>
              <w:pStyle w:val="100"/>
              <w:bidi w:val="0"/>
              <w:rPr>
                <w:rFonts w:hint="eastAsia"/>
              </w:rPr>
            </w:pPr>
            <w:r>
              <w:rPr>
                <w:rFonts w:hint="eastAsia"/>
                <w:lang w:val="en-US" w:eastAsia="zh-CN"/>
              </w:rPr>
              <w:t>一类费用</w:t>
            </w:r>
          </w:p>
        </w:tc>
        <w:tc>
          <w:tcPr>
            <w:tcW w:w="1994" w:type="pct"/>
            <w:gridSpan w:val="6"/>
            <w:shd w:val="clear" w:color="auto" w:fill="auto"/>
            <w:noWrap/>
            <w:vAlign w:val="center"/>
          </w:tcPr>
          <w:p w14:paraId="0622F175">
            <w:pPr>
              <w:pStyle w:val="100"/>
              <w:bidi w:val="0"/>
              <w:rPr>
                <w:rFonts w:hint="eastAsia"/>
              </w:rPr>
            </w:pPr>
            <w:r>
              <w:rPr>
                <w:rFonts w:hint="eastAsia"/>
                <w:lang w:val="en-US" w:eastAsia="zh-CN"/>
              </w:rPr>
              <w:t>二类费用</w:t>
            </w:r>
          </w:p>
        </w:tc>
        <w:tc>
          <w:tcPr>
            <w:tcW w:w="365" w:type="pct"/>
            <w:vMerge w:val="restart"/>
            <w:shd w:val="clear" w:color="auto" w:fill="auto"/>
            <w:noWrap/>
            <w:vAlign w:val="center"/>
          </w:tcPr>
          <w:p w14:paraId="625BD498">
            <w:pPr>
              <w:pStyle w:val="100"/>
              <w:bidi w:val="0"/>
              <w:rPr>
                <w:rFonts w:hint="eastAsia"/>
              </w:rPr>
            </w:pPr>
            <w:r>
              <w:rPr>
                <w:rFonts w:hint="eastAsia"/>
                <w:lang w:val="en-US" w:eastAsia="zh-CN"/>
              </w:rPr>
              <w:t>总计</w:t>
            </w:r>
          </w:p>
        </w:tc>
      </w:tr>
      <w:tr w14:paraId="3FD6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13" w:type="pct"/>
            <w:vMerge w:val="continue"/>
            <w:shd w:val="clear" w:color="auto" w:fill="auto"/>
            <w:noWrap/>
            <w:vAlign w:val="center"/>
          </w:tcPr>
          <w:p w14:paraId="26604E2C">
            <w:pPr>
              <w:pStyle w:val="100"/>
              <w:bidi w:val="0"/>
              <w:rPr>
                <w:rFonts w:hint="eastAsia"/>
              </w:rPr>
            </w:pPr>
          </w:p>
        </w:tc>
        <w:tc>
          <w:tcPr>
            <w:tcW w:w="693" w:type="pct"/>
            <w:vMerge w:val="continue"/>
            <w:shd w:val="clear" w:color="auto" w:fill="auto"/>
            <w:noWrap/>
            <w:vAlign w:val="center"/>
          </w:tcPr>
          <w:p w14:paraId="2F956DFF">
            <w:pPr>
              <w:pStyle w:val="100"/>
              <w:bidi w:val="0"/>
              <w:rPr>
                <w:rFonts w:hint="eastAsia"/>
              </w:rPr>
            </w:pPr>
          </w:p>
        </w:tc>
        <w:tc>
          <w:tcPr>
            <w:tcW w:w="314" w:type="pct"/>
            <w:vMerge w:val="restart"/>
            <w:shd w:val="clear" w:color="auto" w:fill="auto"/>
            <w:noWrap/>
            <w:vAlign w:val="center"/>
          </w:tcPr>
          <w:p w14:paraId="10119D52">
            <w:pPr>
              <w:pStyle w:val="100"/>
              <w:bidi w:val="0"/>
              <w:rPr>
                <w:rFonts w:hint="eastAsia"/>
              </w:rPr>
            </w:pPr>
            <w:r>
              <w:rPr>
                <w:rFonts w:hint="eastAsia"/>
                <w:lang w:val="en-US" w:eastAsia="zh-CN"/>
              </w:rPr>
              <w:t>折旧费</w:t>
            </w:r>
          </w:p>
        </w:tc>
        <w:tc>
          <w:tcPr>
            <w:tcW w:w="709" w:type="pct"/>
            <w:vMerge w:val="restart"/>
            <w:shd w:val="clear" w:color="auto" w:fill="auto"/>
            <w:noWrap/>
            <w:vAlign w:val="center"/>
          </w:tcPr>
          <w:p w14:paraId="3685E297">
            <w:pPr>
              <w:pStyle w:val="100"/>
              <w:bidi w:val="0"/>
              <w:rPr>
                <w:rFonts w:hint="eastAsia"/>
              </w:rPr>
            </w:pPr>
            <w:r>
              <w:rPr>
                <w:rFonts w:hint="eastAsia"/>
                <w:lang w:val="en-US" w:eastAsia="zh-CN"/>
              </w:rPr>
              <w:t>修理及替换设备费</w:t>
            </w:r>
          </w:p>
        </w:tc>
        <w:tc>
          <w:tcPr>
            <w:tcW w:w="314" w:type="pct"/>
            <w:shd w:val="clear" w:color="auto" w:fill="auto"/>
            <w:noWrap/>
            <w:vAlign w:val="center"/>
          </w:tcPr>
          <w:p w14:paraId="6EED2574">
            <w:pPr>
              <w:pStyle w:val="100"/>
              <w:bidi w:val="0"/>
              <w:rPr>
                <w:rFonts w:hint="eastAsia"/>
              </w:rPr>
            </w:pPr>
            <w:r>
              <w:rPr>
                <w:rFonts w:hint="eastAsia"/>
                <w:lang w:val="en-US" w:eastAsia="zh-CN"/>
              </w:rPr>
              <w:t>安装</w:t>
            </w:r>
          </w:p>
        </w:tc>
        <w:tc>
          <w:tcPr>
            <w:tcW w:w="295" w:type="pct"/>
            <w:vMerge w:val="restart"/>
            <w:shd w:val="clear" w:color="auto" w:fill="auto"/>
            <w:noWrap/>
            <w:vAlign w:val="center"/>
          </w:tcPr>
          <w:p w14:paraId="025BC2FB">
            <w:pPr>
              <w:pStyle w:val="100"/>
              <w:bidi w:val="0"/>
              <w:rPr>
                <w:rFonts w:hint="eastAsia"/>
              </w:rPr>
            </w:pPr>
            <w:r>
              <w:rPr>
                <w:rFonts w:hint="eastAsia"/>
                <w:lang w:val="en-US" w:eastAsia="zh-CN"/>
              </w:rPr>
              <w:t>小计</w:t>
            </w:r>
          </w:p>
        </w:tc>
        <w:tc>
          <w:tcPr>
            <w:tcW w:w="364" w:type="pct"/>
            <w:vMerge w:val="restart"/>
            <w:shd w:val="clear" w:color="auto" w:fill="auto"/>
            <w:noWrap/>
            <w:vAlign w:val="center"/>
          </w:tcPr>
          <w:p w14:paraId="272F2777">
            <w:pPr>
              <w:pStyle w:val="100"/>
              <w:bidi w:val="0"/>
              <w:rPr>
                <w:rFonts w:hint="eastAsia"/>
              </w:rPr>
            </w:pPr>
            <w:r>
              <w:rPr>
                <w:rFonts w:hint="eastAsia"/>
                <w:lang w:val="en-US" w:eastAsia="zh-CN"/>
              </w:rPr>
              <w:t>人工费</w:t>
            </w:r>
          </w:p>
        </w:tc>
        <w:tc>
          <w:tcPr>
            <w:tcW w:w="364" w:type="pct"/>
            <w:vMerge w:val="restart"/>
            <w:shd w:val="clear" w:color="auto" w:fill="auto"/>
            <w:noWrap/>
            <w:vAlign w:val="center"/>
          </w:tcPr>
          <w:p w14:paraId="5D52CFFD">
            <w:pPr>
              <w:pStyle w:val="100"/>
              <w:bidi w:val="0"/>
              <w:rPr>
                <w:rFonts w:hint="eastAsia"/>
              </w:rPr>
            </w:pPr>
            <w:r>
              <w:rPr>
                <w:rFonts w:hint="eastAsia"/>
                <w:lang w:val="en-US" w:eastAsia="zh-CN"/>
              </w:rPr>
              <w:t>汽油费</w:t>
            </w:r>
          </w:p>
        </w:tc>
        <w:tc>
          <w:tcPr>
            <w:tcW w:w="364" w:type="pct"/>
            <w:vMerge w:val="restart"/>
            <w:shd w:val="clear" w:color="auto" w:fill="auto"/>
            <w:noWrap/>
            <w:vAlign w:val="center"/>
          </w:tcPr>
          <w:p w14:paraId="0D26283B">
            <w:pPr>
              <w:pStyle w:val="100"/>
              <w:bidi w:val="0"/>
              <w:rPr>
                <w:rFonts w:hint="eastAsia"/>
              </w:rPr>
            </w:pPr>
            <w:r>
              <w:rPr>
                <w:rFonts w:hint="eastAsia"/>
                <w:lang w:val="en-US" w:eastAsia="zh-CN"/>
              </w:rPr>
              <w:t>柴油费</w:t>
            </w:r>
          </w:p>
        </w:tc>
        <w:tc>
          <w:tcPr>
            <w:tcW w:w="276" w:type="pct"/>
            <w:shd w:val="clear" w:color="auto" w:fill="auto"/>
            <w:noWrap/>
            <w:vAlign w:val="center"/>
          </w:tcPr>
          <w:p w14:paraId="4FD01E69">
            <w:pPr>
              <w:pStyle w:val="100"/>
              <w:bidi w:val="0"/>
              <w:rPr>
                <w:rFonts w:hint="eastAsia"/>
              </w:rPr>
            </w:pPr>
            <w:r>
              <w:rPr>
                <w:rFonts w:hint="eastAsia"/>
                <w:lang w:val="en-US" w:eastAsia="zh-CN"/>
              </w:rPr>
              <w:t>用电</w:t>
            </w:r>
          </w:p>
        </w:tc>
        <w:tc>
          <w:tcPr>
            <w:tcW w:w="276" w:type="pct"/>
            <w:shd w:val="clear" w:color="auto" w:fill="auto"/>
            <w:noWrap/>
            <w:vAlign w:val="center"/>
          </w:tcPr>
          <w:p w14:paraId="369DBF2A">
            <w:pPr>
              <w:pStyle w:val="100"/>
              <w:bidi w:val="0"/>
              <w:rPr>
                <w:rFonts w:hint="eastAsia"/>
              </w:rPr>
            </w:pPr>
            <w:r>
              <w:rPr>
                <w:rFonts w:hint="eastAsia"/>
                <w:lang w:val="en-US" w:eastAsia="zh-CN"/>
              </w:rPr>
              <w:t>用风</w:t>
            </w:r>
          </w:p>
        </w:tc>
        <w:tc>
          <w:tcPr>
            <w:tcW w:w="350" w:type="pct"/>
            <w:vMerge w:val="restart"/>
            <w:shd w:val="clear" w:color="auto" w:fill="auto"/>
            <w:noWrap/>
            <w:vAlign w:val="center"/>
          </w:tcPr>
          <w:p w14:paraId="025330AB">
            <w:pPr>
              <w:pStyle w:val="100"/>
              <w:bidi w:val="0"/>
              <w:rPr>
                <w:rFonts w:hint="eastAsia"/>
              </w:rPr>
            </w:pPr>
            <w:r>
              <w:rPr>
                <w:rFonts w:hint="eastAsia"/>
                <w:lang w:val="en-US" w:eastAsia="zh-CN"/>
              </w:rPr>
              <w:t>小计</w:t>
            </w:r>
          </w:p>
        </w:tc>
        <w:tc>
          <w:tcPr>
            <w:tcW w:w="365" w:type="pct"/>
            <w:vMerge w:val="continue"/>
            <w:shd w:val="clear" w:color="auto" w:fill="auto"/>
            <w:noWrap/>
            <w:vAlign w:val="center"/>
          </w:tcPr>
          <w:p w14:paraId="04741F75">
            <w:pPr>
              <w:pStyle w:val="100"/>
              <w:bidi w:val="0"/>
              <w:rPr>
                <w:rFonts w:hint="eastAsia"/>
              </w:rPr>
            </w:pPr>
          </w:p>
        </w:tc>
      </w:tr>
      <w:tr w14:paraId="4D33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13" w:type="pct"/>
            <w:vMerge w:val="continue"/>
            <w:shd w:val="clear" w:color="auto" w:fill="auto"/>
            <w:noWrap/>
            <w:vAlign w:val="center"/>
          </w:tcPr>
          <w:p w14:paraId="15C3A48F">
            <w:pPr>
              <w:pStyle w:val="100"/>
              <w:bidi w:val="0"/>
              <w:rPr>
                <w:rFonts w:hint="eastAsia"/>
              </w:rPr>
            </w:pPr>
          </w:p>
        </w:tc>
        <w:tc>
          <w:tcPr>
            <w:tcW w:w="693" w:type="pct"/>
            <w:vMerge w:val="continue"/>
            <w:shd w:val="clear" w:color="auto" w:fill="auto"/>
            <w:noWrap/>
            <w:vAlign w:val="center"/>
          </w:tcPr>
          <w:p w14:paraId="29A0E4DF">
            <w:pPr>
              <w:pStyle w:val="100"/>
              <w:bidi w:val="0"/>
              <w:rPr>
                <w:rFonts w:hint="eastAsia"/>
              </w:rPr>
            </w:pPr>
          </w:p>
        </w:tc>
        <w:tc>
          <w:tcPr>
            <w:tcW w:w="314" w:type="pct"/>
            <w:vMerge w:val="continue"/>
            <w:shd w:val="clear" w:color="auto" w:fill="auto"/>
            <w:noWrap/>
            <w:vAlign w:val="center"/>
          </w:tcPr>
          <w:p w14:paraId="56FE692E">
            <w:pPr>
              <w:pStyle w:val="100"/>
              <w:bidi w:val="0"/>
              <w:rPr>
                <w:rFonts w:hint="eastAsia"/>
              </w:rPr>
            </w:pPr>
          </w:p>
        </w:tc>
        <w:tc>
          <w:tcPr>
            <w:tcW w:w="709" w:type="pct"/>
            <w:vMerge w:val="continue"/>
            <w:shd w:val="clear" w:color="auto" w:fill="auto"/>
            <w:noWrap/>
            <w:vAlign w:val="center"/>
          </w:tcPr>
          <w:p w14:paraId="3AFB60E9">
            <w:pPr>
              <w:pStyle w:val="100"/>
              <w:bidi w:val="0"/>
              <w:rPr>
                <w:rFonts w:hint="eastAsia"/>
              </w:rPr>
            </w:pPr>
          </w:p>
        </w:tc>
        <w:tc>
          <w:tcPr>
            <w:tcW w:w="314" w:type="pct"/>
            <w:shd w:val="clear" w:color="auto" w:fill="auto"/>
            <w:noWrap/>
            <w:vAlign w:val="center"/>
          </w:tcPr>
          <w:p w14:paraId="4B3EC8F7">
            <w:pPr>
              <w:pStyle w:val="100"/>
              <w:bidi w:val="0"/>
              <w:rPr>
                <w:rFonts w:hint="eastAsia"/>
              </w:rPr>
            </w:pPr>
            <w:r>
              <w:rPr>
                <w:rFonts w:hint="eastAsia"/>
                <w:lang w:val="en-US" w:eastAsia="zh-CN"/>
              </w:rPr>
              <w:t>拆卸费</w:t>
            </w:r>
          </w:p>
        </w:tc>
        <w:tc>
          <w:tcPr>
            <w:tcW w:w="295" w:type="pct"/>
            <w:vMerge w:val="continue"/>
            <w:shd w:val="clear" w:color="auto" w:fill="auto"/>
            <w:noWrap/>
            <w:vAlign w:val="center"/>
          </w:tcPr>
          <w:p w14:paraId="783C35B3">
            <w:pPr>
              <w:pStyle w:val="100"/>
              <w:bidi w:val="0"/>
              <w:rPr>
                <w:rFonts w:hint="eastAsia"/>
              </w:rPr>
            </w:pPr>
          </w:p>
        </w:tc>
        <w:tc>
          <w:tcPr>
            <w:tcW w:w="364" w:type="pct"/>
            <w:vMerge w:val="continue"/>
            <w:shd w:val="clear" w:color="auto" w:fill="auto"/>
            <w:noWrap/>
            <w:vAlign w:val="center"/>
          </w:tcPr>
          <w:p w14:paraId="60E7AE15">
            <w:pPr>
              <w:pStyle w:val="100"/>
              <w:bidi w:val="0"/>
              <w:rPr>
                <w:rFonts w:hint="eastAsia"/>
              </w:rPr>
            </w:pPr>
          </w:p>
        </w:tc>
        <w:tc>
          <w:tcPr>
            <w:tcW w:w="364" w:type="pct"/>
            <w:vMerge w:val="continue"/>
            <w:shd w:val="clear" w:color="auto" w:fill="auto"/>
            <w:noWrap/>
            <w:vAlign w:val="center"/>
          </w:tcPr>
          <w:p w14:paraId="6C9CE74C">
            <w:pPr>
              <w:pStyle w:val="100"/>
              <w:bidi w:val="0"/>
              <w:rPr>
                <w:rFonts w:hint="eastAsia"/>
              </w:rPr>
            </w:pPr>
          </w:p>
        </w:tc>
        <w:tc>
          <w:tcPr>
            <w:tcW w:w="364" w:type="pct"/>
            <w:vMerge w:val="continue"/>
            <w:shd w:val="clear" w:color="auto" w:fill="auto"/>
            <w:noWrap/>
            <w:vAlign w:val="center"/>
          </w:tcPr>
          <w:p w14:paraId="0023AF23">
            <w:pPr>
              <w:pStyle w:val="100"/>
              <w:bidi w:val="0"/>
              <w:rPr>
                <w:rFonts w:hint="eastAsia"/>
              </w:rPr>
            </w:pPr>
          </w:p>
        </w:tc>
        <w:tc>
          <w:tcPr>
            <w:tcW w:w="276" w:type="pct"/>
            <w:shd w:val="clear" w:color="auto" w:fill="auto"/>
            <w:noWrap/>
            <w:vAlign w:val="center"/>
          </w:tcPr>
          <w:p w14:paraId="2FAF7E21">
            <w:pPr>
              <w:pStyle w:val="100"/>
              <w:bidi w:val="0"/>
              <w:rPr>
                <w:rFonts w:hint="eastAsia"/>
              </w:rPr>
            </w:pPr>
            <w:r>
              <w:rPr>
                <w:rFonts w:hint="eastAsia"/>
                <w:lang w:val="en-US" w:eastAsia="zh-CN"/>
              </w:rPr>
              <w:t>费用</w:t>
            </w:r>
          </w:p>
        </w:tc>
        <w:tc>
          <w:tcPr>
            <w:tcW w:w="276" w:type="pct"/>
            <w:shd w:val="clear" w:color="auto" w:fill="auto"/>
            <w:noWrap/>
            <w:vAlign w:val="center"/>
          </w:tcPr>
          <w:p w14:paraId="614942AC">
            <w:pPr>
              <w:pStyle w:val="100"/>
              <w:bidi w:val="0"/>
              <w:rPr>
                <w:rFonts w:hint="eastAsia"/>
              </w:rPr>
            </w:pPr>
            <w:r>
              <w:rPr>
                <w:rFonts w:hint="eastAsia"/>
                <w:lang w:val="en-US" w:eastAsia="zh-CN"/>
              </w:rPr>
              <w:t>费用</w:t>
            </w:r>
          </w:p>
        </w:tc>
        <w:tc>
          <w:tcPr>
            <w:tcW w:w="350" w:type="pct"/>
            <w:vMerge w:val="continue"/>
            <w:shd w:val="clear" w:color="auto" w:fill="auto"/>
            <w:noWrap/>
            <w:vAlign w:val="center"/>
          </w:tcPr>
          <w:p w14:paraId="2F109457">
            <w:pPr>
              <w:pStyle w:val="100"/>
              <w:bidi w:val="0"/>
              <w:rPr>
                <w:rFonts w:hint="eastAsia"/>
              </w:rPr>
            </w:pPr>
          </w:p>
        </w:tc>
        <w:tc>
          <w:tcPr>
            <w:tcW w:w="365" w:type="pct"/>
            <w:vMerge w:val="continue"/>
            <w:shd w:val="clear" w:color="auto" w:fill="auto"/>
            <w:noWrap/>
            <w:vAlign w:val="center"/>
          </w:tcPr>
          <w:p w14:paraId="4AB16BA6">
            <w:pPr>
              <w:pStyle w:val="100"/>
              <w:bidi w:val="0"/>
              <w:rPr>
                <w:rFonts w:hint="eastAsia"/>
              </w:rPr>
            </w:pPr>
          </w:p>
        </w:tc>
      </w:tr>
      <w:tr w14:paraId="7302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13" w:type="pct"/>
            <w:shd w:val="clear" w:color="auto" w:fill="auto"/>
            <w:noWrap/>
            <w:vAlign w:val="center"/>
          </w:tcPr>
          <w:p w14:paraId="1C41073F">
            <w:pPr>
              <w:pStyle w:val="100"/>
              <w:bidi w:val="0"/>
              <w:rPr>
                <w:rFonts w:hint="default"/>
              </w:rPr>
            </w:pPr>
            <w:r>
              <w:rPr>
                <w:rFonts w:hint="default"/>
                <w:lang w:val="en-US" w:eastAsia="zh-CN"/>
              </w:rPr>
              <w:t>1014</w:t>
            </w:r>
          </w:p>
        </w:tc>
        <w:tc>
          <w:tcPr>
            <w:tcW w:w="693" w:type="pct"/>
            <w:shd w:val="clear" w:color="auto" w:fill="auto"/>
            <w:noWrap/>
            <w:vAlign w:val="center"/>
          </w:tcPr>
          <w:p w14:paraId="56EE2B4B">
            <w:pPr>
              <w:pStyle w:val="100"/>
              <w:bidi w:val="0"/>
              <w:rPr>
                <w:rFonts w:hint="eastAsia"/>
              </w:rPr>
            </w:pPr>
            <w:r>
              <w:rPr>
                <w:rFonts w:hint="eastAsia"/>
                <w:lang w:val="en-US" w:eastAsia="zh-CN"/>
              </w:rPr>
              <w:t>推土机</w:t>
            </w:r>
            <w:r>
              <w:rPr>
                <w:rFonts w:hint="default"/>
                <w:lang w:val="en-US" w:eastAsia="zh-CN"/>
              </w:rPr>
              <w:t>74kw</w:t>
            </w:r>
          </w:p>
        </w:tc>
        <w:tc>
          <w:tcPr>
            <w:tcW w:w="876" w:type="dxa"/>
            <w:shd w:val="clear" w:color="auto" w:fill="auto"/>
            <w:noWrap/>
            <w:vAlign w:val="center"/>
          </w:tcPr>
          <w:p w14:paraId="271237F1">
            <w:pPr>
              <w:pStyle w:val="100"/>
              <w:bidi w:val="0"/>
              <w:rPr>
                <w:rFonts w:hint="default"/>
              </w:rPr>
            </w:pPr>
            <w:r>
              <w:rPr>
                <w:rFonts w:hint="default"/>
                <w:lang w:val="en-US" w:eastAsia="zh-CN"/>
              </w:rPr>
              <w:t xml:space="preserve">92.39 </w:t>
            </w:r>
          </w:p>
        </w:tc>
        <w:tc>
          <w:tcPr>
            <w:tcW w:w="1976" w:type="dxa"/>
            <w:shd w:val="clear" w:color="auto" w:fill="auto"/>
            <w:noWrap/>
            <w:vAlign w:val="center"/>
          </w:tcPr>
          <w:p w14:paraId="271EA9AD">
            <w:pPr>
              <w:pStyle w:val="100"/>
              <w:bidi w:val="0"/>
              <w:rPr>
                <w:rFonts w:hint="default"/>
              </w:rPr>
            </w:pPr>
            <w:r>
              <w:rPr>
                <w:rFonts w:hint="default"/>
                <w:lang w:val="en-US" w:eastAsia="zh-CN"/>
              </w:rPr>
              <w:t xml:space="preserve">143.73 </w:t>
            </w:r>
          </w:p>
        </w:tc>
        <w:tc>
          <w:tcPr>
            <w:tcW w:w="876" w:type="dxa"/>
            <w:shd w:val="clear" w:color="auto" w:fill="auto"/>
            <w:noWrap/>
            <w:vAlign w:val="center"/>
          </w:tcPr>
          <w:p w14:paraId="6D3B8C5E">
            <w:pPr>
              <w:pStyle w:val="100"/>
              <w:bidi w:val="0"/>
              <w:rPr>
                <w:rFonts w:hint="default"/>
              </w:rPr>
            </w:pPr>
            <w:r>
              <w:rPr>
                <w:rFonts w:hint="default"/>
                <w:lang w:val="en-US" w:eastAsia="zh-CN"/>
              </w:rPr>
              <w:t xml:space="preserve">4.18 </w:t>
            </w:r>
          </w:p>
        </w:tc>
        <w:tc>
          <w:tcPr>
            <w:tcW w:w="825" w:type="dxa"/>
            <w:shd w:val="clear" w:color="auto" w:fill="auto"/>
            <w:noWrap/>
            <w:vAlign w:val="center"/>
          </w:tcPr>
          <w:p w14:paraId="55202B69">
            <w:pPr>
              <w:pStyle w:val="100"/>
              <w:bidi w:val="0"/>
              <w:rPr>
                <w:rFonts w:hint="default"/>
              </w:rPr>
            </w:pPr>
            <w:r>
              <w:rPr>
                <w:rFonts w:hint="default"/>
                <w:lang w:val="en-US" w:eastAsia="zh-CN"/>
              </w:rPr>
              <w:t xml:space="preserve">240.30 </w:t>
            </w:r>
          </w:p>
        </w:tc>
        <w:tc>
          <w:tcPr>
            <w:tcW w:w="1014" w:type="dxa"/>
            <w:shd w:val="clear" w:color="auto" w:fill="auto"/>
            <w:noWrap/>
            <w:vAlign w:val="center"/>
          </w:tcPr>
          <w:p w14:paraId="0C488156">
            <w:pPr>
              <w:pStyle w:val="100"/>
              <w:bidi w:val="0"/>
              <w:rPr>
                <w:rFonts w:hint="default"/>
                <w:lang w:val="en-US"/>
              </w:rPr>
            </w:pPr>
            <w:r>
              <w:rPr>
                <w:rFonts w:hint="default"/>
                <w:lang w:val="en-US" w:eastAsia="zh-CN"/>
              </w:rPr>
              <w:t xml:space="preserve">265.76 </w:t>
            </w:r>
          </w:p>
        </w:tc>
        <w:tc>
          <w:tcPr>
            <w:tcW w:w="1014" w:type="dxa"/>
            <w:shd w:val="clear" w:color="auto" w:fill="auto"/>
            <w:noWrap/>
            <w:vAlign w:val="center"/>
          </w:tcPr>
          <w:p w14:paraId="076F2A38">
            <w:pPr>
              <w:pStyle w:val="100"/>
              <w:bidi w:val="0"/>
              <w:rPr>
                <w:rFonts w:hint="default"/>
              </w:rPr>
            </w:pPr>
          </w:p>
        </w:tc>
        <w:tc>
          <w:tcPr>
            <w:tcW w:w="1014" w:type="dxa"/>
            <w:shd w:val="clear" w:color="auto" w:fill="auto"/>
            <w:noWrap/>
            <w:vAlign w:val="center"/>
          </w:tcPr>
          <w:p w14:paraId="5C9028A5">
            <w:pPr>
              <w:pStyle w:val="100"/>
              <w:bidi w:val="0"/>
              <w:rPr>
                <w:rFonts w:hint="default"/>
              </w:rPr>
            </w:pPr>
            <w:r>
              <w:rPr>
                <w:rFonts w:hint="default"/>
                <w:lang w:val="en-US" w:eastAsia="zh-CN"/>
              </w:rPr>
              <w:t xml:space="preserve">247.50 </w:t>
            </w:r>
          </w:p>
        </w:tc>
        <w:tc>
          <w:tcPr>
            <w:tcW w:w="769" w:type="dxa"/>
            <w:shd w:val="clear" w:color="auto" w:fill="auto"/>
            <w:noWrap/>
            <w:vAlign w:val="center"/>
          </w:tcPr>
          <w:p w14:paraId="4E24E710">
            <w:pPr>
              <w:pStyle w:val="100"/>
              <w:bidi w:val="0"/>
              <w:rPr>
                <w:rFonts w:hint="eastAsia"/>
              </w:rPr>
            </w:pPr>
          </w:p>
        </w:tc>
        <w:tc>
          <w:tcPr>
            <w:tcW w:w="769" w:type="dxa"/>
            <w:shd w:val="clear" w:color="auto" w:fill="auto"/>
            <w:noWrap/>
            <w:vAlign w:val="center"/>
          </w:tcPr>
          <w:p w14:paraId="319D0157">
            <w:pPr>
              <w:pStyle w:val="100"/>
              <w:bidi w:val="0"/>
              <w:rPr>
                <w:rFonts w:hint="default"/>
              </w:rPr>
            </w:pPr>
          </w:p>
        </w:tc>
        <w:tc>
          <w:tcPr>
            <w:tcW w:w="975" w:type="dxa"/>
            <w:shd w:val="clear" w:color="auto" w:fill="auto"/>
            <w:noWrap/>
            <w:vAlign w:val="center"/>
          </w:tcPr>
          <w:p w14:paraId="36440974">
            <w:pPr>
              <w:pStyle w:val="100"/>
              <w:bidi w:val="0"/>
              <w:rPr>
                <w:rFonts w:hint="default"/>
                <w:lang w:val="en-US"/>
              </w:rPr>
            </w:pPr>
            <w:r>
              <w:rPr>
                <w:rFonts w:hint="default"/>
                <w:lang w:val="en-US" w:eastAsia="zh-CN"/>
              </w:rPr>
              <w:t xml:space="preserve">513.26 </w:t>
            </w:r>
          </w:p>
        </w:tc>
        <w:tc>
          <w:tcPr>
            <w:tcW w:w="1017" w:type="dxa"/>
            <w:shd w:val="clear" w:color="auto" w:fill="auto"/>
            <w:noWrap/>
            <w:vAlign w:val="center"/>
          </w:tcPr>
          <w:p w14:paraId="0C749B8E">
            <w:pPr>
              <w:pStyle w:val="100"/>
              <w:bidi w:val="0"/>
              <w:rPr>
                <w:rFonts w:hint="default"/>
                <w:lang w:val="en-US"/>
              </w:rPr>
            </w:pPr>
            <w:r>
              <w:rPr>
                <w:rFonts w:hint="default"/>
                <w:lang w:val="en-US" w:eastAsia="zh-CN"/>
              </w:rPr>
              <w:t xml:space="preserve">753.56 </w:t>
            </w:r>
          </w:p>
        </w:tc>
      </w:tr>
    </w:tbl>
    <w:p w14:paraId="15C8C9A7">
      <w:pPr>
        <w:pStyle w:val="34"/>
        <w:rPr>
          <w:lang w:eastAsia="zh-CN"/>
        </w:rPr>
      </w:pPr>
    </w:p>
    <w:p w14:paraId="218C9D5F">
      <w:pPr>
        <w:pStyle w:val="34"/>
        <w:rPr>
          <w:lang w:eastAsia="zh-CN"/>
        </w:rPr>
        <w:sectPr>
          <w:pgSz w:w="16838" w:h="11906" w:orient="landscape"/>
          <w:pgMar w:top="1418" w:right="1701" w:bottom="1418" w:left="1418" w:header="851" w:footer="992" w:gutter="0"/>
          <w:pgNumType w:fmt="decimal"/>
          <w:cols w:space="720" w:num="1"/>
          <w:docGrid w:linePitch="312" w:charSpace="0"/>
        </w:sectPr>
      </w:pPr>
    </w:p>
    <w:p w14:paraId="07FC3642">
      <w:pPr>
        <w:pStyle w:val="34"/>
        <w:rPr>
          <w:rFonts w:hint="eastAsia" w:ascii="Times New Roman" w:hAnsi="Times New Roman" w:eastAsia="黑体" w:cs="Times New Roman"/>
          <w:szCs w:val="24"/>
        </w:rPr>
      </w:pPr>
    </w:p>
    <w:p w14:paraId="5FC3B907">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210" w:name="_Toc17087"/>
      <w:r>
        <w:rPr>
          <w:rFonts w:ascii="Times New Roman" w:hAnsi="Times New Roman" w:eastAsia="黑体" w:cs="Times New Roman"/>
          <w:color w:val="000000"/>
          <w:sz w:val="32"/>
          <w:szCs w:val="32"/>
        </w:rPr>
        <w:t>8 土地复垦服务年限与复垦工作计划</w:t>
      </w:r>
      <w:bookmarkEnd w:id="210"/>
    </w:p>
    <w:p w14:paraId="72554F7A">
      <w:pPr>
        <w:keepNext/>
        <w:keepLines/>
        <w:tabs>
          <w:tab w:val="left" w:pos="5640"/>
        </w:tabs>
        <w:snapToGrid w:val="0"/>
        <w:spacing w:before="120" w:beforeLines="50" w:after="120" w:afterLines="50" w:line="360" w:lineRule="auto"/>
        <w:jc w:val="left"/>
        <w:outlineLvl w:val="1"/>
        <w:rPr>
          <w:rFonts w:ascii="Times New Roman" w:hAnsi="Times New Roman" w:eastAsia="黑体" w:cs="Times New Roman"/>
          <w:color w:val="000000"/>
          <w:sz w:val="30"/>
          <w:szCs w:val="28"/>
        </w:rPr>
      </w:pPr>
      <w:bookmarkStart w:id="211" w:name="_Toc15795"/>
      <w:r>
        <w:rPr>
          <w:rFonts w:ascii="Times New Roman" w:hAnsi="Times New Roman" w:eastAsia="黑体" w:cs="Times New Roman"/>
          <w:color w:val="000000"/>
          <w:sz w:val="30"/>
          <w:szCs w:val="28"/>
        </w:rPr>
        <w:t>8.1 土地复垦服务年限</w:t>
      </w:r>
      <w:bookmarkEnd w:id="211"/>
    </w:p>
    <w:p w14:paraId="0FADE940">
      <w:pPr>
        <w:spacing w:line="360" w:lineRule="auto"/>
        <w:ind w:firstLine="480" w:firstLineChars="200"/>
        <w:rPr>
          <w:rFonts w:hint="eastAsia"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项目建设期为</w:t>
      </w:r>
      <w:r>
        <w:rPr>
          <w:rFonts w:hint="eastAsia" w:ascii="Times New Roman" w:hAnsi="Times New Roman" w:eastAsia="仿宋_GB2312" w:cs="Times New Roman"/>
          <w:bCs/>
          <w:color w:val="000000"/>
          <w:sz w:val="24"/>
          <w:szCs w:val="24"/>
          <w:lang w:eastAsia="zh-CN"/>
        </w:rPr>
        <w:t>2025年1月</w:t>
      </w:r>
      <w:r>
        <w:rPr>
          <w:rFonts w:hint="eastAsia" w:ascii="Times New Roman" w:hAnsi="Times New Roman" w:eastAsia="仿宋_GB2312" w:cs="Times New Roman"/>
          <w:bCs/>
          <w:color w:val="000000"/>
          <w:sz w:val="24"/>
          <w:szCs w:val="24"/>
        </w:rPr>
        <w:t>至</w:t>
      </w:r>
      <w:r>
        <w:rPr>
          <w:rFonts w:hint="eastAsia" w:ascii="Times New Roman" w:hAnsi="Times New Roman" w:eastAsia="仿宋_GB2312" w:cs="Times New Roman"/>
          <w:bCs/>
          <w:color w:val="000000"/>
          <w:sz w:val="24"/>
          <w:szCs w:val="24"/>
          <w:lang w:eastAsia="zh-CN"/>
        </w:rPr>
        <w:t>2026年12月</w:t>
      </w:r>
      <w:r>
        <w:rPr>
          <w:rFonts w:hint="eastAsia" w:ascii="Times New Roman" w:hAnsi="Times New Roman" w:eastAsia="仿宋_GB2312" w:cs="Times New Roman"/>
          <w:bCs/>
          <w:color w:val="000000"/>
          <w:sz w:val="24"/>
          <w:szCs w:val="24"/>
        </w:rPr>
        <w:t>，总工期为</w:t>
      </w:r>
      <w:r>
        <w:rPr>
          <w:rFonts w:hint="eastAsia" w:ascii="Times New Roman" w:hAnsi="Times New Roman" w:eastAsia="仿宋_GB2312" w:cs="Times New Roman"/>
          <w:bCs/>
          <w:color w:val="000000"/>
          <w:sz w:val="24"/>
          <w:szCs w:val="24"/>
          <w:lang w:val="en-US" w:eastAsia="zh-CN"/>
        </w:rPr>
        <w:t>2年</w:t>
      </w:r>
      <w:r>
        <w:rPr>
          <w:rFonts w:hint="eastAsia" w:ascii="Times New Roman" w:hAnsi="Times New Roman" w:eastAsia="仿宋_GB2312" w:cs="Times New Roman"/>
          <w:bCs/>
          <w:color w:val="000000"/>
          <w:sz w:val="24"/>
          <w:szCs w:val="24"/>
        </w:rPr>
        <w:t>。</w:t>
      </w:r>
    </w:p>
    <w:p w14:paraId="51E4DE8D">
      <w:pPr>
        <w:spacing w:line="360" w:lineRule="auto"/>
        <w:ind w:firstLine="480" w:firstLineChars="200"/>
        <w:rPr>
          <w:rFonts w:ascii="Times New Roman" w:hAnsi="Times New Roman" w:eastAsia="仿宋_GB2312" w:cs="Times New Roman"/>
          <w:bCs/>
          <w:color w:val="000000"/>
          <w:sz w:val="24"/>
          <w:szCs w:val="24"/>
        </w:rPr>
      </w:pPr>
      <w:r>
        <w:rPr>
          <w:rFonts w:hint="eastAsia" w:ascii="Times New Roman" w:hAnsi="Times New Roman" w:eastAsia="仿宋_GB2312" w:cs="Times New Roman"/>
          <w:bCs/>
          <w:color w:val="000000"/>
          <w:sz w:val="24"/>
          <w:szCs w:val="24"/>
        </w:rPr>
        <w:t>本方案复垦目标是对损毁土地恢复原土地类型。本项目在建设工程内设置土地损毁监测，在施工期收尾阶段后</w:t>
      </w:r>
      <w:r>
        <w:rPr>
          <w:rFonts w:hint="eastAsia" w:ascii="Times New Roman" w:hAnsi="Times New Roman" w:eastAsia="仿宋_GB2312" w:cs="Times New Roman"/>
          <w:bCs/>
          <w:color w:val="000000"/>
          <w:sz w:val="24"/>
          <w:szCs w:val="24"/>
          <w:lang w:val="en-US" w:eastAsia="zh-CN"/>
        </w:rPr>
        <w:t>1年</w:t>
      </w:r>
      <w:r>
        <w:rPr>
          <w:rFonts w:hint="eastAsia" w:ascii="Times New Roman" w:hAnsi="Times New Roman" w:eastAsia="仿宋_GB2312" w:cs="Times New Roman"/>
          <w:bCs/>
          <w:color w:val="000000"/>
          <w:sz w:val="24"/>
          <w:szCs w:val="24"/>
        </w:rPr>
        <w:t>内，完成复垦工程。本方案</w:t>
      </w:r>
      <w:r>
        <w:rPr>
          <w:rFonts w:hint="eastAsia" w:ascii="Times New Roman" w:hAnsi="Times New Roman" w:eastAsia="仿宋_GB2312" w:cs="Times New Roman"/>
          <w:bCs/>
          <w:color w:val="000000"/>
          <w:sz w:val="24"/>
          <w:szCs w:val="24"/>
          <w:lang w:val="en-US" w:eastAsia="zh-CN"/>
        </w:rPr>
        <w:t>不</w:t>
      </w:r>
      <w:r>
        <w:rPr>
          <w:rFonts w:hint="eastAsia" w:ascii="Times New Roman" w:hAnsi="Times New Roman" w:eastAsia="仿宋_GB2312" w:cs="Times New Roman"/>
          <w:bCs/>
          <w:color w:val="000000"/>
          <w:sz w:val="24"/>
          <w:szCs w:val="24"/>
        </w:rPr>
        <w:t>涉及植被恢复工程，</w:t>
      </w:r>
      <w:r>
        <w:rPr>
          <w:rFonts w:hint="eastAsia" w:ascii="Times New Roman" w:hAnsi="Times New Roman" w:eastAsia="仿宋_GB2312" w:cs="Times New Roman"/>
          <w:bCs/>
          <w:color w:val="000000"/>
          <w:sz w:val="24"/>
          <w:szCs w:val="24"/>
          <w:lang w:val="en-US" w:eastAsia="zh-CN"/>
        </w:rPr>
        <w:t>不</w:t>
      </w:r>
      <w:r>
        <w:rPr>
          <w:rFonts w:hint="eastAsia" w:ascii="Times New Roman" w:hAnsi="Times New Roman" w:eastAsia="仿宋_GB2312" w:cs="Times New Roman"/>
          <w:bCs/>
          <w:color w:val="000000"/>
          <w:sz w:val="24"/>
          <w:szCs w:val="24"/>
        </w:rPr>
        <w:t>设置管护期。因此，最终本复垦方案服务年限为建设期</w:t>
      </w:r>
      <w:r>
        <w:rPr>
          <w:rFonts w:hint="eastAsia" w:ascii="Times New Roman" w:hAnsi="Times New Roman" w:eastAsia="仿宋_GB2312" w:cs="Times New Roman"/>
          <w:bCs/>
          <w:color w:val="000000"/>
          <w:sz w:val="24"/>
          <w:szCs w:val="24"/>
          <w:lang w:val="en-US" w:eastAsia="zh-CN"/>
        </w:rPr>
        <w:t>2年</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w:t>
      </w:r>
      <w:r>
        <w:rPr>
          <w:rFonts w:hint="eastAsia" w:ascii="Times New Roman" w:hAnsi="Times New Roman" w:eastAsia="仿宋_GB2312" w:cs="Times New Roman"/>
          <w:bCs/>
          <w:color w:val="000000"/>
          <w:sz w:val="24"/>
          <w:szCs w:val="24"/>
          <w:lang w:val="en-US" w:eastAsia="zh-CN"/>
        </w:rPr>
        <w:t>5</w:t>
      </w:r>
      <w:r>
        <w:rPr>
          <w:rFonts w:hint="eastAsia" w:ascii="Times New Roman" w:hAnsi="Times New Roman" w:eastAsia="仿宋_GB2312" w:cs="Times New Roman"/>
          <w:bCs/>
          <w:color w:val="000000"/>
          <w:sz w:val="24"/>
          <w:szCs w:val="24"/>
          <w:lang w:eastAsia="zh-CN"/>
        </w:rPr>
        <w:t>年</w:t>
      </w:r>
      <w:r>
        <w:rPr>
          <w:rFonts w:hint="eastAsia" w:ascii="Times New Roman" w:hAnsi="Times New Roman" w:eastAsia="仿宋_GB2312" w:cs="Times New Roman"/>
          <w:bCs/>
          <w:color w:val="000000"/>
          <w:sz w:val="24"/>
          <w:szCs w:val="24"/>
          <w:lang w:val="en-US" w:eastAsia="zh-CN"/>
        </w:rPr>
        <w:t>1</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至</w:t>
      </w:r>
      <w:r>
        <w:rPr>
          <w:rFonts w:hint="eastAsia" w:ascii="Times New Roman" w:hAnsi="Times New Roman" w:eastAsia="仿宋_GB2312" w:cs="Times New Roman"/>
          <w:bCs/>
          <w:color w:val="000000"/>
          <w:sz w:val="24"/>
          <w:szCs w:val="24"/>
          <w:lang w:eastAsia="zh-CN"/>
        </w:rPr>
        <w:t>2026年</w:t>
      </w:r>
      <w:r>
        <w:rPr>
          <w:rFonts w:hint="eastAsia" w:ascii="Times New Roman" w:hAnsi="Times New Roman" w:eastAsia="仿宋_GB2312"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）+复垦期</w:t>
      </w:r>
      <w:r>
        <w:rPr>
          <w:rFonts w:hint="eastAsia" w:ascii="Times New Roman" w:hAnsi="Times New Roman" w:eastAsia="仿宋_GB2312" w:cs="Times New Roman"/>
          <w:bCs/>
          <w:color w:val="000000"/>
          <w:sz w:val="24"/>
          <w:szCs w:val="24"/>
          <w:lang w:val="en-US" w:eastAsia="zh-CN"/>
        </w:rPr>
        <w:t>1年</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w:t>
      </w:r>
      <w:r>
        <w:rPr>
          <w:rFonts w:hint="eastAsia" w:ascii="Times New Roman" w:hAnsi="Times New Roman" w:eastAsia="仿宋_GB2312" w:cs="Times New Roman"/>
          <w:bCs/>
          <w:color w:val="000000"/>
          <w:sz w:val="24"/>
          <w:szCs w:val="24"/>
          <w:lang w:val="en-US" w:eastAsia="zh-CN"/>
        </w:rPr>
        <w:t>7</w:t>
      </w:r>
      <w:r>
        <w:rPr>
          <w:rFonts w:hint="eastAsia" w:ascii="Times New Roman" w:hAnsi="Times New Roman" w:eastAsia="仿宋_GB2312" w:cs="Times New Roman"/>
          <w:bCs/>
          <w:color w:val="000000"/>
          <w:sz w:val="24"/>
          <w:szCs w:val="24"/>
          <w:lang w:eastAsia="zh-CN"/>
        </w:rPr>
        <w:t>年1月</w:t>
      </w:r>
      <w:r>
        <w:rPr>
          <w:rFonts w:hint="eastAsia" w:ascii="Times New Roman" w:hAnsi="Times New Roman" w:eastAsia="仿宋_GB2312" w:cs="Times New Roman"/>
          <w:bCs/>
          <w:color w:val="000000"/>
          <w:sz w:val="24"/>
          <w:szCs w:val="24"/>
          <w:lang w:val="en-US" w:eastAsia="zh-CN"/>
        </w:rPr>
        <w:t>-</w:t>
      </w:r>
      <w:r>
        <w:rPr>
          <w:rFonts w:hint="eastAsia" w:ascii="Times New Roman" w:hAnsi="Times New Roman" w:eastAsia="仿宋_GB2312" w:cs="Times New Roman"/>
          <w:bCs/>
          <w:color w:val="000000"/>
          <w:sz w:val="24"/>
          <w:szCs w:val="24"/>
          <w:lang w:eastAsia="zh-CN"/>
        </w:rPr>
        <w:t>202</w:t>
      </w:r>
      <w:r>
        <w:rPr>
          <w:rFonts w:hint="eastAsia" w:ascii="Times New Roman" w:hAnsi="Times New Roman" w:eastAsia="仿宋_GB2312" w:cs="Times New Roman"/>
          <w:bCs/>
          <w:color w:val="000000"/>
          <w:sz w:val="24"/>
          <w:szCs w:val="24"/>
          <w:lang w:val="en-US" w:eastAsia="zh-CN"/>
        </w:rPr>
        <w:t>7</w:t>
      </w:r>
      <w:r>
        <w:rPr>
          <w:rFonts w:hint="eastAsia" w:ascii="Times New Roman" w:hAnsi="Times New Roman" w:eastAsia="仿宋_GB2312" w:cs="Times New Roman"/>
          <w:bCs/>
          <w:color w:val="000000"/>
          <w:sz w:val="24"/>
          <w:szCs w:val="24"/>
          <w:lang w:eastAsia="zh-CN"/>
        </w:rPr>
        <w:t>年</w:t>
      </w:r>
      <w:r>
        <w:rPr>
          <w:rFonts w:hint="eastAsia" w:ascii="Times New Roman" w:hAnsi="Times New Roman" w:eastAsia="仿宋_GB2312"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val="en-US" w:eastAsia="zh-CN"/>
        </w:rPr>
        <w:t>3年</w:t>
      </w:r>
      <w:r>
        <w:rPr>
          <w:rFonts w:hint="eastAsia" w:ascii="Times New Roman" w:hAnsi="Times New Roman" w:eastAsia="仿宋_GB2312" w:cs="Times New Roman"/>
          <w:bCs/>
          <w:color w:val="000000"/>
          <w:sz w:val="24"/>
          <w:szCs w:val="24"/>
        </w:rPr>
        <w:t>，即</w:t>
      </w:r>
      <w:r>
        <w:rPr>
          <w:rFonts w:hint="eastAsia" w:ascii="Times New Roman" w:hAnsi="Times New Roman" w:eastAsia="仿宋_GB2312" w:cs="Times New Roman"/>
          <w:bCs/>
          <w:color w:val="000000"/>
          <w:sz w:val="24"/>
          <w:szCs w:val="24"/>
          <w:lang w:eastAsia="zh-CN"/>
        </w:rPr>
        <w:t>202</w:t>
      </w:r>
      <w:r>
        <w:rPr>
          <w:rFonts w:hint="eastAsia" w:ascii="Times New Roman" w:hAnsi="Times New Roman" w:eastAsia="仿宋_GB2312" w:cs="Times New Roman"/>
          <w:bCs/>
          <w:color w:val="000000"/>
          <w:sz w:val="24"/>
          <w:szCs w:val="24"/>
          <w:lang w:val="en-US" w:eastAsia="zh-CN"/>
        </w:rPr>
        <w:t>5</w:t>
      </w:r>
      <w:r>
        <w:rPr>
          <w:rFonts w:hint="eastAsia" w:ascii="Times New Roman" w:hAnsi="Times New Roman" w:eastAsia="仿宋_GB2312" w:cs="Times New Roman"/>
          <w:bCs/>
          <w:color w:val="000000"/>
          <w:sz w:val="24"/>
          <w:szCs w:val="24"/>
          <w:lang w:eastAsia="zh-CN"/>
        </w:rPr>
        <w:t>年1月</w:t>
      </w:r>
      <w:r>
        <w:rPr>
          <w:rFonts w:hint="eastAsia" w:ascii="Times New Roman" w:hAnsi="Times New Roman" w:eastAsia="仿宋_GB2312" w:cs="Times New Roman"/>
          <w:bCs/>
          <w:color w:val="000000"/>
          <w:sz w:val="24"/>
          <w:szCs w:val="24"/>
        </w:rPr>
        <w:t>—</w:t>
      </w:r>
      <w:r>
        <w:rPr>
          <w:rFonts w:hint="eastAsia" w:ascii="Times New Roman" w:hAnsi="Times New Roman" w:eastAsia="仿宋_GB2312" w:cs="Times New Roman"/>
          <w:bCs/>
          <w:color w:val="000000"/>
          <w:sz w:val="24"/>
          <w:szCs w:val="24"/>
          <w:lang w:eastAsia="zh-CN"/>
        </w:rPr>
        <w:t>2027年</w:t>
      </w:r>
      <w:r>
        <w:rPr>
          <w:rFonts w:hint="eastAsia" w:ascii="Times New Roman" w:hAnsi="Times New Roman" w:eastAsia="仿宋_GB2312" w:cs="Times New Roman"/>
          <w:bCs/>
          <w:color w:val="000000"/>
          <w:sz w:val="24"/>
          <w:szCs w:val="24"/>
          <w:lang w:val="en-US" w:eastAsia="zh-CN"/>
        </w:rPr>
        <w:t>12</w:t>
      </w:r>
      <w:r>
        <w:rPr>
          <w:rFonts w:hint="eastAsia" w:ascii="Times New Roman" w:hAnsi="Times New Roman" w:eastAsia="仿宋_GB2312" w:cs="Times New Roman"/>
          <w:bCs/>
          <w:color w:val="000000"/>
          <w:sz w:val="24"/>
          <w:szCs w:val="24"/>
          <w:lang w:eastAsia="zh-CN"/>
        </w:rPr>
        <w:t>月</w:t>
      </w:r>
      <w:r>
        <w:rPr>
          <w:rFonts w:hint="eastAsia" w:ascii="Times New Roman" w:hAnsi="Times New Roman" w:eastAsia="仿宋_GB2312" w:cs="Times New Roman"/>
          <w:bCs/>
          <w:color w:val="000000"/>
          <w:sz w:val="24"/>
          <w:szCs w:val="24"/>
        </w:rPr>
        <w:t>。</w:t>
      </w:r>
    </w:p>
    <w:p w14:paraId="57B56B4F">
      <w:pPr>
        <w:keepNext/>
        <w:keepLines/>
        <w:tabs>
          <w:tab w:val="left" w:pos="5640"/>
        </w:tabs>
        <w:snapToGrid w:val="0"/>
        <w:spacing w:before="120" w:beforeLines="50" w:after="120" w:afterLines="50" w:line="360" w:lineRule="auto"/>
        <w:jc w:val="left"/>
        <w:outlineLvl w:val="1"/>
        <w:rPr>
          <w:rFonts w:ascii="Times New Roman" w:hAnsi="Times New Roman" w:eastAsia="黑体" w:cs="Times New Roman"/>
          <w:color w:val="000000"/>
          <w:sz w:val="30"/>
          <w:szCs w:val="28"/>
        </w:rPr>
      </w:pPr>
      <w:bookmarkStart w:id="212" w:name="_Toc32463"/>
      <w:r>
        <w:rPr>
          <w:rFonts w:ascii="Times New Roman" w:hAnsi="Times New Roman" w:eastAsia="黑体" w:cs="Times New Roman"/>
          <w:color w:val="000000"/>
          <w:sz w:val="30"/>
          <w:szCs w:val="28"/>
        </w:rPr>
        <w:t>8.2 土地复垦工作计划安排</w:t>
      </w:r>
      <w:bookmarkEnd w:id="212"/>
    </w:p>
    <w:p w14:paraId="1AD4C830">
      <w:pPr>
        <w:keepNext/>
        <w:keepLines/>
        <w:numPr>
          <w:ilvl w:val="2"/>
          <w:numId w:val="0"/>
        </w:numPr>
        <w:tabs>
          <w:tab w:val="left" w:pos="5640"/>
        </w:tabs>
        <w:snapToGrid w:val="0"/>
        <w:spacing w:line="360" w:lineRule="auto"/>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8.2.1 阶段土地复垦实施计划</w:t>
      </w:r>
    </w:p>
    <w:p w14:paraId="6127A26C">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根据吐哈油田分公司</w:t>
      </w:r>
      <w:r>
        <w:rPr>
          <w:rFonts w:hint="eastAsia" w:cs="Times New Roman"/>
          <w:color w:val="000000"/>
          <w:sz w:val="24"/>
          <w:szCs w:val="24"/>
          <w:lang w:eastAsia="zh-CN"/>
        </w:rPr>
        <w:t>项目</w:t>
      </w:r>
      <w:r>
        <w:rPr>
          <w:rFonts w:hint="eastAsia" w:ascii="Times New Roman" w:hAnsi="Times New Roman" w:eastAsia="仿宋_GB2312" w:cs="Times New Roman"/>
          <w:color w:val="000000"/>
          <w:sz w:val="24"/>
          <w:szCs w:val="24"/>
        </w:rPr>
        <w:t>的施工工艺、工程进度及临时用地损毁的阶段性和区位性特点，制定土地复垦工作计划，以确保尽早及时的复垦被损毁土地，土地复垦工作计划安排如下：</w:t>
      </w:r>
    </w:p>
    <w:p w14:paraId="48F8ED87">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（1）土地复垦位置、目标及任务</w:t>
      </w:r>
    </w:p>
    <w:p w14:paraId="5983CBF5">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本方案土地复垦位置为</w:t>
      </w:r>
      <w:r>
        <w:rPr>
          <w:rFonts w:hint="eastAsia" w:cs="Times New Roman"/>
          <w:color w:val="000000"/>
          <w:sz w:val="24"/>
          <w:szCs w:val="24"/>
          <w:lang w:val="en-US" w:eastAsia="zh-CN"/>
        </w:rPr>
        <w:t>项目临时用地</w:t>
      </w:r>
      <w:r>
        <w:rPr>
          <w:rFonts w:hint="eastAsia" w:ascii="Times New Roman" w:hAnsi="Times New Roman" w:eastAsia="仿宋_GB2312" w:cs="Times New Roman"/>
          <w:color w:val="000000"/>
          <w:sz w:val="24"/>
          <w:szCs w:val="24"/>
        </w:rPr>
        <w:t>，总的土地复垦目标为</w:t>
      </w:r>
      <w:r>
        <w:rPr>
          <w:rFonts w:hint="eastAsia" w:cs="Times New Roman"/>
          <w:color w:val="000000"/>
          <w:sz w:val="24"/>
          <w:szCs w:val="24"/>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ascii="Times New Roman" w:hAnsi="Times New Roman" w:eastAsia="仿宋_GB2312" w:cs="Times New Roman"/>
          <w:color w:val="000000"/>
          <w:sz w:val="24"/>
          <w:szCs w:val="24"/>
        </w:rPr>
        <w:t>。</w:t>
      </w:r>
    </w:p>
    <w:p w14:paraId="7CCDA387">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（2）主要措施和分部工程量</w:t>
      </w:r>
    </w:p>
    <w:p w14:paraId="6224BAD1">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本方案采取的复垦措施主要有土地平整。</w:t>
      </w:r>
    </w:p>
    <w:p w14:paraId="210F7F87">
      <w:pPr>
        <w:spacing w:line="360" w:lineRule="auto"/>
        <w:ind w:firstLine="480" w:firstLineChars="200"/>
        <w:rPr>
          <w:rFonts w:hint="eastAsia"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（3）土地复垦投资估算</w:t>
      </w:r>
    </w:p>
    <w:p w14:paraId="4F9476D6">
      <w:pPr>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根据工程量测算和统计结果，估算出复垦总投资及各复垦单元的投资</w:t>
      </w:r>
      <w:r>
        <w:rPr>
          <w:rFonts w:ascii="Times New Roman" w:hAnsi="Times New Roman" w:eastAsia="仿宋_GB2312" w:cs="Times New Roman"/>
          <w:color w:val="000000"/>
          <w:sz w:val="24"/>
          <w:szCs w:val="24"/>
        </w:rPr>
        <w:t>。</w:t>
      </w:r>
    </w:p>
    <w:p w14:paraId="52A50C84">
      <w:pPr>
        <w:keepNext/>
        <w:keepLines/>
        <w:numPr>
          <w:ilvl w:val="2"/>
          <w:numId w:val="0"/>
        </w:numPr>
        <w:tabs>
          <w:tab w:val="left" w:pos="5640"/>
        </w:tabs>
        <w:snapToGrid w:val="0"/>
        <w:spacing w:before="240" w:beforeLines="100" w:line="360" w:lineRule="auto"/>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8.2.2 年度土地复垦实施计划</w:t>
      </w:r>
    </w:p>
    <w:p w14:paraId="7B18AFBB">
      <w:pPr>
        <w:pStyle w:val="34"/>
        <w:keepNext w:val="0"/>
        <w:keepLines w:val="0"/>
        <w:pageBreakBefore w:val="0"/>
        <w:widowControl w:val="0"/>
        <w:kinsoku/>
        <w:wordWrap/>
        <w:overflowPunct/>
        <w:topLinePunct w:val="0"/>
        <w:autoSpaceDE/>
        <w:autoSpaceDN/>
        <w:bidi w:val="0"/>
        <w:adjustRightInd w:val="0"/>
        <w:snapToGrid w:val="0"/>
        <w:spacing w:after="0"/>
        <w:textAlignment w:val="auto"/>
        <w:rPr>
          <w:rFonts w:hint="eastAsia" w:ascii="仿宋_GB2312" w:hAnsi="仿宋_GB2312" w:eastAsia="仿宋_GB2312" w:cs="仿宋_GB2312"/>
        </w:rPr>
      </w:pPr>
      <w:r>
        <w:rPr>
          <w:rFonts w:hint="eastAsia" w:ascii="仿宋_GB2312" w:hAnsi="仿宋_GB2312" w:eastAsia="仿宋_GB2312" w:cs="仿宋_GB2312"/>
        </w:rPr>
        <w:t>本项目复垦责任范围内所有临时用地为已损毁和拟损毁土地。本方案遵循“统一规划、源头控制、防复结合”的原则，根据工程施工工艺、工程进度计划及临时用地对土地损毁的阶段性和区位性特点，结合项目投资性研究报告中的施工组织安排，制定土地复垦进度计划安排表以及复垦静动态投资，明确不同阶段土地复垦应采取的工程措施、生物措施以及资金需求。为建设单位顺利开展建设临时用地复垦工作提供指引。</w:t>
      </w:r>
    </w:p>
    <w:p w14:paraId="1CB8E19E">
      <w:pPr>
        <w:pStyle w:val="34"/>
        <w:keepNext w:val="0"/>
        <w:keepLines w:val="0"/>
        <w:pageBreakBefore w:val="0"/>
        <w:widowControl w:val="0"/>
        <w:kinsoku/>
        <w:wordWrap/>
        <w:overflowPunct/>
        <w:topLinePunct w:val="0"/>
        <w:autoSpaceDE/>
        <w:autoSpaceDN/>
        <w:bidi w:val="0"/>
        <w:adjustRightInd w:val="0"/>
        <w:snapToGrid w:val="0"/>
        <w:spacing w:after="0"/>
        <w:textAlignment w:val="auto"/>
        <w:rPr>
          <w:rFonts w:hint="eastAsia" w:ascii="仿宋_GB2312" w:hAnsi="仿宋_GB2312" w:eastAsia="仿宋_GB2312" w:cs="仿宋_GB2312"/>
        </w:rPr>
      </w:pPr>
      <w:r>
        <w:rPr>
          <w:rFonts w:hint="eastAsia" w:ascii="仿宋_GB2312" w:hAnsi="仿宋_GB2312" w:eastAsia="仿宋_GB2312" w:cs="仿宋_GB2312"/>
        </w:rPr>
        <w:t>综上，本方案确定土地复垦进度具体可划分为以下</w:t>
      </w:r>
      <w:r>
        <w:rPr>
          <w:rFonts w:hint="eastAsia" w:ascii="仿宋_GB2312" w:hAnsi="仿宋_GB2312" w:eastAsia="仿宋_GB2312" w:cs="仿宋_GB2312"/>
          <w:lang w:val="en-US" w:eastAsia="zh-CN"/>
        </w:rPr>
        <w:t>二</w:t>
      </w:r>
      <w:r>
        <w:rPr>
          <w:rFonts w:hint="eastAsia" w:ascii="仿宋_GB2312" w:hAnsi="仿宋_GB2312" w:eastAsia="仿宋_GB2312" w:cs="仿宋_GB2312"/>
        </w:rPr>
        <w:t>个阶段：</w:t>
      </w:r>
    </w:p>
    <w:p w14:paraId="5F5BF9A8">
      <w:pPr>
        <w:bidi w:val="0"/>
        <w:rPr>
          <w:rFonts w:hint="eastAsia"/>
        </w:rPr>
      </w:pPr>
      <w:r>
        <w:rPr>
          <w:rFonts w:hint="eastAsia"/>
        </w:rPr>
        <w:t>第一阶段（</w:t>
      </w:r>
      <w:r>
        <w:rPr>
          <w:rFonts w:hint="eastAsia"/>
          <w:lang w:eastAsia="zh-CN"/>
        </w:rPr>
        <w:t>2025年1月</w:t>
      </w:r>
      <w:r>
        <w:rPr>
          <w:rFonts w:hint="eastAsia"/>
        </w:rPr>
        <w:t>—</w:t>
      </w:r>
      <w:r>
        <w:rPr>
          <w:rFonts w:hint="eastAsia"/>
          <w:lang w:eastAsia="zh-CN"/>
        </w:rPr>
        <w:t>2026年12月</w:t>
      </w:r>
      <w:r>
        <w:rPr>
          <w:rFonts w:hint="eastAsia"/>
        </w:rPr>
        <w:t>）该阶段由于主体工程施工，对项目建设过程中损毁的土地进行土地损毁监测，预防控制土地损毁，随施工结束，</w:t>
      </w:r>
      <w:r>
        <w:rPr>
          <w:rFonts w:hint="eastAsia"/>
          <w:lang w:val="en-US" w:eastAsia="zh-CN"/>
        </w:rPr>
        <w:t>设施</w:t>
      </w:r>
      <w:r>
        <w:rPr>
          <w:rFonts w:hint="eastAsia"/>
        </w:rPr>
        <w:t>等陆续使用完毕，可以复垦。</w:t>
      </w:r>
    </w:p>
    <w:p w14:paraId="2B3444B9">
      <w:pPr>
        <w:bidi w:val="0"/>
        <w:rPr>
          <w:rFonts w:hint="eastAsia"/>
        </w:rPr>
      </w:pPr>
      <w:r>
        <w:rPr>
          <w:rFonts w:hint="eastAsia"/>
        </w:rPr>
        <w:t>第二阶段（</w:t>
      </w:r>
      <w:r>
        <w:rPr>
          <w:rFonts w:hint="eastAsia"/>
          <w:lang w:eastAsia="zh-CN"/>
        </w:rPr>
        <w:t>202</w:t>
      </w:r>
      <w:r>
        <w:rPr>
          <w:rFonts w:hint="eastAsia"/>
          <w:lang w:val="en-US" w:eastAsia="zh-CN"/>
        </w:rPr>
        <w:t>7</w:t>
      </w:r>
      <w:r>
        <w:rPr>
          <w:rFonts w:hint="eastAsia"/>
          <w:lang w:eastAsia="zh-CN"/>
        </w:rPr>
        <w:t>年</w:t>
      </w:r>
      <w:r>
        <w:rPr>
          <w:rFonts w:hint="eastAsia"/>
          <w:lang w:val="en-US" w:eastAsia="zh-CN"/>
        </w:rPr>
        <w:t>1</w:t>
      </w:r>
      <w:r>
        <w:rPr>
          <w:rFonts w:hint="eastAsia"/>
          <w:lang w:eastAsia="zh-CN"/>
        </w:rPr>
        <w:t>月</w:t>
      </w:r>
      <w:r>
        <w:rPr>
          <w:rFonts w:hint="eastAsia"/>
        </w:rPr>
        <w:t>-</w:t>
      </w:r>
      <w:r>
        <w:rPr>
          <w:rFonts w:hint="eastAsia"/>
          <w:lang w:eastAsia="zh-CN"/>
        </w:rPr>
        <w:t>202</w:t>
      </w:r>
      <w:r>
        <w:rPr>
          <w:rFonts w:hint="eastAsia"/>
          <w:lang w:val="en-US" w:eastAsia="zh-CN"/>
        </w:rPr>
        <w:t>7</w:t>
      </w:r>
      <w:r>
        <w:rPr>
          <w:rFonts w:hint="eastAsia"/>
          <w:lang w:eastAsia="zh-CN"/>
        </w:rPr>
        <w:t>年</w:t>
      </w:r>
      <w:r>
        <w:rPr>
          <w:rFonts w:hint="eastAsia"/>
          <w:lang w:val="en-US" w:eastAsia="zh-CN"/>
        </w:rPr>
        <w:t>12</w:t>
      </w:r>
      <w:r>
        <w:rPr>
          <w:rFonts w:hint="eastAsia"/>
          <w:lang w:eastAsia="zh-CN"/>
        </w:rPr>
        <w:t>月</w:t>
      </w:r>
      <w:r>
        <w:rPr>
          <w:rFonts w:hint="eastAsia"/>
        </w:rPr>
        <w:t>）在建设期结束后，进行土地复垦施工，包括土地平整。</w:t>
      </w:r>
    </w:p>
    <w:p w14:paraId="45D1EDE1">
      <w:pPr>
        <w:ind w:firstLine="480"/>
        <w:rPr>
          <w:color w:val="auto"/>
        </w:rPr>
      </w:pPr>
      <w:r>
        <w:rPr>
          <w:rFonts w:hint="eastAsia"/>
          <w:color w:val="auto"/>
        </w:rPr>
        <w:t>年度土地复垦实施计划见表</w:t>
      </w:r>
      <w:r>
        <w:rPr>
          <w:color w:val="auto"/>
        </w:rPr>
        <w:t>8.2-</w:t>
      </w:r>
      <w:r>
        <w:rPr>
          <w:rFonts w:hint="eastAsia"/>
          <w:color w:val="auto"/>
        </w:rPr>
        <w:t>2</w:t>
      </w:r>
      <w:r>
        <w:rPr>
          <w:color w:val="auto"/>
        </w:rPr>
        <w:t>。</w:t>
      </w:r>
    </w:p>
    <w:p w14:paraId="072EB3FC">
      <w:pPr>
        <w:pStyle w:val="87"/>
        <w:ind w:left="0" w:leftChars="0" w:firstLine="0" w:firstLineChars="0"/>
        <w:jc w:val="center"/>
        <w:rPr>
          <w:rFonts w:hint="eastAsia"/>
        </w:rPr>
      </w:pPr>
      <w:r>
        <w:rPr>
          <w:rFonts w:hint="default" w:ascii="Times New Roman" w:hAnsi="Times New Roman" w:eastAsia="黑体" w:cs="Times New Roman"/>
          <w:color w:val="auto"/>
          <w:sz w:val="21"/>
          <w:szCs w:val="21"/>
        </w:rPr>
        <w:t>表8.</w:t>
      </w:r>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w:t>
      </w:r>
      <w:r>
        <w:rPr>
          <w:rFonts w:hint="default" w:ascii="Times New Roman" w:hAnsi="Times New Roman" w:eastAsia="黑体" w:cs="Times New Roman"/>
          <w:color w:val="auto"/>
          <w:sz w:val="21"/>
          <w:szCs w:val="21"/>
          <w:lang w:val="en-US" w:eastAsia="zh-CN"/>
        </w:rPr>
        <w:t>2</w:t>
      </w:r>
      <w:r>
        <w:rPr>
          <w:rFonts w:hint="eastAsia" w:eastAsia="黑体"/>
          <w:color w:val="auto"/>
          <w:sz w:val="21"/>
          <w:szCs w:val="21"/>
        </w:rPr>
        <w:t xml:space="preserve"> </w:t>
      </w:r>
      <w:r>
        <w:rPr>
          <w:rFonts w:eastAsia="黑体"/>
          <w:color w:val="auto"/>
          <w:sz w:val="21"/>
          <w:szCs w:val="21"/>
        </w:rPr>
        <w:t>项目</w:t>
      </w:r>
      <w:r>
        <w:rPr>
          <w:rFonts w:eastAsia="黑体"/>
          <w:color w:val="auto"/>
          <w:sz w:val="21"/>
          <w:szCs w:val="20"/>
        </w:rPr>
        <w:t>土地复垦工作计划安排表</w:t>
      </w:r>
    </w:p>
    <w:tbl>
      <w:tblPr>
        <w:tblStyle w:val="8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83"/>
        <w:gridCol w:w="1129"/>
        <w:gridCol w:w="1819"/>
        <w:gridCol w:w="1536"/>
        <w:gridCol w:w="1129"/>
        <w:gridCol w:w="1286"/>
      </w:tblGrid>
      <w:tr w14:paraId="31DE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C9ECF">
            <w:pPr>
              <w:pStyle w:val="100"/>
              <w:bidi w:val="0"/>
            </w:pPr>
            <w:r>
              <w:rPr>
                <w:rFonts w:hint="default"/>
                <w:lang w:val="en-US" w:eastAsia="zh-CN"/>
              </w:rPr>
              <w:t>复垦阶段</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8803">
            <w:pPr>
              <w:pStyle w:val="100"/>
              <w:bidi w:val="0"/>
              <w:rPr>
                <w:rFonts w:hint="default"/>
              </w:rPr>
            </w:pPr>
            <w:r>
              <w:rPr>
                <w:rFonts w:hint="default"/>
                <w:lang w:val="en-US" w:eastAsia="zh-CN"/>
              </w:rPr>
              <w:t>复垦面积</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45DED">
            <w:pPr>
              <w:pStyle w:val="100"/>
              <w:bidi w:val="0"/>
              <w:rPr>
                <w:rFonts w:hint="default"/>
              </w:rPr>
            </w:pPr>
            <w:r>
              <w:rPr>
                <w:rFonts w:hint="default"/>
                <w:lang w:val="en-US" w:eastAsia="zh-CN"/>
              </w:rPr>
              <w:t>复垦静态总投资</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F3DD9">
            <w:pPr>
              <w:pStyle w:val="100"/>
              <w:bidi w:val="0"/>
              <w:rPr>
                <w:rFonts w:hint="default"/>
              </w:rPr>
            </w:pPr>
            <w:r>
              <w:rPr>
                <w:rFonts w:hint="default"/>
                <w:lang w:val="en-US" w:eastAsia="zh-CN"/>
              </w:rPr>
              <w:t>主要复垦措施</w:t>
            </w:r>
          </w:p>
        </w:tc>
        <w:tc>
          <w:tcPr>
            <w:tcW w:w="6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27B917">
            <w:pPr>
              <w:pStyle w:val="100"/>
              <w:bidi w:val="0"/>
              <w:rPr>
                <w:rFonts w:hint="default"/>
              </w:rPr>
            </w:pPr>
            <w:r>
              <w:rPr>
                <w:rFonts w:hint="default"/>
                <w:lang w:val="en-US" w:eastAsia="zh-CN"/>
              </w:rPr>
              <w:t>计量单位</w:t>
            </w:r>
          </w:p>
        </w:tc>
        <w:tc>
          <w:tcPr>
            <w:tcW w:w="6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7F1AA">
            <w:pPr>
              <w:pStyle w:val="100"/>
              <w:bidi w:val="0"/>
              <w:rPr>
                <w:rFonts w:hint="default"/>
              </w:rPr>
            </w:pPr>
            <w:r>
              <w:rPr>
                <w:rFonts w:hint="default"/>
                <w:lang w:val="en-US" w:eastAsia="zh-CN"/>
              </w:rPr>
              <w:t>主要工程量</w:t>
            </w:r>
          </w:p>
        </w:tc>
      </w:tr>
      <w:tr w14:paraId="61B9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16AED">
            <w:pPr>
              <w:pStyle w:val="100"/>
              <w:bidi w:val="0"/>
              <w:rPr>
                <w:rFonts w:hint="default"/>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79481">
            <w:pPr>
              <w:pStyle w:val="100"/>
              <w:bidi w:val="0"/>
              <w:rPr>
                <w:rFonts w:hint="default"/>
              </w:rPr>
            </w:pP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93F23">
            <w:pPr>
              <w:pStyle w:val="100"/>
              <w:bidi w:val="0"/>
              <w:rPr>
                <w:rFonts w:hint="default"/>
              </w:rPr>
            </w:pPr>
            <w:r>
              <w:rPr>
                <w:rFonts w:hint="default"/>
                <w:lang w:val="en-US" w:eastAsia="zh-CN"/>
              </w:rPr>
              <w:t>万元</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18985">
            <w:pPr>
              <w:pStyle w:val="100"/>
              <w:bidi w:val="0"/>
              <w:rPr>
                <w:rFonts w:hint="default"/>
              </w:rPr>
            </w:pPr>
          </w:p>
        </w:tc>
        <w:tc>
          <w:tcPr>
            <w:tcW w:w="6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61883">
            <w:pPr>
              <w:pStyle w:val="100"/>
              <w:bidi w:val="0"/>
              <w:rPr>
                <w:rFonts w:hint="default"/>
              </w:rPr>
            </w:pPr>
          </w:p>
        </w:tc>
        <w:tc>
          <w:tcPr>
            <w:tcW w:w="6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84A37">
            <w:pPr>
              <w:pStyle w:val="100"/>
              <w:bidi w:val="0"/>
              <w:rPr>
                <w:rFonts w:hint="default"/>
              </w:rPr>
            </w:pPr>
          </w:p>
        </w:tc>
      </w:tr>
      <w:tr w14:paraId="07497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AF6E7">
            <w:pPr>
              <w:pStyle w:val="100"/>
              <w:bidi w:val="0"/>
              <w:rPr>
                <w:rFonts w:hint="default"/>
              </w:rPr>
            </w:pPr>
            <w:r>
              <w:rPr>
                <w:rFonts w:hint="eastAsia"/>
                <w:lang w:val="en-US" w:eastAsia="zh-CN"/>
              </w:rPr>
              <w:t>2025年1月</w:t>
            </w:r>
            <w:r>
              <w:rPr>
                <w:rFonts w:hint="default"/>
                <w:lang w:val="en-US" w:eastAsia="zh-CN"/>
              </w:rPr>
              <w:t>至</w:t>
            </w:r>
            <w:r>
              <w:rPr>
                <w:rFonts w:hint="eastAsia"/>
                <w:lang w:val="en-US" w:eastAsia="zh-CN"/>
              </w:rPr>
              <w:t>2026年12月</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EC49F">
            <w:pPr>
              <w:pStyle w:val="100"/>
              <w:bidi w:val="0"/>
              <w:rPr>
                <w:rFonts w:hint="default"/>
              </w:rPr>
            </w:pPr>
            <w:r>
              <w:rPr>
                <w:rFonts w:hint="eastAsia"/>
                <w:lang w:val="en-US" w:eastAsia="zh-CN"/>
              </w:rPr>
              <w:t>1.9648</w:t>
            </w:r>
          </w:p>
        </w:tc>
        <w:tc>
          <w:tcPr>
            <w:tcW w:w="1819" w:type="dxa"/>
            <w:tcBorders>
              <w:top w:val="nil"/>
              <w:left w:val="nil"/>
              <w:bottom w:val="nil"/>
              <w:right w:val="nil"/>
            </w:tcBorders>
            <w:shd w:val="clear" w:color="auto" w:fill="auto"/>
            <w:noWrap/>
            <w:vAlign w:val="center"/>
          </w:tcPr>
          <w:p w14:paraId="6FF786A2">
            <w:pPr>
              <w:pStyle w:val="100"/>
              <w:bidi w:val="0"/>
              <w:rPr>
                <w:rFonts w:hint="eastAsia"/>
              </w:rPr>
            </w:pPr>
            <w:r>
              <w:rPr>
                <w:rFonts w:hint="default"/>
                <w:lang w:val="en-US" w:eastAsia="zh-CN"/>
              </w:rPr>
              <w:t xml:space="preserve">0.8070 </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3BA3">
            <w:pPr>
              <w:pStyle w:val="100"/>
              <w:bidi w:val="0"/>
              <w:rPr>
                <w:rFonts w:hint="default"/>
              </w:rPr>
            </w:pPr>
            <w:r>
              <w:rPr>
                <w:rFonts w:hint="default"/>
                <w:lang w:val="en-US" w:eastAsia="zh-CN"/>
              </w:rPr>
              <w:t>土地损毁监测</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9764C">
            <w:pPr>
              <w:pStyle w:val="100"/>
              <w:bidi w:val="0"/>
              <w:rPr>
                <w:rFonts w:hint="default"/>
              </w:rPr>
            </w:pPr>
            <w:r>
              <w:rPr>
                <w:rFonts w:hint="default"/>
                <w:lang w:val="en-US" w:eastAsia="zh-CN"/>
              </w:rPr>
              <w:t>次</w:t>
            </w:r>
          </w:p>
        </w:tc>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7A7F">
            <w:pPr>
              <w:pStyle w:val="100"/>
              <w:bidi w:val="0"/>
              <w:rPr>
                <w:rFonts w:hint="default"/>
              </w:rPr>
            </w:pPr>
            <w:r>
              <w:rPr>
                <w:rFonts w:hint="eastAsia"/>
                <w:lang w:val="en-US" w:eastAsia="zh-CN"/>
              </w:rPr>
              <w:t>8</w:t>
            </w:r>
          </w:p>
        </w:tc>
      </w:tr>
      <w:tr w14:paraId="23D2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F7660">
            <w:pPr>
              <w:pStyle w:val="100"/>
              <w:bidi w:val="0"/>
              <w:rPr>
                <w:rFonts w:hint="default"/>
              </w:rPr>
            </w:pPr>
            <w:r>
              <w:rPr>
                <w:rFonts w:hint="default"/>
                <w:lang w:val="en-US" w:eastAsia="zh-CN"/>
              </w:rPr>
              <w:t>202</w:t>
            </w:r>
            <w:r>
              <w:rPr>
                <w:rFonts w:hint="eastAsia"/>
                <w:lang w:val="en-US" w:eastAsia="zh-CN"/>
              </w:rPr>
              <w:t>7</w:t>
            </w:r>
            <w:r>
              <w:rPr>
                <w:rFonts w:hint="default"/>
                <w:lang w:val="en-US" w:eastAsia="zh-CN"/>
              </w:rPr>
              <w:t>年</w:t>
            </w:r>
            <w:r>
              <w:rPr>
                <w:rFonts w:hint="eastAsia"/>
                <w:lang w:val="en-US" w:eastAsia="zh-CN"/>
              </w:rPr>
              <w:t>1</w:t>
            </w:r>
            <w:r>
              <w:rPr>
                <w:rFonts w:hint="default"/>
                <w:lang w:val="en-US" w:eastAsia="zh-CN"/>
              </w:rPr>
              <w:t>月至2027年</w:t>
            </w:r>
            <w:r>
              <w:rPr>
                <w:rFonts w:hint="eastAsia"/>
                <w:lang w:val="en-US" w:eastAsia="zh-CN"/>
              </w:rPr>
              <w:t>12</w:t>
            </w:r>
            <w:r>
              <w:rPr>
                <w:rFonts w:hint="default"/>
                <w:lang w:val="en-US" w:eastAsia="zh-CN"/>
              </w:rPr>
              <w:t>月</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348EA">
            <w:pPr>
              <w:pStyle w:val="100"/>
              <w:bidi w:val="0"/>
              <w:rPr>
                <w:rFonts w:hint="default"/>
              </w:rPr>
            </w:pPr>
            <w:r>
              <w:rPr>
                <w:rFonts w:hint="eastAsia"/>
                <w:lang w:val="en-US" w:eastAsia="zh-CN"/>
              </w:rPr>
              <w:t>1.9648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3F85">
            <w:pPr>
              <w:pStyle w:val="100"/>
              <w:bidi w:val="0"/>
              <w:rPr>
                <w:rFonts w:hint="default"/>
              </w:rPr>
            </w:pPr>
            <w:r>
              <w:rPr>
                <w:rFonts w:hint="default"/>
                <w:lang w:val="en-US" w:eastAsia="zh-CN"/>
              </w:rPr>
              <w:t>2.7774</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2E14">
            <w:pPr>
              <w:pStyle w:val="100"/>
              <w:bidi w:val="0"/>
              <w:rPr>
                <w:rFonts w:hint="default"/>
              </w:rPr>
            </w:pPr>
            <w:r>
              <w:rPr>
                <w:rFonts w:hint="default"/>
                <w:lang w:val="en-US" w:eastAsia="zh-CN"/>
              </w:rPr>
              <w:t>土地平整</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C1EBD">
            <w:pPr>
              <w:pStyle w:val="100"/>
              <w:bidi w:val="0"/>
              <w:rPr>
                <w:rFonts w:hint="default"/>
              </w:rPr>
            </w:pPr>
            <w:r>
              <w:rPr>
                <w:rFonts w:hint="default"/>
                <w:lang w:val="en-US" w:eastAsia="zh-CN"/>
              </w:rPr>
              <w:t>100m</w:t>
            </w:r>
            <w:r>
              <w:rPr>
                <w:rFonts w:hint="default"/>
                <w:vertAlign w:val="superscript"/>
                <w:lang w:val="en-US" w:eastAsia="zh-CN"/>
              </w:rPr>
              <w:t>3</w:t>
            </w:r>
          </w:p>
        </w:tc>
        <w:tc>
          <w:tcPr>
            <w:tcW w:w="6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BB7B">
            <w:pPr>
              <w:pStyle w:val="100"/>
              <w:bidi w:val="0"/>
              <w:rPr>
                <w:rFonts w:hint="default"/>
              </w:rPr>
            </w:pPr>
            <w:r>
              <w:rPr>
                <w:rFonts w:hint="eastAsia"/>
                <w:lang w:val="en-US" w:eastAsia="zh-CN"/>
              </w:rPr>
              <w:t>39.296</w:t>
            </w:r>
          </w:p>
        </w:tc>
      </w:tr>
      <w:tr w14:paraId="61A0C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2380">
            <w:pPr>
              <w:pStyle w:val="100"/>
              <w:bidi w:val="0"/>
              <w:rPr>
                <w:rFonts w:hint="default"/>
              </w:rPr>
            </w:pPr>
            <w:r>
              <w:rPr>
                <w:rFonts w:hint="default"/>
                <w:lang w:val="en-US" w:eastAsia="zh-CN"/>
              </w:rPr>
              <w:t>合计</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6DEE6">
            <w:pPr>
              <w:pStyle w:val="100"/>
              <w:bidi w:val="0"/>
              <w:rPr>
                <w:rFonts w:hint="default"/>
              </w:rPr>
            </w:pPr>
            <w:r>
              <w:rPr>
                <w:rFonts w:hint="eastAsia"/>
                <w:lang w:val="en-US" w:eastAsia="zh-CN"/>
              </w:rPr>
              <w:t>1.9648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E9C9">
            <w:pPr>
              <w:pStyle w:val="100"/>
              <w:bidi w:val="0"/>
              <w:rPr>
                <w:rFonts w:hint="default"/>
              </w:rPr>
            </w:pPr>
            <w:r>
              <w:rPr>
                <w:rFonts w:hint="default"/>
                <w:lang w:val="en-US" w:eastAsia="zh-CN"/>
              </w:rPr>
              <w:t>3.5844</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5B29">
            <w:pPr>
              <w:pStyle w:val="100"/>
              <w:bidi w:val="0"/>
              <w:rPr>
                <w:rFonts w:hint="default"/>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BD01">
            <w:pPr>
              <w:pStyle w:val="100"/>
              <w:bidi w:val="0"/>
              <w:rPr>
                <w:rFonts w:hint="default"/>
              </w:rPr>
            </w:pPr>
          </w:p>
        </w:tc>
        <w:tc>
          <w:tcPr>
            <w:tcW w:w="6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4628">
            <w:pPr>
              <w:pStyle w:val="100"/>
              <w:bidi w:val="0"/>
              <w:rPr>
                <w:rFonts w:hint="eastAsia"/>
              </w:rPr>
            </w:pPr>
          </w:p>
        </w:tc>
      </w:tr>
    </w:tbl>
    <w:p w14:paraId="0FFDFF7D">
      <w:pPr>
        <w:keepNext/>
        <w:keepLines/>
        <w:tabs>
          <w:tab w:val="left" w:pos="5640"/>
        </w:tabs>
        <w:snapToGrid w:val="0"/>
        <w:spacing w:before="240" w:beforeLines="100" w:after="120" w:afterLines="50" w:line="360" w:lineRule="auto"/>
        <w:ind w:firstLine="600" w:firstLineChars="200"/>
        <w:jc w:val="left"/>
        <w:outlineLvl w:val="1"/>
        <w:rPr>
          <w:rFonts w:ascii="Times New Roman" w:hAnsi="Times New Roman" w:eastAsia="仿宋_GB2312" w:cs="Times New Roman"/>
          <w:bCs/>
          <w:color w:val="000000"/>
          <w:sz w:val="24"/>
          <w:szCs w:val="32"/>
        </w:rPr>
      </w:pPr>
      <w:bookmarkStart w:id="213" w:name="_Toc9473"/>
      <w:r>
        <w:rPr>
          <w:rFonts w:ascii="Times New Roman" w:hAnsi="Times New Roman" w:eastAsia="黑体" w:cs="Times New Roman"/>
          <w:color w:val="000000"/>
          <w:sz w:val="30"/>
          <w:szCs w:val="28"/>
        </w:rPr>
        <w:t>8.3 土地复垦费用安排</w:t>
      </w:r>
      <w:bookmarkEnd w:id="213"/>
    </w:p>
    <w:p w14:paraId="548306C4">
      <w:pPr>
        <w:adjustRightInd w:val="0"/>
        <w:snapToGrid w:val="0"/>
        <w:spacing w:line="360" w:lineRule="auto"/>
        <w:ind w:firstLine="480" w:firstLineChars="200"/>
        <w:rPr>
          <w:rFonts w:ascii="Times New Roman" w:hAnsi="Times New Roman" w:eastAsia="仿宋_GB2312" w:cs="Times New Roman"/>
          <w:bCs/>
          <w:color w:val="000000"/>
          <w:sz w:val="24"/>
          <w:szCs w:val="32"/>
        </w:rPr>
      </w:pPr>
      <w:r>
        <w:rPr>
          <w:rFonts w:ascii="Times New Roman" w:hAnsi="Times New Roman" w:eastAsia="仿宋_GB2312" w:cs="Times New Roman"/>
          <w:bCs/>
          <w:color w:val="000000"/>
          <w:sz w:val="24"/>
          <w:szCs w:val="32"/>
        </w:rPr>
        <w:t>本项目土地复垦总投资是</w:t>
      </w:r>
      <w:r>
        <w:rPr>
          <w:rFonts w:hint="eastAsia" w:cs="Times New Roman"/>
          <w:bCs/>
          <w:color w:val="auto"/>
          <w:sz w:val="24"/>
          <w:szCs w:val="32"/>
          <w:lang w:val="en-US" w:eastAsia="zh-CN"/>
        </w:rPr>
        <w:t>3.5844</w:t>
      </w:r>
      <w:r>
        <w:rPr>
          <w:rFonts w:ascii="Times New Roman" w:hAnsi="Times New Roman" w:eastAsia="仿宋_GB2312" w:cs="Times New Roman"/>
          <w:bCs/>
          <w:color w:val="000000"/>
          <w:sz w:val="24"/>
          <w:szCs w:val="32"/>
        </w:rPr>
        <w:t>万元</w:t>
      </w:r>
      <w:r>
        <w:rPr>
          <w:rFonts w:hint="eastAsia" w:ascii="Times New Roman" w:hAnsi="Times New Roman" w:eastAsia="仿宋_GB2312" w:cs="Times New Roman"/>
          <w:bCs/>
          <w:color w:val="000000"/>
          <w:sz w:val="24"/>
          <w:szCs w:val="32"/>
        </w:rPr>
        <w:t>，</w:t>
      </w:r>
      <w:r>
        <w:rPr>
          <w:rFonts w:ascii="Times New Roman" w:hAnsi="Times New Roman" w:eastAsia="仿宋_GB2312" w:cs="Times New Roman"/>
          <w:bCs/>
          <w:color w:val="000000"/>
          <w:sz w:val="24"/>
          <w:szCs w:val="32"/>
        </w:rPr>
        <w:t>根据《土地复垦条例》及《土地复垦条例实施办法》规定要求，吐哈油田分公司应将该项目土地复垦费用全额列入项目建设总投资，土地复垦费用遵循提前预存、分阶段足额预存原则。根据《土地复垦条例实施办法》第十九条规定，生产建设周期在三年以下的项目，应当一次性全额预存土地复垦费用。因此，本方案土地复垦费用应在取得项目土地复垦方案批复文件后一个月内一次性预存完毕，存入由本项目建设单位建立的复垦资金共管专用</w:t>
      </w:r>
      <w:r>
        <w:rPr>
          <w:rFonts w:hint="eastAsia" w:cs="Times New Roman"/>
          <w:bCs/>
          <w:color w:val="000000"/>
          <w:sz w:val="24"/>
          <w:szCs w:val="32"/>
          <w:lang w:eastAsia="zh-CN"/>
        </w:rPr>
        <w:t>账户</w:t>
      </w:r>
      <w:r>
        <w:rPr>
          <w:rFonts w:ascii="Times New Roman" w:hAnsi="Times New Roman" w:eastAsia="仿宋_GB2312" w:cs="Times New Roman"/>
          <w:bCs/>
          <w:color w:val="000000"/>
          <w:sz w:val="24"/>
          <w:szCs w:val="32"/>
        </w:rPr>
        <w:t>。</w:t>
      </w:r>
    </w:p>
    <w:p w14:paraId="2E17B2D8">
      <w:pPr>
        <w:adjustRightInd w:val="0"/>
        <w:snapToGrid w:val="0"/>
        <w:spacing w:line="360" w:lineRule="auto"/>
        <w:ind w:firstLine="480" w:firstLineChars="200"/>
        <w:rPr>
          <w:rFonts w:ascii="Times New Roman" w:hAnsi="Times New Roman" w:eastAsia="仿宋_GB2312" w:cs="Times New Roman"/>
          <w:color w:val="000000"/>
          <w:sz w:val="24"/>
        </w:rPr>
      </w:pPr>
      <w:r>
        <w:rPr>
          <w:rFonts w:ascii="Times New Roman" w:hAnsi="Times New Roman" w:eastAsia="仿宋_GB2312" w:cs="Times New Roman"/>
          <w:bCs/>
          <w:color w:val="000000"/>
          <w:sz w:val="24"/>
          <w:szCs w:val="32"/>
        </w:rPr>
        <w:t>为保证土地复垦方案按计划实施，保证土地复垦资金的落实，复垦义务人将严格按照土地复垦方案的制定进行资金提取</w:t>
      </w:r>
      <w:r>
        <w:rPr>
          <w:rFonts w:ascii="Times New Roman" w:hAnsi="Times New Roman" w:eastAsia="仿宋_GB2312" w:cs="Times New Roman"/>
          <w:color w:val="000000"/>
          <w:sz w:val="24"/>
          <w:szCs w:val="24"/>
        </w:rPr>
        <w:t>。</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619D4E19">
      <w:pPr>
        <w:spacing w:line="360" w:lineRule="auto"/>
        <w:ind w:firstLine="482" w:firstLineChars="200"/>
        <w:rPr>
          <w:rFonts w:ascii="Times New Roman" w:hAnsi="Times New Roman" w:eastAsia="黑体" w:cs="Times New Roman"/>
          <w:b/>
          <w:bCs/>
          <w:color w:val="000000"/>
          <w:sz w:val="24"/>
          <w:szCs w:val="20"/>
        </w:rPr>
        <w:sectPr>
          <w:footerReference r:id="rId17" w:type="even"/>
          <w:pgSz w:w="11906" w:h="16838"/>
          <w:pgMar w:top="1418" w:right="1418" w:bottom="1701" w:left="1418" w:header="851" w:footer="992" w:gutter="0"/>
          <w:pgNumType w:fmt="decimal"/>
          <w:cols w:space="720" w:num="1"/>
          <w:docGrid w:linePitch="312" w:charSpace="0"/>
        </w:sectPr>
      </w:pPr>
    </w:p>
    <w:bookmarkEnd w:id="149"/>
    <w:bookmarkEnd w:id="150"/>
    <w:bookmarkEnd w:id="151"/>
    <w:p w14:paraId="6E4B5A1D">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214" w:name="_Toc23165"/>
      <w:bookmarkStart w:id="215" w:name="_Toc14220"/>
      <w:bookmarkStart w:id="216" w:name="_Toc384129352"/>
      <w:bookmarkStart w:id="217" w:name="_Toc402958215"/>
      <w:r>
        <w:rPr>
          <w:rFonts w:ascii="Times New Roman" w:hAnsi="Times New Roman" w:eastAsia="黑体" w:cs="Times New Roman"/>
          <w:color w:val="000000"/>
          <w:sz w:val="32"/>
          <w:szCs w:val="32"/>
        </w:rPr>
        <w:t>9 土地复垦效益分析</w:t>
      </w:r>
      <w:bookmarkEnd w:id="214"/>
      <w:bookmarkEnd w:id="215"/>
      <w:bookmarkEnd w:id="216"/>
      <w:bookmarkEnd w:id="217"/>
    </w:p>
    <w:p w14:paraId="78A9BE14">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复垦将改变生态环境，影响生产与生活，土地复垦效益包括经济效益、社会效益与生态效益，三者在复垦的不同阶段的表现各不相同。整体表现为前期以通过预防控制措施减少土地损毁为主，以通过土地复垦工程解决一定就业的社会效益为主。后期以生态、经济效益与社会效益综合发展。从效益服务对象上，其效益既包括</w:t>
      </w:r>
      <w:r>
        <w:rPr>
          <w:rFonts w:hint="eastAsia" w:ascii="Times New Roman" w:hAnsi="Times New Roman" w:eastAsia="仿宋_GB2312" w:cs="Times New Roman"/>
          <w:color w:val="000000"/>
          <w:sz w:val="24"/>
          <w:szCs w:val="24"/>
        </w:rPr>
        <w:t>吐哈油田分公司</w:t>
      </w:r>
      <w:r>
        <w:rPr>
          <w:rFonts w:ascii="Times New Roman" w:hAnsi="Times New Roman" w:eastAsia="仿宋_GB2312" w:cs="Times New Roman"/>
          <w:color w:val="000000"/>
          <w:sz w:val="24"/>
          <w:szCs w:val="24"/>
        </w:rPr>
        <w:t>因减少土地损毁而少缴的相关费用，又包括土地使用权人对复垦土地再利用产生的效益。从宏观上，还包括因土地复垦避免社会不稳定因素等带来的社会效益。</w:t>
      </w:r>
    </w:p>
    <w:p w14:paraId="7FC4A6A7">
      <w:pPr>
        <w:adjustRightInd w:val="0"/>
        <w:snapToGrid w:val="0"/>
        <w:spacing w:before="120" w:beforeLines="50" w:line="360" w:lineRule="auto"/>
        <w:ind w:firstLine="604" w:firstLineChars="200"/>
        <w:outlineLvl w:val="1"/>
        <w:rPr>
          <w:rFonts w:ascii="Times New Roman" w:hAnsi="Times New Roman" w:eastAsia="黑体" w:cs="Times New Roman"/>
          <w:bCs/>
          <w:color w:val="000000"/>
          <w:spacing w:val="1"/>
          <w:position w:val="-1"/>
          <w:sz w:val="30"/>
          <w:szCs w:val="30"/>
        </w:rPr>
      </w:pPr>
      <w:bookmarkStart w:id="218" w:name="_Toc503179563"/>
      <w:bookmarkStart w:id="219" w:name="_Toc27511"/>
      <w:bookmarkStart w:id="220" w:name="_Toc1991"/>
      <w:r>
        <w:rPr>
          <w:rFonts w:ascii="Times New Roman" w:hAnsi="Times New Roman" w:eastAsia="黑体" w:cs="Times New Roman"/>
          <w:bCs/>
          <w:color w:val="000000"/>
          <w:spacing w:val="1"/>
          <w:position w:val="-1"/>
          <w:sz w:val="30"/>
          <w:szCs w:val="30"/>
        </w:rPr>
        <w:t>9.1 社会效益</w:t>
      </w:r>
      <w:bookmarkEnd w:id="218"/>
      <w:bookmarkEnd w:id="219"/>
      <w:bookmarkEnd w:id="220"/>
    </w:p>
    <w:p w14:paraId="232C6F7E">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土地复垦是关系到国计民生的大事，不仅对生态恢复有着重大意义，而且对社会的安定团结和稳定发展也起着重要作用。本土地复垦方案实施后，将发挥以下社会效益：</w:t>
      </w:r>
    </w:p>
    <w:p w14:paraId="4296BA11">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一是本项目土地复垦方案实施后，可以最大程度减少项目工程建设过程中对土地的损毁，保证损毁土地及时复垦，减少水土流失和防止土地进一步沙化，确保油井建设安全正常运行。</w:t>
      </w:r>
    </w:p>
    <w:p w14:paraId="3AC0832E">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二是本项目土地复垦方案实施后，能够减少生态环境的损毁，改善项目临时用地区域生态环境，促进社会生态环境可持续发展。</w:t>
      </w:r>
    </w:p>
    <w:p w14:paraId="623AEEBD">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三是本项目开展土地复垦工作需要较多的工作人员，能够为当地劳动力提供更多的就业机会，对于维护社会和谐稳定起到积极的促进作用。</w:t>
      </w:r>
    </w:p>
    <w:p w14:paraId="2AE8F7DA">
      <w:pPr>
        <w:adjustRightInd w:val="0"/>
        <w:snapToGrid w:val="0"/>
        <w:spacing w:before="120" w:beforeLines="50" w:line="360" w:lineRule="auto"/>
        <w:ind w:firstLine="604" w:firstLineChars="200"/>
        <w:outlineLvl w:val="1"/>
        <w:rPr>
          <w:rFonts w:ascii="Times New Roman" w:hAnsi="Times New Roman" w:eastAsia="黑体" w:cs="Times New Roman"/>
          <w:bCs/>
          <w:color w:val="000000"/>
          <w:spacing w:val="1"/>
          <w:position w:val="-1"/>
          <w:sz w:val="30"/>
          <w:szCs w:val="30"/>
        </w:rPr>
      </w:pPr>
      <w:bookmarkStart w:id="221" w:name="_Toc23624"/>
      <w:bookmarkStart w:id="222" w:name="_Toc4041"/>
      <w:bookmarkStart w:id="223" w:name="_Toc503179564"/>
      <w:r>
        <w:rPr>
          <w:rFonts w:ascii="Times New Roman" w:hAnsi="Times New Roman" w:eastAsia="黑体" w:cs="Times New Roman"/>
          <w:bCs/>
          <w:color w:val="000000"/>
          <w:spacing w:val="1"/>
          <w:position w:val="-1"/>
          <w:sz w:val="30"/>
          <w:szCs w:val="30"/>
        </w:rPr>
        <w:t>9.2生态效益</w:t>
      </w:r>
      <w:bookmarkEnd w:id="221"/>
      <w:bookmarkEnd w:id="222"/>
    </w:p>
    <w:p w14:paraId="1E07381D">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土地是一个自然、经济、社会的综合体，同时也是一个巨大的生态系统。土地复垦是与生态重建密切结合的大型工程，其生态意义极其重大。土地复垦的实施对生态环境的影响表现在以下几个方面：</w:t>
      </w:r>
    </w:p>
    <w:p w14:paraId="488D4491">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一是防风固土，减缓土地退化。本项目建设不可避免将对生态环境造成损毁，并在一定程度上加剧边缘生态系统退化。通过实施土地复垦工程，可以有效防止项目区及周边生态系统退化与土地退化。</w:t>
      </w:r>
    </w:p>
    <w:p w14:paraId="330434E2">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二是遏制生态环境恶化，恢复和改善生态系统。项目区实施土地复垦之后，较复垦前植被覆盖率得到明显提高，将有效遏制项目区及周边生态环境的恶化，减轻水土流失状况。</w:t>
      </w:r>
    </w:p>
    <w:p w14:paraId="2FBC6C53">
      <w:pPr>
        <w:adjustRightInd w:val="0"/>
        <w:snapToGrid w:val="0"/>
        <w:spacing w:line="360" w:lineRule="auto"/>
        <w:ind w:firstLine="480" w:firstLineChars="200"/>
        <w:rPr>
          <w:rFonts w:ascii="Times New Roman" w:hAnsi="Times New Roman" w:eastAsia="仿宋_GB2312" w:cs="Times New Roman"/>
          <w:color w:val="000000"/>
          <w:sz w:val="24"/>
          <w:szCs w:val="24"/>
        </w:rPr>
      </w:pPr>
      <w:bookmarkStart w:id="224" w:name="_Toc24560718"/>
      <w:bookmarkStart w:id="225" w:name="_Toc58932673"/>
      <w:r>
        <w:rPr>
          <w:rFonts w:ascii="Times New Roman" w:hAnsi="Times New Roman" w:eastAsia="仿宋_GB2312" w:cs="Times New Roman"/>
          <w:color w:val="000000"/>
          <w:sz w:val="24"/>
          <w:szCs w:val="24"/>
        </w:rPr>
        <w:t>三是涵养水源，改良土壤。通过土壤重构、植被重建等工程的实施，项目区土壤结构得到了改善，涵养水源能力得到提升。</w:t>
      </w:r>
      <w:bookmarkEnd w:id="223"/>
      <w:bookmarkEnd w:id="224"/>
      <w:bookmarkEnd w:id="225"/>
    </w:p>
    <w:p w14:paraId="2616B402">
      <w:pPr>
        <w:adjustRightInd w:val="0"/>
        <w:snapToGrid w:val="0"/>
        <w:spacing w:before="120" w:beforeLines="50" w:line="360" w:lineRule="auto"/>
        <w:ind w:firstLine="604" w:firstLineChars="200"/>
        <w:outlineLvl w:val="1"/>
        <w:rPr>
          <w:rFonts w:ascii="Times New Roman" w:hAnsi="Times New Roman" w:eastAsia="黑体" w:cs="Times New Roman"/>
          <w:bCs/>
          <w:color w:val="000000"/>
          <w:spacing w:val="1"/>
          <w:position w:val="-1"/>
          <w:sz w:val="30"/>
          <w:szCs w:val="30"/>
        </w:rPr>
      </w:pPr>
      <w:bookmarkStart w:id="226" w:name="_Toc15124"/>
      <w:bookmarkStart w:id="227" w:name="_Toc503179565"/>
      <w:bookmarkStart w:id="228" w:name="_Toc13967"/>
      <w:r>
        <w:rPr>
          <w:rFonts w:ascii="Times New Roman" w:hAnsi="Times New Roman" w:eastAsia="黑体" w:cs="Times New Roman"/>
          <w:bCs/>
          <w:color w:val="000000"/>
          <w:spacing w:val="1"/>
          <w:position w:val="-1"/>
          <w:sz w:val="30"/>
          <w:szCs w:val="30"/>
        </w:rPr>
        <w:t>9.3 经济效益</w:t>
      </w:r>
      <w:bookmarkEnd w:id="226"/>
      <w:bookmarkEnd w:id="227"/>
      <w:bookmarkEnd w:id="228"/>
    </w:p>
    <w:p w14:paraId="6E646376">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复垦工程的经济效益体现在两个方面：一是直接经济效益；二是间接经济效益。直接经济效益是指通过实施土地复垦工程对复垦土地的再利用带来的农业产值。间接经济效益是通过实施土地复垦工程而减少的对项目区土地损毁等需要的生态补偿费。</w:t>
      </w:r>
    </w:p>
    <w:p w14:paraId="6B09B862">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通过实施土地复垦方案规划设计的工程措施和生物措施，减轻了对土地的损毁，使植被得到恢复，使环境治理与经济发展走上良性循环，对促进生态环境建设，改善当地环境，加快工程建设和发展当地经济具有重要意义。</w:t>
      </w:r>
    </w:p>
    <w:p w14:paraId="69AE2EDC">
      <w:pPr>
        <w:adjustRightInd w:val="0"/>
        <w:snapToGrid w:val="0"/>
        <w:spacing w:line="360" w:lineRule="auto"/>
        <w:ind w:firstLine="480" w:firstLineChars="200"/>
        <w:rPr>
          <w:rFonts w:ascii="Times New Roman" w:hAnsi="Times New Roman" w:eastAsia="仿宋_GB2312" w:cs="Times New Roman"/>
          <w:color w:val="000000"/>
          <w:sz w:val="24"/>
          <w:szCs w:val="24"/>
        </w:rPr>
      </w:pPr>
    </w:p>
    <w:p w14:paraId="280C11CC">
      <w:pPr>
        <w:adjustRightInd w:val="0"/>
        <w:snapToGrid w:val="0"/>
        <w:spacing w:line="360" w:lineRule="auto"/>
        <w:ind w:firstLine="480" w:firstLineChars="200"/>
        <w:rPr>
          <w:rFonts w:ascii="Times New Roman" w:hAnsi="Times New Roman" w:eastAsia="仿宋_GB2312" w:cs="Times New Roman"/>
          <w:color w:val="000000"/>
          <w:sz w:val="24"/>
          <w:szCs w:val="24"/>
        </w:rPr>
      </w:pPr>
    </w:p>
    <w:p w14:paraId="2A3DF159">
      <w:pPr>
        <w:adjustRightInd w:val="0"/>
        <w:snapToGrid w:val="0"/>
        <w:spacing w:line="360" w:lineRule="auto"/>
        <w:ind w:firstLine="480" w:firstLineChars="200"/>
        <w:rPr>
          <w:rFonts w:ascii="Times New Roman" w:hAnsi="Times New Roman" w:eastAsia="仿宋_GB2312" w:cs="Times New Roman"/>
          <w:color w:val="000000"/>
          <w:sz w:val="24"/>
          <w:szCs w:val="24"/>
        </w:rPr>
      </w:pPr>
    </w:p>
    <w:p w14:paraId="690EF272">
      <w:pPr>
        <w:adjustRightInd w:val="0"/>
        <w:snapToGrid w:val="0"/>
        <w:spacing w:line="360" w:lineRule="auto"/>
        <w:ind w:firstLine="480" w:firstLineChars="200"/>
        <w:rPr>
          <w:rFonts w:ascii="Times New Roman" w:hAnsi="Times New Roman" w:eastAsia="仿宋_GB2312" w:cs="Times New Roman"/>
          <w:color w:val="000000"/>
          <w:sz w:val="24"/>
          <w:szCs w:val="24"/>
        </w:rPr>
      </w:pPr>
    </w:p>
    <w:p w14:paraId="71F044B9">
      <w:pPr>
        <w:snapToGrid w:val="0"/>
        <w:spacing w:before="120" w:beforeLines="50" w:after="120" w:afterLines="50" w:line="360" w:lineRule="auto"/>
        <w:ind w:firstLine="640" w:firstLineChars="200"/>
        <w:rPr>
          <w:rFonts w:ascii="Times New Roman" w:hAnsi="Times New Roman" w:eastAsia="黑体" w:cs="Times New Roman"/>
          <w:color w:val="000000"/>
          <w:sz w:val="32"/>
          <w:szCs w:val="32"/>
        </w:rPr>
      </w:pPr>
      <w:bookmarkStart w:id="229" w:name="_Toc384129356"/>
      <w:bookmarkStart w:id="230" w:name="_Toc402958216"/>
    </w:p>
    <w:p w14:paraId="44FE9350">
      <w:pPr>
        <w:snapToGrid w:val="0"/>
        <w:spacing w:before="120" w:beforeLines="50" w:after="120" w:afterLines="50" w:line="360" w:lineRule="auto"/>
        <w:ind w:firstLine="640" w:firstLineChars="200"/>
        <w:rPr>
          <w:rFonts w:ascii="Times New Roman" w:hAnsi="Times New Roman" w:eastAsia="黑体" w:cs="Times New Roman"/>
          <w:color w:val="000000"/>
          <w:sz w:val="32"/>
          <w:szCs w:val="32"/>
        </w:rPr>
      </w:pPr>
    </w:p>
    <w:p w14:paraId="4B5E3C16">
      <w:pPr>
        <w:snapToGrid w:val="0"/>
        <w:spacing w:before="120" w:beforeLines="50" w:after="120" w:afterLines="50" w:line="360" w:lineRule="auto"/>
        <w:ind w:firstLine="640" w:firstLineChars="200"/>
        <w:rPr>
          <w:rFonts w:ascii="Times New Roman" w:hAnsi="Times New Roman" w:eastAsia="黑体" w:cs="Times New Roman"/>
          <w:color w:val="000000"/>
          <w:sz w:val="32"/>
          <w:szCs w:val="32"/>
        </w:rPr>
      </w:pPr>
    </w:p>
    <w:p w14:paraId="186FB24B">
      <w:pPr>
        <w:snapToGrid w:val="0"/>
        <w:spacing w:before="120" w:beforeLines="50" w:after="120" w:afterLines="50" w:line="360" w:lineRule="auto"/>
        <w:ind w:firstLine="640" w:firstLineChars="200"/>
        <w:rPr>
          <w:rFonts w:ascii="Times New Roman" w:hAnsi="Times New Roman" w:eastAsia="黑体" w:cs="Times New Roman"/>
          <w:color w:val="000000"/>
          <w:sz w:val="32"/>
          <w:szCs w:val="32"/>
        </w:rPr>
      </w:pPr>
    </w:p>
    <w:p w14:paraId="5504BFA1">
      <w:pPr>
        <w:snapToGrid w:val="0"/>
        <w:spacing w:before="120" w:beforeLines="50" w:after="120" w:afterLines="50" w:line="360" w:lineRule="auto"/>
        <w:ind w:firstLine="640" w:firstLineChars="200"/>
        <w:jc w:val="center"/>
        <w:outlineLvl w:val="0"/>
        <w:rPr>
          <w:rFonts w:ascii="Times New Roman" w:hAnsi="Times New Roman" w:eastAsia="黑体" w:cs="Times New Roman"/>
          <w:color w:val="000000"/>
          <w:sz w:val="32"/>
          <w:szCs w:val="32"/>
        </w:rPr>
        <w:sectPr>
          <w:pgSz w:w="11906" w:h="16838"/>
          <w:pgMar w:top="1701" w:right="1418" w:bottom="1418" w:left="1418" w:header="851" w:footer="992" w:gutter="0"/>
          <w:pgNumType w:fmt="decimal"/>
          <w:cols w:space="720" w:num="1"/>
          <w:docGrid w:linePitch="312" w:charSpace="0"/>
        </w:sectPr>
      </w:pPr>
    </w:p>
    <w:p w14:paraId="7B3DD8AB">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231" w:name="_Toc22130"/>
      <w:bookmarkStart w:id="232" w:name="_Toc27195"/>
      <w:r>
        <w:rPr>
          <w:rFonts w:ascii="Times New Roman" w:hAnsi="Times New Roman" w:eastAsia="黑体" w:cs="Times New Roman"/>
          <w:color w:val="000000"/>
          <w:sz w:val="32"/>
          <w:szCs w:val="32"/>
        </w:rPr>
        <w:t>10 保障措施</w:t>
      </w:r>
      <w:bookmarkEnd w:id="229"/>
      <w:bookmarkEnd w:id="230"/>
      <w:bookmarkEnd w:id="231"/>
      <w:bookmarkEnd w:id="232"/>
    </w:p>
    <w:p w14:paraId="129C04C2">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33" w:name="_Toc28068"/>
      <w:bookmarkStart w:id="234" w:name="_Toc384129357"/>
      <w:bookmarkStart w:id="235" w:name="_Toc14088"/>
      <w:bookmarkStart w:id="236" w:name="_Toc402958217"/>
      <w:r>
        <w:rPr>
          <w:rFonts w:ascii="Times New Roman" w:hAnsi="Times New Roman" w:eastAsia="黑体" w:cs="Times New Roman"/>
          <w:color w:val="000000"/>
          <w:sz w:val="30"/>
          <w:szCs w:val="28"/>
        </w:rPr>
        <w:t>10.1 组织保障措施</w:t>
      </w:r>
      <w:bookmarkEnd w:id="233"/>
      <w:bookmarkEnd w:id="234"/>
      <w:bookmarkEnd w:id="235"/>
      <w:bookmarkEnd w:id="236"/>
    </w:p>
    <w:p w14:paraId="3309C686">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37" w:name="_Toc384127097"/>
      <w:r>
        <w:rPr>
          <w:rFonts w:ascii="Times New Roman" w:hAnsi="Times New Roman" w:eastAsia="黑体" w:cs="Times New Roman"/>
          <w:bCs/>
          <w:color w:val="000000"/>
          <w:sz w:val="28"/>
          <w:szCs w:val="28"/>
        </w:rPr>
        <w:t>10.1.1 组织保障</w:t>
      </w:r>
      <w:bookmarkEnd w:id="237"/>
    </w:p>
    <w:p w14:paraId="2DCACBAB">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确保土地复垦方案提出的各项土地损毁防治措施的实施和落实，当地</w:t>
      </w:r>
      <w:r>
        <w:rPr>
          <w:rFonts w:hint="eastAsia" w:ascii="Times New Roman" w:hAnsi="Times New Roman" w:eastAsia="仿宋_GB2312" w:cs="Times New Roman"/>
          <w:color w:val="000000"/>
          <w:sz w:val="24"/>
          <w:szCs w:val="24"/>
        </w:rPr>
        <w:t>自然资源</w:t>
      </w:r>
      <w:r>
        <w:rPr>
          <w:rFonts w:ascii="Times New Roman" w:hAnsi="Times New Roman" w:eastAsia="仿宋_GB2312" w:cs="Times New Roman"/>
          <w:color w:val="000000"/>
          <w:sz w:val="24"/>
          <w:szCs w:val="24"/>
        </w:rPr>
        <w:t>行政主管部门与</w:t>
      </w:r>
      <w:r>
        <w:rPr>
          <w:rFonts w:hint="eastAsia" w:ascii="Times New Roman" w:hAnsi="Times New Roman" w:eastAsia="仿宋_GB2312" w:cs="Times New Roman"/>
          <w:color w:val="000000"/>
          <w:sz w:val="24"/>
          <w:szCs w:val="24"/>
        </w:rPr>
        <w:t>吐哈油田分</w:t>
      </w:r>
      <w:r>
        <w:rPr>
          <w:rFonts w:ascii="Times New Roman" w:hAnsi="Times New Roman" w:eastAsia="仿宋_GB2312" w:cs="Times New Roman"/>
          <w:color w:val="000000"/>
          <w:sz w:val="24"/>
          <w:szCs w:val="24"/>
        </w:rPr>
        <w:t>公司联合成立土地复垦领导小组，全面负责工程建设中的土地复垦工程管理和实施工作，按照土地复垦实施方案的治理措施、进度安排、技术标准等，严格要求施工单位，保质保量地完成土地复垦各项措施。</w:t>
      </w:r>
    </w:p>
    <w:p w14:paraId="33627526">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本项目土地复垦实施方式为</w:t>
      </w:r>
      <w:r>
        <w:rPr>
          <w:rFonts w:hint="eastAsia" w:ascii="Times New Roman" w:hAnsi="Times New Roman" w:eastAsia="仿宋_GB2312" w:cs="Times New Roman"/>
          <w:color w:val="000000"/>
          <w:sz w:val="24"/>
          <w:szCs w:val="24"/>
        </w:rPr>
        <w:t>吐哈油田分公司</w:t>
      </w:r>
      <w:r>
        <w:rPr>
          <w:rFonts w:ascii="Times New Roman" w:hAnsi="Times New Roman" w:eastAsia="仿宋_GB2312" w:cs="Times New Roman"/>
          <w:color w:val="000000"/>
          <w:sz w:val="24"/>
          <w:szCs w:val="24"/>
        </w:rPr>
        <w:t>委托第三方机构进行。在土地复垦实施过程中，委托的土地复垦专门机构，应选调责任心强，政策水平高，懂专业的得力人员，具体负责土地复垦的各项工作，严格按照本复垦方案制定的复垦措施、复垦工作计划、复垦投资、复垦标准和复垦目标等要求，采用项目管理的方式完成项目土地复垦工作。土地复垦明确分工、责任到人，同时制定本复垦方案实施的领导责任制，制定企业内部自我检查、监督制，杜绝边复垦、边损毁的现象发生，定期向主管领导汇报复垦进展情况，接受当地县级以上自然资源主管部门对本方案复垦工作的监督检查。</w:t>
      </w:r>
    </w:p>
    <w:p w14:paraId="2FF05AA0">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吐哈油田分公司相应管理部门将</w:t>
      </w:r>
      <w:r>
        <w:rPr>
          <w:rFonts w:ascii="Times New Roman" w:hAnsi="Times New Roman" w:eastAsia="仿宋_GB2312" w:cs="Times New Roman"/>
          <w:color w:val="000000"/>
          <w:sz w:val="24"/>
          <w:szCs w:val="24"/>
        </w:rPr>
        <w:t>严格按照建设工程招投标制度选择和确定施工队伍，并对施工队伍的资质、人员的素质乃至项目经理、工程师的经历、能力进行必要的严格的考核。一方面保证工程质量，另一方面使土地复垦投资合理化。同时，加强规章制度建设和业务学习培训，防止质量事故、安全事故的发生。</w:t>
      </w:r>
    </w:p>
    <w:p w14:paraId="0A47DB44">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38" w:name="_Toc384127098"/>
      <w:r>
        <w:rPr>
          <w:rFonts w:ascii="Times New Roman" w:hAnsi="Times New Roman" w:eastAsia="黑体" w:cs="Times New Roman"/>
          <w:bCs/>
          <w:color w:val="000000"/>
          <w:sz w:val="28"/>
          <w:szCs w:val="28"/>
        </w:rPr>
        <w:t>10.1.2 管理保障</w:t>
      </w:r>
      <w:bookmarkEnd w:id="238"/>
    </w:p>
    <w:p w14:paraId="6B7F2031">
      <w:pPr>
        <w:adjustRightIn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a）土地复垦责任人（即</w:t>
      </w:r>
      <w:r>
        <w:rPr>
          <w:rFonts w:hint="eastAsia" w:ascii="Times New Roman" w:hAnsi="Times New Roman" w:eastAsia="仿宋_GB2312" w:cs="Times New Roman"/>
          <w:color w:val="000000"/>
          <w:sz w:val="24"/>
          <w:szCs w:val="24"/>
        </w:rPr>
        <w:t>中石油吐哈油田分公司三塘湖采油管理区</w:t>
      </w:r>
      <w:r>
        <w:rPr>
          <w:rFonts w:ascii="Times New Roman" w:hAnsi="Times New Roman" w:eastAsia="仿宋_GB2312" w:cs="Times New Roman"/>
          <w:color w:val="000000"/>
          <w:sz w:val="24"/>
          <w:szCs w:val="24"/>
        </w:rPr>
        <w:t>）承诺加强对复垦后土地的管理，严格执行《</w:t>
      </w:r>
      <w:r>
        <w:rPr>
          <w:rFonts w:hint="eastAsia" w:cs="Times New Roman"/>
          <w:color w:val="00000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sz w:val="24"/>
          <w:szCs w:val="24"/>
        </w:rPr>
        <w:t>土地复垦方案报告书》中的相关复垦责任义务。</w:t>
      </w:r>
    </w:p>
    <w:p w14:paraId="7F35CEBE">
      <w:pPr>
        <w:adjustRightIn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b）按照方案确定的年度复垦方案逐地块落实，对土地复垦实行统一管理。</w:t>
      </w:r>
    </w:p>
    <w:p w14:paraId="472AF6C2">
      <w:pPr>
        <w:adjustRightIn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c）保护土地复垦单位的利益，调动土地复垦的积极性。</w:t>
      </w:r>
    </w:p>
    <w:p w14:paraId="7C45B1C1">
      <w:pPr>
        <w:adjustRightIn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d）坚持全面规划，综合治理，要治理一片见效一片，不搞半截子工程。</w:t>
      </w:r>
      <w:r>
        <w:rPr>
          <w:rFonts w:hint="eastAsia" w:ascii="Times New Roman" w:hAnsi="Times New Roman" w:eastAsia="仿宋_GB2312" w:cs="Times New Roman"/>
          <w:color w:val="000000"/>
          <w:sz w:val="24"/>
          <w:szCs w:val="24"/>
        </w:rPr>
        <w:t>复垦方式</w:t>
      </w:r>
      <w:r>
        <w:rPr>
          <w:rFonts w:ascii="Times New Roman" w:hAnsi="Times New Roman" w:eastAsia="仿宋_GB2312" w:cs="Times New Roman"/>
          <w:color w:val="000000"/>
          <w:sz w:val="24"/>
          <w:szCs w:val="24"/>
        </w:rPr>
        <w:t>在工程建设中严格实行招标制，按照公开、公正、公平的原则，择优选择工程队伍以确保工程质量，降低工程成本，加快工程进度。</w:t>
      </w:r>
    </w:p>
    <w:p w14:paraId="538BDC3B">
      <w:pPr>
        <w:adjustRightIn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e）同时对施工单位组织学习、宣传工作，提高工程建设者的土地复垦自觉行动意识。同时应配备土地复垦专业人员，以解决措施实施过程中的技术问题，接受当地主管部门的监督检查。</w:t>
      </w:r>
    </w:p>
    <w:p w14:paraId="6AC6B35C">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39" w:name="_Toc5712"/>
      <w:bookmarkStart w:id="240" w:name="_Toc402958218"/>
      <w:bookmarkStart w:id="241" w:name="_Toc7653"/>
      <w:bookmarkStart w:id="242" w:name="_Toc384129358"/>
      <w:r>
        <w:rPr>
          <w:rFonts w:ascii="Times New Roman" w:hAnsi="Times New Roman" w:eastAsia="黑体" w:cs="Times New Roman"/>
          <w:color w:val="000000"/>
          <w:sz w:val="30"/>
          <w:szCs w:val="28"/>
        </w:rPr>
        <w:t>10.2 费用保障措施</w:t>
      </w:r>
      <w:bookmarkEnd w:id="239"/>
      <w:bookmarkEnd w:id="240"/>
      <w:bookmarkEnd w:id="241"/>
      <w:bookmarkEnd w:id="242"/>
    </w:p>
    <w:p w14:paraId="0D041DF8">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43" w:name="_Toc272331015"/>
      <w:bookmarkStart w:id="244" w:name="_Toc260918523"/>
      <w:bookmarkStart w:id="245" w:name="_Toc247700693"/>
      <w:bookmarkStart w:id="246" w:name="_Toc384127100"/>
      <w:r>
        <w:rPr>
          <w:rFonts w:ascii="Times New Roman" w:hAnsi="Times New Roman" w:eastAsia="黑体" w:cs="Times New Roman"/>
          <w:bCs/>
          <w:color w:val="000000"/>
          <w:sz w:val="28"/>
          <w:szCs w:val="28"/>
        </w:rPr>
        <w:t>10.2.1 资金</w:t>
      </w:r>
      <w:bookmarkEnd w:id="243"/>
      <w:bookmarkEnd w:id="244"/>
      <w:bookmarkEnd w:id="245"/>
      <w:r>
        <w:rPr>
          <w:rFonts w:ascii="Times New Roman" w:hAnsi="Times New Roman" w:eastAsia="黑体" w:cs="Times New Roman"/>
          <w:bCs/>
          <w:color w:val="000000"/>
          <w:sz w:val="28"/>
          <w:szCs w:val="28"/>
        </w:rPr>
        <w:t>来源</w:t>
      </w:r>
      <w:bookmarkEnd w:id="246"/>
    </w:p>
    <w:p w14:paraId="7FE76F74">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复垦资金的保证是土地复垦工作顺利开展和取得成功的重要保证。没有资金支持，即使拥有再好的复垦技术和复垦条件，要想取得良好的治理效果也是非常困难的。根据我国《土地复垦条例》（国务院令</w:t>
      </w:r>
      <w:r>
        <w:rPr>
          <w:rFonts w:hint="eastAsia" w:ascii="宋体" w:hAnsi="宋体" w:eastAsia="宋体" w:cs="Times New Roman"/>
          <w:color w:val="000000"/>
          <w:kern w:val="0"/>
          <w:sz w:val="24"/>
          <w:szCs w:val="24"/>
        </w:rPr>
        <w:t>〔</w:t>
      </w:r>
      <w:r>
        <w:rPr>
          <w:rFonts w:ascii="Times New Roman" w:hAnsi="Times New Roman" w:eastAsia="仿宋_GB2312" w:cs="Times New Roman"/>
          <w:color w:val="000000"/>
          <w:kern w:val="0"/>
          <w:sz w:val="24"/>
          <w:szCs w:val="24"/>
        </w:rPr>
        <w:t>2011</w:t>
      </w:r>
      <w:r>
        <w:rPr>
          <w:rFonts w:hint="eastAsia" w:ascii="宋体" w:hAnsi="宋体" w:eastAsia="宋体" w:cs="Times New Roman"/>
          <w:color w:val="000000"/>
          <w:kern w:val="0"/>
          <w:sz w:val="24"/>
          <w:szCs w:val="24"/>
        </w:rPr>
        <w:t>〕</w:t>
      </w:r>
      <w:r>
        <w:rPr>
          <w:rFonts w:ascii="Times New Roman" w:hAnsi="Times New Roman" w:eastAsia="仿宋_GB2312" w:cs="Times New Roman"/>
          <w:color w:val="000000"/>
          <w:kern w:val="0"/>
          <w:sz w:val="24"/>
          <w:szCs w:val="24"/>
        </w:rPr>
        <w:t>第592号）第3条和15条的规定：生产建设活动损毁的土地，按照“谁损毁、谁复垦”的原则，由生产建设单位或者个人（土地复垦义务人）负责复垦；土地复垦义务人应当将土地复垦费用列入生产成本或者建设项目总投资。</w:t>
      </w:r>
    </w:p>
    <w:p w14:paraId="523A881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《土地复垦条例》</w:t>
      </w:r>
      <w:r>
        <w:rPr>
          <w:rFonts w:hint="eastAsia" w:ascii="Times New Roman" w:hAnsi="Times New Roman" w:eastAsia="仿宋_GB2312" w:cs="Times New Roman"/>
          <w:color w:val="000000"/>
          <w:kern w:val="0"/>
          <w:sz w:val="24"/>
          <w:szCs w:val="24"/>
        </w:rPr>
        <w:t>、</w:t>
      </w:r>
      <w:r>
        <w:rPr>
          <w:rFonts w:ascii="Times New Roman" w:hAnsi="Times New Roman" w:eastAsia="仿宋_GB2312" w:cs="Times New Roman"/>
          <w:color w:val="000000"/>
          <w:kern w:val="0"/>
          <w:sz w:val="24"/>
          <w:szCs w:val="24"/>
        </w:rPr>
        <w:t>《土地复垦条例实施办法》</w:t>
      </w:r>
      <w:r>
        <w:rPr>
          <w:rFonts w:hint="eastAsia" w:ascii="Times New Roman" w:hAnsi="Times New Roman" w:eastAsia="仿宋_GB2312" w:cs="Times New Roman"/>
          <w:color w:val="000000"/>
          <w:kern w:val="0"/>
          <w:sz w:val="24"/>
          <w:szCs w:val="24"/>
        </w:rPr>
        <w:t>指出：</w:t>
      </w:r>
      <w:r>
        <w:rPr>
          <w:rFonts w:ascii="Times New Roman" w:hAnsi="Times New Roman" w:eastAsia="仿宋_GB2312" w:cs="Times New Roman"/>
          <w:color w:val="000000"/>
          <w:kern w:val="0"/>
          <w:sz w:val="24"/>
          <w:szCs w:val="24"/>
        </w:rPr>
        <w:t>土地复垦费用应由生产或建设单位全部承担并将其计入生产成本或建设总投资。因此，吐哈油田分公司全部承担本项目的土地复垦费用并将其计入项目建设总投资。</w:t>
      </w:r>
    </w:p>
    <w:p w14:paraId="2EE4C72B">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本项目土地复垦工程静态总投资</w:t>
      </w:r>
      <w:r>
        <w:rPr>
          <w:rFonts w:hint="eastAsia" w:cs="Times New Roman"/>
          <w:color w:val="auto"/>
          <w:kern w:val="0"/>
          <w:sz w:val="24"/>
          <w:szCs w:val="24"/>
          <w:lang w:val="en-US" w:eastAsia="zh-CN"/>
        </w:rPr>
        <w:t>3.5844</w:t>
      </w:r>
      <w:r>
        <w:rPr>
          <w:rFonts w:ascii="Times New Roman" w:hAnsi="Times New Roman" w:eastAsia="仿宋_GB2312" w:cs="Times New Roman"/>
          <w:color w:val="000000"/>
          <w:kern w:val="0"/>
          <w:sz w:val="24"/>
          <w:szCs w:val="24"/>
        </w:rPr>
        <w:t>万元，全部为吐哈油田分公司自筹资金，列入该项目建设总投资，由吐哈油田分公司全部承担。待本土地复垦方案经自然资源主管部门论证审查通过后，吐哈油田分公司承诺将尽快落实其所需复垦费用，若实际复垦费用不足时承诺及时追加，并足额到位，追加的复垦资金列入该建设项目总投资。</w:t>
      </w:r>
    </w:p>
    <w:p w14:paraId="58F913BF">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47" w:name="_Toc384127101"/>
      <w:bookmarkStart w:id="248" w:name="_Toc300664019"/>
      <w:r>
        <w:rPr>
          <w:rFonts w:ascii="Times New Roman" w:hAnsi="Times New Roman" w:eastAsia="黑体" w:cs="Times New Roman"/>
          <w:bCs/>
          <w:color w:val="000000"/>
          <w:sz w:val="28"/>
          <w:szCs w:val="28"/>
        </w:rPr>
        <w:t>10.2.2 费用存放</w:t>
      </w:r>
      <w:bookmarkEnd w:id="247"/>
      <w:bookmarkEnd w:id="248"/>
    </w:p>
    <w:p w14:paraId="405EA48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吐哈油田分公司在当地银行建立</w:t>
      </w:r>
      <w:r>
        <w:rPr>
          <w:rFonts w:hint="eastAsia" w:ascii="Times New Roman" w:hAnsi="Times New Roman" w:eastAsia="仿宋_GB2312" w:cs="Times New Roman"/>
          <w:color w:val="000000"/>
          <w:kern w:val="0"/>
          <w:sz w:val="24"/>
          <w:szCs w:val="24"/>
        </w:rPr>
        <w:t>“</w:t>
      </w:r>
      <w:r>
        <w:rPr>
          <w:rFonts w:hint="eastAsia" w:cs="Times New Roman"/>
          <w:color w:val="000000"/>
          <w:kern w:val="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kern w:val="0"/>
          <w:sz w:val="24"/>
          <w:szCs w:val="24"/>
        </w:rPr>
        <w:t>土地复垦资金专用账户</w:t>
      </w:r>
      <w:r>
        <w:rPr>
          <w:rFonts w:hint="eastAsia" w:ascii="Times New Roman" w:hAnsi="Times New Roman" w:eastAsia="仿宋_GB2312" w:cs="Times New Roman"/>
          <w:color w:val="000000"/>
          <w:kern w:val="0"/>
          <w:sz w:val="24"/>
          <w:szCs w:val="24"/>
        </w:rPr>
        <w:t>”</w:t>
      </w:r>
      <w:r>
        <w:rPr>
          <w:rFonts w:ascii="Times New Roman" w:hAnsi="Times New Roman" w:eastAsia="仿宋_GB2312" w:cs="Times New Roman"/>
          <w:color w:val="000000"/>
          <w:kern w:val="0"/>
          <w:sz w:val="24"/>
          <w:szCs w:val="24"/>
        </w:rPr>
        <w:t>，将土地复垦费用存入复垦费用专用账户中，结合复垦工作计划安排，并与当地自然资源局、银行三方签订“土地复垦费用监管协议”，协议中需明确各方的责任，复垦费用的具体监管手段。土地复垦费用专用账户按照“企业所有，政府监管，专户存储、专款专用”的原则管理。</w:t>
      </w:r>
    </w:p>
    <w:p w14:paraId="083D6D30">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每月吐哈油田分公司</w:t>
      </w:r>
      <w:r>
        <w:rPr>
          <w:rFonts w:hint="eastAsia" w:ascii="Times New Roman" w:hAnsi="Times New Roman" w:eastAsia="仿宋_GB2312" w:cs="Times New Roman"/>
          <w:color w:val="000000"/>
          <w:kern w:val="0"/>
          <w:sz w:val="24"/>
          <w:szCs w:val="24"/>
        </w:rPr>
        <w:t>将</w:t>
      </w:r>
      <w:r>
        <w:rPr>
          <w:rFonts w:ascii="Times New Roman" w:hAnsi="Times New Roman" w:eastAsia="仿宋_GB2312" w:cs="Times New Roman"/>
          <w:color w:val="000000"/>
          <w:kern w:val="0"/>
          <w:sz w:val="24"/>
          <w:szCs w:val="24"/>
        </w:rPr>
        <w:t>根据当月的土地复垦费用计提计划对复垦费用进行提取，并及时存入吐哈油田分公司在当地银行建立的专用账户中。自然资源主管部门将按照每月土地复垦计划，对土地复垦资金专用账户中的资金存储、使用情况进行监督管理。银行协助当地自然资源局对本项目土地复垦费用的存储、支取进行监督管理。</w:t>
      </w:r>
    </w:p>
    <w:p w14:paraId="614F7F67">
      <w:pPr>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49" w:name="_Toc300664020"/>
      <w:bookmarkStart w:id="250" w:name="_Toc288119965"/>
      <w:bookmarkStart w:id="251" w:name="_Toc256494370"/>
      <w:bookmarkStart w:id="252" w:name="_Toc384127102"/>
      <w:r>
        <w:rPr>
          <w:rFonts w:ascii="Times New Roman" w:hAnsi="Times New Roman" w:eastAsia="黑体" w:cs="Times New Roman"/>
          <w:bCs/>
          <w:color w:val="000000"/>
          <w:sz w:val="28"/>
          <w:szCs w:val="28"/>
        </w:rPr>
        <w:t>10.2.3 费用使用</w:t>
      </w:r>
      <w:bookmarkEnd w:id="249"/>
      <w:bookmarkEnd w:id="250"/>
      <w:bookmarkEnd w:id="251"/>
      <w:r>
        <w:rPr>
          <w:rFonts w:ascii="Times New Roman" w:hAnsi="Times New Roman" w:eastAsia="黑体" w:cs="Times New Roman"/>
          <w:bCs/>
          <w:color w:val="000000"/>
          <w:sz w:val="28"/>
          <w:szCs w:val="28"/>
        </w:rPr>
        <w:t>与管理</w:t>
      </w:r>
      <w:bookmarkEnd w:id="252"/>
    </w:p>
    <w:p w14:paraId="20A60465">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吐哈油田分公司根据本项目土地复垦工程的进度安排合理使用土地复垦资金，服从接受当地自然资源局对该项目复垦资金的提取、使用的监管与监督。</w:t>
      </w:r>
    </w:p>
    <w:p w14:paraId="6A0FE307">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a）复垦项目建设严格执行进度拨款制度。资金拨付由施工单位根据工程进度向公司土地复垦管理机构提出申请，经审查签字后，报财务审批。公司土地复垦管理机构须向自然资源主管部门提出申请。</w:t>
      </w:r>
    </w:p>
    <w:p w14:paraId="17DD57FA">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b）复垦资金使用中各科目实际支出与预算金额相差超过20%时，须向土地复垦管理机构提交书面申请，主管人员审核通过后方可使用。</w:t>
      </w:r>
    </w:p>
    <w:p w14:paraId="51B6C291">
      <w:pPr>
        <w:spacing w:line="360" w:lineRule="auto"/>
        <w:ind w:firstLine="480" w:firstLineChars="200"/>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c）施工单位每月填写复垦资金使用情况报表，对每一笔复垦资金的用途均要有详细明确的记录。复垦资金使用情况报表每月提交公司土地复垦管理机构审核备案。</w:t>
      </w:r>
    </w:p>
    <w:p w14:paraId="457E1BF3">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kern w:val="0"/>
          <w:sz w:val="24"/>
          <w:szCs w:val="24"/>
        </w:rPr>
        <w:t>d）保证土地复垦费用专用于土地复垦工作，对截留、挤占、滥用、挪用土地复垦费用的，追究当事人、相关责任人的责任，依法给予相应的行政、经济处分；对当事人和相关责任人构成犯罪的，应依法追究刑事责任。</w:t>
      </w:r>
    </w:p>
    <w:p w14:paraId="327E1C19">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53" w:name="_Toc260918526"/>
      <w:bookmarkStart w:id="254" w:name="_Toc384127103"/>
      <w:bookmarkStart w:id="255" w:name="_Toc272331018"/>
      <w:bookmarkStart w:id="256" w:name="_Toc247700696"/>
      <w:r>
        <w:rPr>
          <w:rFonts w:ascii="Times New Roman" w:hAnsi="Times New Roman" w:eastAsia="黑体" w:cs="Times New Roman"/>
          <w:bCs/>
          <w:color w:val="000000"/>
          <w:sz w:val="28"/>
          <w:szCs w:val="28"/>
        </w:rPr>
        <w:t>10.2.4 费用审计</w:t>
      </w:r>
      <w:bookmarkEnd w:id="253"/>
      <w:bookmarkEnd w:id="254"/>
      <w:bookmarkEnd w:id="255"/>
      <w:bookmarkEnd w:id="256"/>
    </w:p>
    <w:p w14:paraId="3C2BB039">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土地复垦资金审计，由吐哈油田分公司土地复垦管理机构申请，自然资源主管部门组织和监督，委托中介机构（如：会计师事务所）进行复垦费用审计。审计内容包括费用规模、用途、时间进度等。</w:t>
      </w:r>
    </w:p>
    <w:p w14:paraId="3207F8A8">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a）审计复垦年度资金预算是否合理；</w:t>
      </w:r>
    </w:p>
    <w:p w14:paraId="2A8388D3">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b）审计复垦资金使用情况月度报表是否真实；</w:t>
      </w:r>
    </w:p>
    <w:p w14:paraId="6D8F1E49">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c）审计复垦年度资金预算执行情况，以及年度复垦资金收支情况；</w:t>
      </w:r>
    </w:p>
    <w:p w14:paraId="6BACECAD">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d）审计阶段复垦资金收支及使用情况；</w:t>
      </w:r>
    </w:p>
    <w:p w14:paraId="7B56B0DA">
      <w:pPr>
        <w:autoSpaceDE w:val="0"/>
        <w:autoSpaceDN w:val="0"/>
        <w:snapToGrid w:val="0"/>
        <w:spacing w:line="360" w:lineRule="auto"/>
        <w:ind w:firstLine="424" w:firstLineChars="177"/>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e）确定资金的会计记录正确无误，金额正确，计量无误，</w:t>
      </w:r>
      <w:r>
        <w:rPr>
          <w:rFonts w:hint="eastAsia" w:cs="Times New Roman"/>
          <w:color w:val="000000"/>
          <w:kern w:val="0"/>
          <w:sz w:val="24"/>
          <w:szCs w:val="24"/>
          <w:lang w:eastAsia="zh-CN"/>
        </w:rPr>
        <w:t>明细账</w:t>
      </w:r>
      <w:r>
        <w:rPr>
          <w:rFonts w:ascii="Times New Roman" w:hAnsi="Times New Roman" w:eastAsia="仿宋_GB2312" w:cs="Times New Roman"/>
          <w:color w:val="000000"/>
          <w:kern w:val="0"/>
          <w:sz w:val="24"/>
          <w:szCs w:val="24"/>
        </w:rPr>
        <w:t>和总帐一致，是否有被贪污或挪用现象。</w:t>
      </w:r>
    </w:p>
    <w:p w14:paraId="4C61BD8B">
      <w:pPr>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57" w:name="_Toc402958219"/>
      <w:bookmarkStart w:id="258" w:name="_Toc384129360"/>
      <w:bookmarkStart w:id="259" w:name="_Toc6408"/>
      <w:bookmarkStart w:id="260" w:name="_Toc11617"/>
      <w:r>
        <w:rPr>
          <w:rFonts w:ascii="Times New Roman" w:hAnsi="Times New Roman" w:eastAsia="黑体" w:cs="Times New Roman"/>
          <w:color w:val="000000"/>
          <w:sz w:val="30"/>
          <w:szCs w:val="28"/>
        </w:rPr>
        <w:t>10.3 监管保障措施</w:t>
      </w:r>
      <w:bookmarkEnd w:id="257"/>
      <w:bookmarkEnd w:id="258"/>
      <w:bookmarkEnd w:id="259"/>
      <w:bookmarkEnd w:id="260"/>
    </w:p>
    <w:p w14:paraId="41124DF1">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61" w:name="_Toc384127106"/>
      <w:r>
        <w:rPr>
          <w:rFonts w:ascii="Times New Roman" w:hAnsi="Times New Roman" w:eastAsia="黑体" w:cs="Times New Roman"/>
          <w:bCs/>
          <w:color w:val="000000"/>
          <w:sz w:val="28"/>
          <w:szCs w:val="28"/>
        </w:rPr>
        <w:t>10.3.1 土地复垦</w:t>
      </w:r>
      <w:bookmarkEnd w:id="261"/>
      <w:r>
        <w:rPr>
          <w:rFonts w:ascii="Times New Roman" w:hAnsi="Times New Roman" w:eastAsia="黑体" w:cs="Times New Roman"/>
          <w:bCs/>
          <w:color w:val="000000"/>
          <w:sz w:val="28"/>
          <w:szCs w:val="28"/>
        </w:rPr>
        <w:t>监督管理</w:t>
      </w:r>
    </w:p>
    <w:p w14:paraId="4A71C49C">
      <w:pPr>
        <w:adjustRightInd w:val="0"/>
        <w:snapToGrid w:val="0"/>
        <w:spacing w:line="360" w:lineRule="auto"/>
        <w:ind w:firstLine="480" w:firstLineChars="200"/>
        <w:textAlignment w:val="baseline"/>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本项目土地复垦过程中的监测包括为土地损毁监测，主要是采用测量仪器、照相机等器材工具通过人工巡视的方法定期对油田生产运营期土地损毁情况进行监测。复垦义务人应当于每年12月31日前向当地自然资源局报告项目土地复垦费用使用情况及土地复垦工程实施情况，积极配合当地自然资源局对土地复垦费用的使用和土地复垦实施情况的监督检查。</w:t>
      </w:r>
    </w:p>
    <w:p w14:paraId="6ABD160D">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62" w:name="_Toc384127107"/>
      <w:r>
        <w:rPr>
          <w:rFonts w:ascii="Times New Roman" w:hAnsi="Times New Roman" w:eastAsia="黑体" w:cs="Times New Roman"/>
          <w:bCs/>
          <w:color w:val="000000"/>
          <w:sz w:val="28"/>
          <w:szCs w:val="28"/>
        </w:rPr>
        <w:t>10.3.2 土地复垦验收</w:t>
      </w:r>
      <w:bookmarkEnd w:id="262"/>
    </w:p>
    <w:p w14:paraId="023EF4E7">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参与项目勘察、设计、施工及管理的单位，必须具备国家规定的资质条件，取得相应的资质证书；项目质量管理必须严格按照有关规范、规程执行，做到责任明确，奖罚分明，施工所需材料须经质检部门验收合格后方可使用。</w:t>
      </w:r>
    </w:p>
    <w:p w14:paraId="6C53DDCE">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吐哈油田分公司按照土地复垦方案的要求完成本项目土地复垦任务后，应当按照《土地复垦条例》、《土地复垦条例实施办法》等有关法律法规向所在地县级自然资源主管部门提出申请验收书面申请，并提供验收调查报告及相关图件、规划设计执行报告、质量评估报告等相关材料。</w:t>
      </w:r>
    </w:p>
    <w:p w14:paraId="2CD6325F">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当地自然资源主管部门接到申请后，会同当地农业、林业、草原、环境保护等有关部门邀请有关专家进行现场踏勘，查验复垦后的土地是否符合土地复垦质量要求以及土地复垦方案的要求，核实复垦后的土地类型、面积和质量等情况，并将初步验收结果公告，听取相关权利人的意见。相关权利人对土地复垦完成情况提出异议的，当地自然资源局将会同有关部门进一步核查，并将核查情况向相关权利人反馈；情况属实的，应当向土地复垦义务人提出整改意见。</w:t>
      </w:r>
    </w:p>
    <w:p w14:paraId="461CCDE7">
      <w:pPr>
        <w:spacing w:line="360" w:lineRule="auto"/>
        <w:ind w:firstLine="480" w:firstLineChars="200"/>
        <w:rPr>
          <w:rFonts w:ascii="Times New Roman" w:hAnsi="Times New Roman" w:eastAsia="仿宋_GB2312" w:cs="Times New Roman"/>
          <w:color w:val="000000"/>
          <w:sz w:val="24"/>
          <w:szCs w:val="24"/>
        </w:rPr>
      </w:pPr>
      <w:r>
        <w:rPr>
          <w:rFonts w:hint="eastAsia" w:cs="Times New Roman"/>
          <w:color w:val="00000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sz w:val="24"/>
          <w:szCs w:val="24"/>
        </w:rPr>
        <w:t>土地复垦进行验收的主要内容为：</w:t>
      </w:r>
    </w:p>
    <w:p w14:paraId="7129EF46">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a）土地复垦计划目标与任务完成情况；</w:t>
      </w:r>
    </w:p>
    <w:p w14:paraId="356B2DB9">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b）规划设计执行情况；</w:t>
      </w:r>
    </w:p>
    <w:p w14:paraId="5B633ABE">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c）复垦工程质量与土地质量等级；</w:t>
      </w:r>
    </w:p>
    <w:p w14:paraId="5007D696">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d）复垦资金使用与管理情况；</w:t>
      </w:r>
    </w:p>
    <w:p w14:paraId="58362025">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e）土地权属管理、档案资料管理情况；</w:t>
      </w:r>
    </w:p>
    <w:p w14:paraId="4DDA35E7">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f）工程保护措施等。</w:t>
      </w:r>
    </w:p>
    <w:p w14:paraId="0C7EB909">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本项目土地复垦验收时间为复垦工程完工之后，重点验收对象为采取工程措施复垦的内容，验收标准为工程措施标准。</w:t>
      </w:r>
    </w:p>
    <w:p w14:paraId="6048CFC4">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初验合格后，由当地自然资源主管部门向新疆维吾尔自治区自然资源厅申请最终验收工作。本项目土地复垦工作复验合格的，当地自然资源局将向复垦单位出具验收合格确认书；经验收不合格的，将向复垦单位出具书面整改意见，复垦单位应按照整改意见进行整改，整改完成后重新申请验收。若整改后仍不合格的，应当缴纳土地复垦费，由当地自然资源局代为组织复垦。若复垦义务人未按规定缴纳本项目土地复垦费的，由当地自然资源局责令限期缴纳；逾期不缴纳的，按国家相关规定处罚。</w:t>
      </w:r>
    </w:p>
    <w:p w14:paraId="577F7746">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若</w:t>
      </w:r>
      <w:r>
        <w:rPr>
          <w:rFonts w:hint="eastAsia" w:ascii="Times New Roman" w:hAnsi="Times New Roman" w:eastAsia="仿宋_GB2312" w:cs="Times New Roman"/>
          <w:color w:val="000000"/>
          <w:sz w:val="24"/>
          <w:szCs w:val="24"/>
        </w:rPr>
        <w:t>吐哈油田分公司作为</w:t>
      </w:r>
      <w:r>
        <w:rPr>
          <w:rFonts w:ascii="Times New Roman" w:hAnsi="Times New Roman" w:eastAsia="仿宋_GB2312" w:cs="Times New Roman"/>
          <w:color w:val="000000"/>
          <w:sz w:val="24"/>
          <w:szCs w:val="24"/>
        </w:rPr>
        <w:t>复垦义务人未按照规定报告本项目土地损毁情况、土地复垦费用使用情况或者土地复垦工程实施情况的，由当地自然资源局责令限期改正；逾期不改正，按国家相关规定处罚。</w:t>
      </w:r>
    </w:p>
    <w:p w14:paraId="04E7CD42">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63" w:name="_Toc22755"/>
      <w:bookmarkStart w:id="264" w:name="_Toc402958220"/>
      <w:bookmarkStart w:id="265" w:name="_Toc246340499"/>
      <w:bookmarkStart w:id="266" w:name="_Toc260918521"/>
      <w:bookmarkStart w:id="267" w:name="_Toc247700691"/>
      <w:bookmarkStart w:id="268" w:name="_Toc6745"/>
      <w:bookmarkStart w:id="269" w:name="_Toc272331013"/>
      <w:bookmarkStart w:id="270" w:name="_Toc323225516"/>
      <w:r>
        <w:rPr>
          <w:rFonts w:ascii="Times New Roman" w:hAnsi="Times New Roman" w:eastAsia="黑体" w:cs="Times New Roman"/>
          <w:color w:val="000000"/>
          <w:sz w:val="30"/>
          <w:szCs w:val="28"/>
        </w:rPr>
        <w:t>10.4 技术保障</w:t>
      </w:r>
      <w:bookmarkEnd w:id="263"/>
      <w:bookmarkEnd w:id="264"/>
      <w:bookmarkEnd w:id="265"/>
      <w:bookmarkEnd w:id="266"/>
      <w:bookmarkEnd w:id="267"/>
      <w:bookmarkEnd w:id="268"/>
      <w:bookmarkEnd w:id="269"/>
      <w:bookmarkEnd w:id="270"/>
    </w:p>
    <w:p w14:paraId="261A0DC6">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土地复垦工作人员须掌握土地复垦基础知识，受过相关专业的专门训练；在施工过程中技术人员要亲临现场进行施工监理，确保工程施工的质量及标准，及时解决复垦过程中的问题。</w:t>
      </w:r>
    </w:p>
    <w:p w14:paraId="021D4CCD">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针对项目区内土地复垦的方法，经济、合理、可行、达到合理高效利用土地的标准。项目一经批准，项目实施单位必须严格按总体规划执行，并确保资金、人员、机械、技术服务到位，设立专门办公室，具体负责复垦工程的规划指导、监督、检查、组织协调和工程实施，并对其实行目标管理，确保规划设计目标的实现。为便于土地复垦方案实施和管理，应将土地复垦方案设计资料及图表、年度施工进度、年度经费使用等技术经济指标、效益指标以及检查验收的全部文件、报告、图表等资料归档，为土地复垦措施施工和土地复垦的管理提供充分的依据。</w:t>
      </w:r>
    </w:p>
    <w:p w14:paraId="7BFB7577">
      <w:pPr>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本项目区的土地复垦工程与项目所在地区的相关规划和生态环境综合治理工作密切结合，在实际的复垦过程中，吐哈油田分公司将联合相关科研机构及当地的自然资源、农业、林业、草原、环保等有关部门，进行多方联手攻关，保证复垦生态系统向良性方向发展。</w:t>
      </w:r>
    </w:p>
    <w:p w14:paraId="60A796FE">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71" w:name="_Toc402958221"/>
      <w:bookmarkStart w:id="272" w:name="_Toc384129361"/>
      <w:bookmarkStart w:id="273" w:name="_Toc5614"/>
      <w:bookmarkStart w:id="274" w:name="_Toc15076"/>
      <w:r>
        <w:rPr>
          <w:rFonts w:ascii="Times New Roman" w:hAnsi="Times New Roman" w:eastAsia="黑体" w:cs="Times New Roman"/>
          <w:color w:val="000000"/>
          <w:sz w:val="30"/>
          <w:szCs w:val="28"/>
        </w:rPr>
        <w:t>10.5公众参与</w:t>
      </w:r>
      <w:bookmarkEnd w:id="271"/>
      <w:bookmarkEnd w:id="272"/>
      <w:bookmarkEnd w:id="273"/>
      <w:bookmarkEnd w:id="274"/>
    </w:p>
    <w:p w14:paraId="4662DD46">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75" w:name="_Toc310364659"/>
      <w:r>
        <w:rPr>
          <w:rFonts w:ascii="Times New Roman" w:hAnsi="Times New Roman" w:eastAsia="黑体" w:cs="Times New Roman"/>
          <w:bCs/>
          <w:color w:val="000000"/>
          <w:sz w:val="28"/>
          <w:szCs w:val="28"/>
        </w:rPr>
        <w:t>10.5.1 方案编制中的公众参与</w:t>
      </w:r>
      <w:bookmarkEnd w:id="275"/>
    </w:p>
    <w:p w14:paraId="724F4D8E">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土地复垦是一项庞大的系统工程，需要大力引导公众参与土地复垦工作的力度，积极宣传土地复垦的法律、法规和相关政策，使社会各界形成复垦土地、保护生态的共识。本项目公众参与方式包括：</w:t>
      </w:r>
    </w:p>
    <w:p w14:paraId="28FB287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a）信息公开</w:t>
      </w:r>
    </w:p>
    <w:p w14:paraId="703E971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向公众发布环保公告，公示建设项目的基本情况、土地复垦工作的主要内容及公众提出意见的方式等。公告主要粘贴在项目区所在乡镇人员密集处，引来群众驻足观看，当地群众对公告的内容和形式也较接受。</w:t>
      </w:r>
    </w:p>
    <w:p w14:paraId="51EC8AE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b）发放调查表</w:t>
      </w:r>
    </w:p>
    <w:p w14:paraId="674536A9">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走访工程涉及的单位和群众，广泛征询了项目区所在</w:t>
      </w:r>
      <w:r>
        <w:rPr>
          <w:rFonts w:hint="eastAsia" w:cs="Times New Roman"/>
          <w:color w:val="000000"/>
          <w:kern w:val="0"/>
          <w:sz w:val="24"/>
          <w:szCs w:val="24"/>
          <w:lang w:val="en-US" w:eastAsia="zh-CN"/>
        </w:rPr>
        <w:t>群众</w:t>
      </w:r>
      <w:r>
        <w:rPr>
          <w:rFonts w:ascii="Times New Roman" w:hAnsi="Times New Roman" w:eastAsia="仿宋_GB2312" w:cs="Times New Roman"/>
          <w:color w:val="000000"/>
          <w:kern w:val="0"/>
          <w:sz w:val="24"/>
          <w:szCs w:val="24"/>
        </w:rPr>
        <w:t>的意见和建议，并采取发放公众意见调查表的方式了解群众对本工程的意见。</w:t>
      </w:r>
    </w:p>
    <w:p w14:paraId="6A503EED">
      <w:pPr>
        <w:autoSpaceDE w:val="0"/>
        <w:autoSpaceDN w:val="0"/>
        <w:snapToGrid w:val="0"/>
        <w:spacing w:line="360" w:lineRule="auto"/>
        <w:ind w:firstLine="480" w:firstLineChars="200"/>
        <w:jc w:val="center"/>
        <w:textAlignment w:val="center"/>
        <w:rPr>
          <w:rFonts w:ascii="Times New Roman" w:hAnsi="Times New Roman" w:eastAsia="仿宋_GB2312" w:cs="Times New Roman"/>
          <w:color w:val="000000"/>
          <w:kern w:val="0"/>
          <w:sz w:val="24"/>
          <w:szCs w:val="24"/>
        </w:rPr>
      </w:pPr>
      <w:r>
        <w:rPr>
          <w:rFonts w:ascii="Times New Roman" w:hAnsi="Times New Roman" w:eastAsia="黑体" w:cs="Times New Roman"/>
          <w:color w:val="000000"/>
          <w:szCs w:val="21"/>
        </w:rPr>
        <w:t xml:space="preserve">表10.5-1   </w:t>
      </w:r>
      <w:r>
        <w:rPr>
          <w:rFonts w:hint="eastAsia" w:ascii="Times New Roman" w:hAnsi="Times New Roman" w:eastAsia="黑体" w:cs="Times New Roman"/>
          <w:color w:val="000000"/>
          <w:szCs w:val="21"/>
        </w:rPr>
        <w:t>土</w:t>
      </w:r>
      <w:r>
        <w:rPr>
          <w:rFonts w:ascii="Times New Roman" w:hAnsi="Times New Roman" w:eastAsia="黑体" w:cs="Times New Roman"/>
          <w:color w:val="000000"/>
          <w:szCs w:val="21"/>
        </w:rPr>
        <w:t>地复垦方案编制公众参与调查表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445"/>
        <w:gridCol w:w="1183"/>
        <w:gridCol w:w="1180"/>
        <w:gridCol w:w="663"/>
        <w:gridCol w:w="706"/>
        <w:gridCol w:w="96"/>
        <w:gridCol w:w="608"/>
        <w:gridCol w:w="384"/>
        <w:gridCol w:w="320"/>
        <w:gridCol w:w="988"/>
      </w:tblGrid>
      <w:tr w14:paraId="002F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284" w:type="dxa"/>
            <w:vAlign w:val="center"/>
          </w:tcPr>
          <w:p w14:paraId="769DB8EA">
            <w:pPr>
              <w:pStyle w:val="100"/>
              <w:bidi w:val="0"/>
            </w:pPr>
            <w:r>
              <w:t>姓   名</w:t>
            </w:r>
          </w:p>
        </w:tc>
        <w:tc>
          <w:tcPr>
            <w:tcW w:w="1445" w:type="dxa"/>
            <w:vAlign w:val="center"/>
          </w:tcPr>
          <w:p w14:paraId="3837811A">
            <w:pPr>
              <w:pStyle w:val="100"/>
              <w:bidi w:val="0"/>
            </w:pPr>
          </w:p>
        </w:tc>
        <w:tc>
          <w:tcPr>
            <w:tcW w:w="1183" w:type="dxa"/>
            <w:vAlign w:val="center"/>
          </w:tcPr>
          <w:p w14:paraId="542949C5">
            <w:pPr>
              <w:pStyle w:val="100"/>
              <w:bidi w:val="0"/>
            </w:pPr>
            <w:r>
              <w:t>性别</w:t>
            </w:r>
          </w:p>
        </w:tc>
        <w:tc>
          <w:tcPr>
            <w:tcW w:w="1180" w:type="dxa"/>
            <w:vAlign w:val="center"/>
          </w:tcPr>
          <w:p w14:paraId="7B70E4F3">
            <w:pPr>
              <w:pStyle w:val="100"/>
              <w:bidi w:val="0"/>
            </w:pPr>
            <w:r>
              <w:t>男□ 女□</w:t>
            </w:r>
          </w:p>
        </w:tc>
        <w:tc>
          <w:tcPr>
            <w:tcW w:w="663" w:type="dxa"/>
            <w:vAlign w:val="center"/>
          </w:tcPr>
          <w:p w14:paraId="574EDC16">
            <w:pPr>
              <w:pStyle w:val="100"/>
              <w:bidi w:val="0"/>
            </w:pPr>
            <w:r>
              <w:t>民族</w:t>
            </w:r>
          </w:p>
        </w:tc>
        <w:tc>
          <w:tcPr>
            <w:tcW w:w="802" w:type="dxa"/>
            <w:gridSpan w:val="2"/>
            <w:vAlign w:val="center"/>
          </w:tcPr>
          <w:p w14:paraId="0EBBFFDE">
            <w:pPr>
              <w:pStyle w:val="100"/>
              <w:bidi w:val="0"/>
            </w:pPr>
          </w:p>
        </w:tc>
        <w:tc>
          <w:tcPr>
            <w:tcW w:w="992" w:type="dxa"/>
            <w:gridSpan w:val="2"/>
            <w:vAlign w:val="center"/>
          </w:tcPr>
          <w:p w14:paraId="2F48F7F3">
            <w:pPr>
              <w:pStyle w:val="100"/>
              <w:bidi w:val="0"/>
            </w:pPr>
            <w:r>
              <w:t>年龄</w:t>
            </w:r>
          </w:p>
        </w:tc>
        <w:tc>
          <w:tcPr>
            <w:tcW w:w="1308" w:type="dxa"/>
            <w:gridSpan w:val="2"/>
            <w:vAlign w:val="center"/>
          </w:tcPr>
          <w:p w14:paraId="21D6D16E">
            <w:pPr>
              <w:pStyle w:val="100"/>
              <w:bidi w:val="0"/>
            </w:pPr>
          </w:p>
        </w:tc>
      </w:tr>
      <w:tr w14:paraId="1650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84" w:type="dxa"/>
            <w:vAlign w:val="center"/>
          </w:tcPr>
          <w:p w14:paraId="427CA476">
            <w:pPr>
              <w:pStyle w:val="100"/>
              <w:bidi w:val="0"/>
            </w:pPr>
            <w:r>
              <w:t>职业及</w:t>
            </w:r>
          </w:p>
          <w:p w14:paraId="45B6B3BC">
            <w:pPr>
              <w:pStyle w:val="100"/>
              <w:bidi w:val="0"/>
            </w:pPr>
            <w:r>
              <w:t>工作单位</w:t>
            </w:r>
          </w:p>
        </w:tc>
        <w:tc>
          <w:tcPr>
            <w:tcW w:w="7573" w:type="dxa"/>
            <w:gridSpan w:val="10"/>
            <w:vAlign w:val="center"/>
          </w:tcPr>
          <w:p w14:paraId="7675D5DF">
            <w:pPr>
              <w:pStyle w:val="100"/>
              <w:bidi w:val="0"/>
            </w:pPr>
          </w:p>
        </w:tc>
      </w:tr>
      <w:tr w14:paraId="04BB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284" w:type="dxa"/>
            <w:vAlign w:val="center"/>
          </w:tcPr>
          <w:p w14:paraId="521AC651">
            <w:pPr>
              <w:pStyle w:val="100"/>
              <w:bidi w:val="0"/>
            </w:pPr>
            <w:r>
              <w:t>居住地距本项目方位及距离</w:t>
            </w:r>
          </w:p>
        </w:tc>
        <w:tc>
          <w:tcPr>
            <w:tcW w:w="7573" w:type="dxa"/>
            <w:gridSpan w:val="10"/>
            <w:vAlign w:val="center"/>
          </w:tcPr>
          <w:p w14:paraId="1C66FA7A">
            <w:pPr>
              <w:pStyle w:val="100"/>
              <w:bidi w:val="0"/>
            </w:pPr>
          </w:p>
        </w:tc>
      </w:tr>
      <w:tr w14:paraId="512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84" w:type="dxa"/>
            <w:vAlign w:val="center"/>
          </w:tcPr>
          <w:p w14:paraId="0DB127AC">
            <w:pPr>
              <w:pStyle w:val="100"/>
              <w:bidi w:val="0"/>
            </w:pPr>
            <w:r>
              <w:t>文化程度</w:t>
            </w:r>
          </w:p>
        </w:tc>
        <w:tc>
          <w:tcPr>
            <w:tcW w:w="7573" w:type="dxa"/>
            <w:gridSpan w:val="10"/>
            <w:vAlign w:val="center"/>
          </w:tcPr>
          <w:p w14:paraId="1B352F35">
            <w:pPr>
              <w:pStyle w:val="100"/>
              <w:bidi w:val="0"/>
            </w:pPr>
            <w:r>
              <w:t>小学 □   初中 □   高中 □   中专 □   大学 □   硕士以上 □</w:t>
            </w:r>
          </w:p>
        </w:tc>
      </w:tr>
      <w:tr w14:paraId="6E0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84" w:type="dxa"/>
            <w:vMerge w:val="restart"/>
            <w:vAlign w:val="center"/>
          </w:tcPr>
          <w:p w14:paraId="04A6E5A3">
            <w:pPr>
              <w:pStyle w:val="100"/>
              <w:bidi w:val="0"/>
            </w:pPr>
            <w:r>
              <w:t>序号</w:t>
            </w:r>
          </w:p>
        </w:tc>
        <w:tc>
          <w:tcPr>
            <w:tcW w:w="4471" w:type="dxa"/>
            <w:gridSpan w:val="4"/>
            <w:vMerge w:val="restart"/>
            <w:vAlign w:val="center"/>
          </w:tcPr>
          <w:p w14:paraId="64F9C38C">
            <w:pPr>
              <w:pStyle w:val="100"/>
              <w:bidi w:val="0"/>
            </w:pPr>
            <w:r>
              <w:t>问          题</w:t>
            </w:r>
          </w:p>
        </w:tc>
        <w:tc>
          <w:tcPr>
            <w:tcW w:w="2114" w:type="dxa"/>
            <w:gridSpan w:val="5"/>
            <w:vAlign w:val="center"/>
          </w:tcPr>
          <w:p w14:paraId="5CB12E84">
            <w:pPr>
              <w:pStyle w:val="100"/>
              <w:bidi w:val="0"/>
            </w:pPr>
            <w:r>
              <w:t>您的答案</w:t>
            </w:r>
          </w:p>
        </w:tc>
        <w:tc>
          <w:tcPr>
            <w:tcW w:w="988" w:type="dxa"/>
            <w:vMerge w:val="restart"/>
            <w:vAlign w:val="center"/>
          </w:tcPr>
          <w:p w14:paraId="2D4F5AB3">
            <w:pPr>
              <w:pStyle w:val="100"/>
              <w:bidi w:val="0"/>
            </w:pPr>
            <w:r>
              <w:t>备注</w:t>
            </w:r>
          </w:p>
        </w:tc>
      </w:tr>
      <w:tr w14:paraId="27DF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84" w:type="dxa"/>
            <w:vMerge w:val="continue"/>
            <w:vAlign w:val="center"/>
          </w:tcPr>
          <w:p w14:paraId="77D9CD40">
            <w:pPr>
              <w:pStyle w:val="100"/>
              <w:bidi w:val="0"/>
            </w:pPr>
          </w:p>
        </w:tc>
        <w:tc>
          <w:tcPr>
            <w:tcW w:w="4471" w:type="dxa"/>
            <w:gridSpan w:val="4"/>
            <w:vMerge w:val="continue"/>
            <w:vAlign w:val="center"/>
          </w:tcPr>
          <w:p w14:paraId="2749E3D2">
            <w:pPr>
              <w:pStyle w:val="100"/>
              <w:bidi w:val="0"/>
            </w:pPr>
          </w:p>
        </w:tc>
        <w:tc>
          <w:tcPr>
            <w:tcW w:w="706" w:type="dxa"/>
            <w:vAlign w:val="center"/>
          </w:tcPr>
          <w:p w14:paraId="317169EE">
            <w:pPr>
              <w:pStyle w:val="100"/>
              <w:bidi w:val="0"/>
            </w:pPr>
            <w:r>
              <w:t>A</w:t>
            </w:r>
          </w:p>
        </w:tc>
        <w:tc>
          <w:tcPr>
            <w:tcW w:w="704" w:type="dxa"/>
            <w:gridSpan w:val="2"/>
            <w:vAlign w:val="center"/>
          </w:tcPr>
          <w:p w14:paraId="7B102DD4">
            <w:pPr>
              <w:pStyle w:val="100"/>
              <w:bidi w:val="0"/>
            </w:pPr>
            <w:r>
              <w:t>B</w:t>
            </w:r>
          </w:p>
        </w:tc>
        <w:tc>
          <w:tcPr>
            <w:tcW w:w="704" w:type="dxa"/>
            <w:gridSpan w:val="2"/>
            <w:vAlign w:val="center"/>
          </w:tcPr>
          <w:p w14:paraId="329883F7">
            <w:pPr>
              <w:pStyle w:val="100"/>
              <w:bidi w:val="0"/>
            </w:pPr>
            <w:r>
              <w:t>C</w:t>
            </w:r>
          </w:p>
        </w:tc>
        <w:tc>
          <w:tcPr>
            <w:tcW w:w="988" w:type="dxa"/>
            <w:vMerge w:val="continue"/>
            <w:vAlign w:val="center"/>
          </w:tcPr>
          <w:p w14:paraId="010CB850">
            <w:pPr>
              <w:pStyle w:val="100"/>
              <w:bidi w:val="0"/>
            </w:pPr>
          </w:p>
        </w:tc>
      </w:tr>
      <w:tr w14:paraId="5776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84" w:type="dxa"/>
            <w:vAlign w:val="center"/>
          </w:tcPr>
          <w:p w14:paraId="6FE0367C">
            <w:pPr>
              <w:pStyle w:val="100"/>
              <w:bidi w:val="0"/>
            </w:pPr>
            <w:r>
              <w:t>1</w:t>
            </w:r>
          </w:p>
        </w:tc>
        <w:tc>
          <w:tcPr>
            <w:tcW w:w="4471" w:type="dxa"/>
            <w:gridSpan w:val="4"/>
            <w:vAlign w:val="center"/>
          </w:tcPr>
          <w:p w14:paraId="65BFF5DF">
            <w:pPr>
              <w:pStyle w:val="100"/>
              <w:bidi w:val="0"/>
            </w:pPr>
            <w:r>
              <w:t>您对本项目了解程度：</w:t>
            </w:r>
          </w:p>
          <w:p w14:paraId="419DE408">
            <w:pPr>
              <w:pStyle w:val="100"/>
              <w:bidi w:val="0"/>
            </w:pPr>
            <w:r>
              <w:t>A很了解；B一般了解；C不了解</w:t>
            </w:r>
          </w:p>
        </w:tc>
        <w:tc>
          <w:tcPr>
            <w:tcW w:w="706" w:type="dxa"/>
            <w:vAlign w:val="center"/>
          </w:tcPr>
          <w:p w14:paraId="55E1D9D3">
            <w:pPr>
              <w:pStyle w:val="100"/>
              <w:bidi w:val="0"/>
            </w:pPr>
          </w:p>
        </w:tc>
        <w:tc>
          <w:tcPr>
            <w:tcW w:w="704" w:type="dxa"/>
            <w:gridSpan w:val="2"/>
            <w:vAlign w:val="center"/>
          </w:tcPr>
          <w:p w14:paraId="7DDC0B1C">
            <w:pPr>
              <w:pStyle w:val="100"/>
              <w:bidi w:val="0"/>
            </w:pPr>
          </w:p>
        </w:tc>
        <w:tc>
          <w:tcPr>
            <w:tcW w:w="704" w:type="dxa"/>
            <w:gridSpan w:val="2"/>
            <w:vAlign w:val="center"/>
          </w:tcPr>
          <w:p w14:paraId="7C756686">
            <w:pPr>
              <w:pStyle w:val="100"/>
              <w:bidi w:val="0"/>
            </w:pPr>
          </w:p>
        </w:tc>
        <w:tc>
          <w:tcPr>
            <w:tcW w:w="988" w:type="dxa"/>
            <w:vAlign w:val="center"/>
          </w:tcPr>
          <w:p w14:paraId="1F05E276">
            <w:pPr>
              <w:pStyle w:val="100"/>
              <w:bidi w:val="0"/>
            </w:pPr>
          </w:p>
        </w:tc>
      </w:tr>
      <w:tr w14:paraId="0E9B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84" w:type="dxa"/>
            <w:vAlign w:val="center"/>
          </w:tcPr>
          <w:p w14:paraId="55AADA48">
            <w:pPr>
              <w:pStyle w:val="100"/>
              <w:bidi w:val="0"/>
            </w:pPr>
            <w:r>
              <w:t>2</w:t>
            </w:r>
          </w:p>
        </w:tc>
        <w:tc>
          <w:tcPr>
            <w:tcW w:w="4471" w:type="dxa"/>
            <w:gridSpan w:val="4"/>
            <w:vAlign w:val="center"/>
          </w:tcPr>
          <w:p w14:paraId="53004E3C">
            <w:pPr>
              <w:pStyle w:val="100"/>
              <w:bidi w:val="0"/>
            </w:pPr>
            <w:r>
              <w:t>您认为本项目是否有利于地方经济发展：</w:t>
            </w:r>
          </w:p>
          <w:p w14:paraId="449158EE">
            <w:pPr>
              <w:pStyle w:val="100"/>
              <w:bidi w:val="0"/>
            </w:pPr>
            <w:r>
              <w:t>A是；B否；C不清楚</w:t>
            </w:r>
          </w:p>
        </w:tc>
        <w:tc>
          <w:tcPr>
            <w:tcW w:w="706" w:type="dxa"/>
            <w:vAlign w:val="center"/>
          </w:tcPr>
          <w:p w14:paraId="6ECA66BA">
            <w:pPr>
              <w:pStyle w:val="100"/>
              <w:bidi w:val="0"/>
            </w:pPr>
          </w:p>
        </w:tc>
        <w:tc>
          <w:tcPr>
            <w:tcW w:w="704" w:type="dxa"/>
            <w:gridSpan w:val="2"/>
            <w:vAlign w:val="center"/>
          </w:tcPr>
          <w:p w14:paraId="0FBB74EE">
            <w:pPr>
              <w:pStyle w:val="100"/>
              <w:bidi w:val="0"/>
            </w:pPr>
          </w:p>
        </w:tc>
        <w:tc>
          <w:tcPr>
            <w:tcW w:w="704" w:type="dxa"/>
            <w:gridSpan w:val="2"/>
            <w:vAlign w:val="center"/>
          </w:tcPr>
          <w:p w14:paraId="227EA10B">
            <w:pPr>
              <w:pStyle w:val="100"/>
              <w:bidi w:val="0"/>
            </w:pPr>
          </w:p>
        </w:tc>
        <w:tc>
          <w:tcPr>
            <w:tcW w:w="988" w:type="dxa"/>
            <w:vAlign w:val="center"/>
          </w:tcPr>
          <w:p w14:paraId="4415F6EC">
            <w:pPr>
              <w:pStyle w:val="100"/>
              <w:bidi w:val="0"/>
            </w:pPr>
          </w:p>
        </w:tc>
      </w:tr>
      <w:tr w14:paraId="6039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284" w:type="dxa"/>
            <w:vAlign w:val="center"/>
          </w:tcPr>
          <w:p w14:paraId="79AD4A11">
            <w:pPr>
              <w:pStyle w:val="100"/>
              <w:bidi w:val="0"/>
            </w:pPr>
            <w:r>
              <w:t>3</w:t>
            </w:r>
          </w:p>
        </w:tc>
        <w:tc>
          <w:tcPr>
            <w:tcW w:w="4471" w:type="dxa"/>
            <w:gridSpan w:val="4"/>
            <w:vAlign w:val="center"/>
          </w:tcPr>
          <w:p w14:paraId="6D78B47E">
            <w:pPr>
              <w:pStyle w:val="100"/>
              <w:bidi w:val="0"/>
            </w:pPr>
            <w:r>
              <w:t>是否担心</w:t>
            </w:r>
            <w:r>
              <w:rPr>
                <w:rFonts w:hint="eastAsia"/>
              </w:rPr>
              <w:t>油田</w:t>
            </w:r>
            <w:r>
              <w:t>建设影响生态环境？</w:t>
            </w:r>
          </w:p>
          <w:p w14:paraId="5F25CAA2">
            <w:pPr>
              <w:pStyle w:val="100"/>
              <w:bidi w:val="0"/>
            </w:pPr>
            <w:r>
              <w:t>A担心；B不担心；C无所谓</w:t>
            </w:r>
          </w:p>
        </w:tc>
        <w:tc>
          <w:tcPr>
            <w:tcW w:w="706" w:type="dxa"/>
            <w:vAlign w:val="center"/>
          </w:tcPr>
          <w:p w14:paraId="25F0F96A">
            <w:pPr>
              <w:pStyle w:val="100"/>
              <w:bidi w:val="0"/>
            </w:pPr>
          </w:p>
        </w:tc>
        <w:tc>
          <w:tcPr>
            <w:tcW w:w="704" w:type="dxa"/>
            <w:gridSpan w:val="2"/>
            <w:vAlign w:val="center"/>
          </w:tcPr>
          <w:p w14:paraId="0EE3E0F4">
            <w:pPr>
              <w:pStyle w:val="100"/>
              <w:bidi w:val="0"/>
            </w:pPr>
          </w:p>
        </w:tc>
        <w:tc>
          <w:tcPr>
            <w:tcW w:w="704" w:type="dxa"/>
            <w:gridSpan w:val="2"/>
            <w:vAlign w:val="center"/>
          </w:tcPr>
          <w:p w14:paraId="5C3EC869">
            <w:pPr>
              <w:pStyle w:val="100"/>
              <w:bidi w:val="0"/>
            </w:pPr>
          </w:p>
        </w:tc>
        <w:tc>
          <w:tcPr>
            <w:tcW w:w="988" w:type="dxa"/>
            <w:vAlign w:val="center"/>
          </w:tcPr>
          <w:p w14:paraId="3314A690">
            <w:pPr>
              <w:pStyle w:val="100"/>
              <w:bidi w:val="0"/>
            </w:pPr>
          </w:p>
        </w:tc>
      </w:tr>
      <w:tr w14:paraId="4C8A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4" w:type="dxa"/>
            <w:vAlign w:val="center"/>
          </w:tcPr>
          <w:p w14:paraId="56D0053A">
            <w:pPr>
              <w:pStyle w:val="100"/>
              <w:bidi w:val="0"/>
            </w:pPr>
            <w:r>
              <w:t>4</w:t>
            </w:r>
          </w:p>
        </w:tc>
        <w:tc>
          <w:tcPr>
            <w:tcW w:w="4471" w:type="dxa"/>
            <w:gridSpan w:val="4"/>
            <w:vAlign w:val="center"/>
          </w:tcPr>
          <w:p w14:paraId="23F60436">
            <w:pPr>
              <w:pStyle w:val="100"/>
              <w:bidi w:val="0"/>
            </w:pPr>
            <w:r>
              <w:t>您了解</w:t>
            </w:r>
            <w:r>
              <w:rPr>
                <w:rFonts w:hint="eastAsia"/>
              </w:rPr>
              <w:t>油田</w:t>
            </w:r>
            <w:r>
              <w:t>土地复垦吗？</w:t>
            </w:r>
          </w:p>
          <w:p w14:paraId="4BE55204">
            <w:pPr>
              <w:pStyle w:val="100"/>
              <w:bidi w:val="0"/>
            </w:pPr>
            <w:r>
              <w:t>A了解；B不了解；C不清楚</w:t>
            </w:r>
          </w:p>
        </w:tc>
        <w:tc>
          <w:tcPr>
            <w:tcW w:w="706" w:type="dxa"/>
            <w:vAlign w:val="center"/>
          </w:tcPr>
          <w:p w14:paraId="248CE514">
            <w:pPr>
              <w:pStyle w:val="100"/>
              <w:bidi w:val="0"/>
            </w:pPr>
          </w:p>
        </w:tc>
        <w:tc>
          <w:tcPr>
            <w:tcW w:w="704" w:type="dxa"/>
            <w:gridSpan w:val="2"/>
            <w:vAlign w:val="center"/>
          </w:tcPr>
          <w:p w14:paraId="54EE1E2B">
            <w:pPr>
              <w:pStyle w:val="100"/>
              <w:bidi w:val="0"/>
            </w:pPr>
          </w:p>
        </w:tc>
        <w:tc>
          <w:tcPr>
            <w:tcW w:w="704" w:type="dxa"/>
            <w:gridSpan w:val="2"/>
            <w:vAlign w:val="center"/>
          </w:tcPr>
          <w:p w14:paraId="0DD9B1B9">
            <w:pPr>
              <w:pStyle w:val="100"/>
              <w:bidi w:val="0"/>
            </w:pPr>
          </w:p>
        </w:tc>
        <w:tc>
          <w:tcPr>
            <w:tcW w:w="988" w:type="dxa"/>
            <w:vAlign w:val="center"/>
          </w:tcPr>
          <w:p w14:paraId="3E52DD99">
            <w:pPr>
              <w:pStyle w:val="100"/>
              <w:bidi w:val="0"/>
            </w:pPr>
          </w:p>
        </w:tc>
      </w:tr>
      <w:tr w14:paraId="081A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84" w:type="dxa"/>
            <w:vAlign w:val="center"/>
          </w:tcPr>
          <w:p w14:paraId="6E098AFD">
            <w:pPr>
              <w:pStyle w:val="100"/>
              <w:bidi w:val="0"/>
            </w:pPr>
            <w:r>
              <w:t>5</w:t>
            </w:r>
          </w:p>
        </w:tc>
        <w:tc>
          <w:tcPr>
            <w:tcW w:w="4471" w:type="dxa"/>
            <w:gridSpan w:val="4"/>
            <w:vAlign w:val="center"/>
          </w:tcPr>
          <w:p w14:paraId="1E0D56C5">
            <w:pPr>
              <w:pStyle w:val="100"/>
              <w:bidi w:val="0"/>
            </w:pPr>
            <w:r>
              <w:t>您认为土地复垦能否恢复当地生态环境？</w:t>
            </w:r>
          </w:p>
          <w:p w14:paraId="7893BAF2">
            <w:pPr>
              <w:pStyle w:val="100"/>
              <w:bidi w:val="0"/>
            </w:pPr>
            <w:r>
              <w:t>A能；B不能；C不清楚</w:t>
            </w:r>
          </w:p>
        </w:tc>
        <w:tc>
          <w:tcPr>
            <w:tcW w:w="706" w:type="dxa"/>
            <w:vAlign w:val="center"/>
          </w:tcPr>
          <w:p w14:paraId="72FAB59E">
            <w:pPr>
              <w:pStyle w:val="100"/>
              <w:bidi w:val="0"/>
            </w:pPr>
          </w:p>
        </w:tc>
        <w:tc>
          <w:tcPr>
            <w:tcW w:w="704" w:type="dxa"/>
            <w:gridSpan w:val="2"/>
            <w:vAlign w:val="center"/>
          </w:tcPr>
          <w:p w14:paraId="02F5838B">
            <w:pPr>
              <w:pStyle w:val="100"/>
              <w:bidi w:val="0"/>
            </w:pPr>
          </w:p>
        </w:tc>
        <w:tc>
          <w:tcPr>
            <w:tcW w:w="704" w:type="dxa"/>
            <w:gridSpan w:val="2"/>
            <w:vAlign w:val="center"/>
          </w:tcPr>
          <w:p w14:paraId="2FB58A85">
            <w:pPr>
              <w:pStyle w:val="100"/>
              <w:bidi w:val="0"/>
            </w:pPr>
          </w:p>
        </w:tc>
        <w:tc>
          <w:tcPr>
            <w:tcW w:w="988" w:type="dxa"/>
            <w:vAlign w:val="center"/>
          </w:tcPr>
          <w:p w14:paraId="5F952F18">
            <w:pPr>
              <w:pStyle w:val="100"/>
              <w:bidi w:val="0"/>
            </w:pPr>
          </w:p>
        </w:tc>
      </w:tr>
      <w:tr w14:paraId="5C29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84" w:type="dxa"/>
            <w:vAlign w:val="center"/>
          </w:tcPr>
          <w:p w14:paraId="2F28F3BE">
            <w:pPr>
              <w:pStyle w:val="100"/>
              <w:bidi w:val="0"/>
            </w:pPr>
            <w:r>
              <w:t>6</w:t>
            </w:r>
          </w:p>
        </w:tc>
        <w:tc>
          <w:tcPr>
            <w:tcW w:w="4471" w:type="dxa"/>
            <w:gridSpan w:val="4"/>
            <w:vAlign w:val="center"/>
          </w:tcPr>
          <w:p w14:paraId="20AFE770">
            <w:pPr>
              <w:pStyle w:val="100"/>
              <w:bidi w:val="0"/>
            </w:pPr>
            <w:r>
              <w:t>了解土地复垦后，您支持土地复垦吗？</w:t>
            </w:r>
          </w:p>
          <w:p w14:paraId="794BDAC8">
            <w:pPr>
              <w:pStyle w:val="100"/>
              <w:bidi w:val="0"/>
            </w:pPr>
            <w:r>
              <w:t>A支持；B不支持；C无所谓</w:t>
            </w:r>
          </w:p>
        </w:tc>
        <w:tc>
          <w:tcPr>
            <w:tcW w:w="706" w:type="dxa"/>
            <w:vAlign w:val="center"/>
          </w:tcPr>
          <w:p w14:paraId="1E472075">
            <w:pPr>
              <w:pStyle w:val="100"/>
              <w:bidi w:val="0"/>
            </w:pPr>
          </w:p>
        </w:tc>
        <w:tc>
          <w:tcPr>
            <w:tcW w:w="704" w:type="dxa"/>
            <w:gridSpan w:val="2"/>
            <w:vAlign w:val="center"/>
          </w:tcPr>
          <w:p w14:paraId="691B3315">
            <w:pPr>
              <w:pStyle w:val="100"/>
              <w:bidi w:val="0"/>
            </w:pPr>
          </w:p>
        </w:tc>
        <w:tc>
          <w:tcPr>
            <w:tcW w:w="704" w:type="dxa"/>
            <w:gridSpan w:val="2"/>
            <w:vAlign w:val="center"/>
          </w:tcPr>
          <w:p w14:paraId="25BC2AAC">
            <w:pPr>
              <w:pStyle w:val="100"/>
              <w:bidi w:val="0"/>
            </w:pPr>
          </w:p>
          <w:p w14:paraId="266AF941">
            <w:pPr>
              <w:pStyle w:val="100"/>
              <w:bidi w:val="0"/>
            </w:pPr>
          </w:p>
        </w:tc>
        <w:tc>
          <w:tcPr>
            <w:tcW w:w="988" w:type="dxa"/>
            <w:vAlign w:val="center"/>
          </w:tcPr>
          <w:p w14:paraId="0C58FE83">
            <w:pPr>
              <w:pStyle w:val="100"/>
              <w:bidi w:val="0"/>
            </w:pPr>
          </w:p>
        </w:tc>
      </w:tr>
      <w:tr w14:paraId="7B8E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84" w:type="dxa"/>
            <w:vAlign w:val="center"/>
          </w:tcPr>
          <w:p w14:paraId="56562D26">
            <w:pPr>
              <w:pStyle w:val="100"/>
              <w:bidi w:val="0"/>
            </w:pPr>
            <w:r>
              <w:rPr>
                <w:rFonts w:hint="eastAsia"/>
              </w:rPr>
              <w:t>7</w:t>
            </w:r>
          </w:p>
        </w:tc>
        <w:tc>
          <w:tcPr>
            <w:tcW w:w="4471" w:type="dxa"/>
            <w:gridSpan w:val="4"/>
            <w:vAlign w:val="center"/>
          </w:tcPr>
          <w:p w14:paraId="03F3340B">
            <w:pPr>
              <w:pStyle w:val="100"/>
              <w:bidi w:val="0"/>
            </w:pPr>
            <w:r>
              <w:t>您愿意监督或参与</w:t>
            </w:r>
            <w:r>
              <w:rPr>
                <w:rFonts w:hint="eastAsia"/>
              </w:rPr>
              <w:t>油田</w:t>
            </w:r>
            <w:r>
              <w:t>土地复垦吗？</w:t>
            </w:r>
          </w:p>
          <w:p w14:paraId="54967662">
            <w:pPr>
              <w:pStyle w:val="100"/>
              <w:bidi w:val="0"/>
            </w:pPr>
            <w:r>
              <w:t>A愿意；B不愿意；C无所谓</w:t>
            </w:r>
          </w:p>
        </w:tc>
        <w:tc>
          <w:tcPr>
            <w:tcW w:w="706" w:type="dxa"/>
            <w:vAlign w:val="center"/>
          </w:tcPr>
          <w:p w14:paraId="73EBF53E">
            <w:pPr>
              <w:pStyle w:val="100"/>
              <w:bidi w:val="0"/>
            </w:pPr>
          </w:p>
        </w:tc>
        <w:tc>
          <w:tcPr>
            <w:tcW w:w="704" w:type="dxa"/>
            <w:gridSpan w:val="2"/>
            <w:vAlign w:val="center"/>
          </w:tcPr>
          <w:p w14:paraId="04842958">
            <w:pPr>
              <w:pStyle w:val="100"/>
              <w:bidi w:val="0"/>
            </w:pPr>
          </w:p>
        </w:tc>
        <w:tc>
          <w:tcPr>
            <w:tcW w:w="704" w:type="dxa"/>
            <w:gridSpan w:val="2"/>
            <w:vAlign w:val="center"/>
          </w:tcPr>
          <w:p w14:paraId="34A726FF">
            <w:pPr>
              <w:pStyle w:val="100"/>
              <w:bidi w:val="0"/>
            </w:pPr>
          </w:p>
        </w:tc>
        <w:tc>
          <w:tcPr>
            <w:tcW w:w="988" w:type="dxa"/>
            <w:vAlign w:val="center"/>
          </w:tcPr>
          <w:p w14:paraId="1934F6FB">
            <w:pPr>
              <w:pStyle w:val="100"/>
              <w:bidi w:val="0"/>
            </w:pPr>
          </w:p>
        </w:tc>
      </w:tr>
      <w:tr w14:paraId="17DC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84" w:type="dxa"/>
            <w:vMerge w:val="restart"/>
            <w:vAlign w:val="center"/>
          </w:tcPr>
          <w:p w14:paraId="194DFF67">
            <w:pPr>
              <w:pStyle w:val="100"/>
              <w:bidi w:val="0"/>
            </w:pPr>
            <w:r>
              <w:rPr>
                <w:rFonts w:hint="eastAsia"/>
              </w:rPr>
              <w:t>建议</w:t>
            </w:r>
          </w:p>
        </w:tc>
        <w:tc>
          <w:tcPr>
            <w:tcW w:w="4471" w:type="dxa"/>
            <w:gridSpan w:val="4"/>
            <w:vAlign w:val="center"/>
          </w:tcPr>
          <w:p w14:paraId="7EA915B6">
            <w:pPr>
              <w:pStyle w:val="100"/>
              <w:bidi w:val="0"/>
            </w:pPr>
            <w:r>
              <w:rPr>
                <w:rFonts w:hint="eastAsia"/>
              </w:rPr>
              <w:t>您认为当地目前土地利用的主要问题是什么？</w:t>
            </w:r>
          </w:p>
        </w:tc>
        <w:tc>
          <w:tcPr>
            <w:tcW w:w="3102" w:type="dxa"/>
            <w:gridSpan w:val="6"/>
            <w:vAlign w:val="center"/>
          </w:tcPr>
          <w:p w14:paraId="20EC47E0">
            <w:pPr>
              <w:pStyle w:val="100"/>
              <w:bidi w:val="0"/>
            </w:pPr>
          </w:p>
        </w:tc>
      </w:tr>
      <w:tr w14:paraId="1A59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84" w:type="dxa"/>
            <w:vMerge w:val="continue"/>
            <w:vAlign w:val="center"/>
          </w:tcPr>
          <w:p w14:paraId="1E688E73">
            <w:pPr>
              <w:pStyle w:val="100"/>
              <w:bidi w:val="0"/>
            </w:pPr>
          </w:p>
        </w:tc>
        <w:tc>
          <w:tcPr>
            <w:tcW w:w="4471" w:type="dxa"/>
            <w:gridSpan w:val="4"/>
            <w:vAlign w:val="center"/>
          </w:tcPr>
          <w:p w14:paraId="35BB9D58">
            <w:pPr>
              <w:pStyle w:val="100"/>
              <w:bidi w:val="0"/>
            </w:pPr>
            <w:r>
              <w:rPr>
                <w:rFonts w:hint="eastAsia"/>
              </w:rPr>
              <w:t>您对油田建设造成土地损毁的复垦意愿是什么？</w:t>
            </w:r>
          </w:p>
        </w:tc>
        <w:tc>
          <w:tcPr>
            <w:tcW w:w="3102" w:type="dxa"/>
            <w:gridSpan w:val="6"/>
            <w:vAlign w:val="center"/>
          </w:tcPr>
          <w:p w14:paraId="11C73334">
            <w:pPr>
              <w:pStyle w:val="100"/>
              <w:bidi w:val="0"/>
            </w:pPr>
          </w:p>
        </w:tc>
      </w:tr>
      <w:tr w14:paraId="1859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84" w:type="dxa"/>
            <w:vMerge w:val="continue"/>
            <w:vAlign w:val="center"/>
          </w:tcPr>
          <w:p w14:paraId="00304674">
            <w:pPr>
              <w:pStyle w:val="100"/>
              <w:bidi w:val="0"/>
            </w:pPr>
          </w:p>
        </w:tc>
        <w:tc>
          <w:tcPr>
            <w:tcW w:w="4471" w:type="dxa"/>
            <w:gridSpan w:val="4"/>
            <w:vAlign w:val="center"/>
          </w:tcPr>
          <w:p w14:paraId="0146D888">
            <w:pPr>
              <w:pStyle w:val="100"/>
              <w:bidi w:val="0"/>
            </w:pPr>
            <w:r>
              <w:rPr>
                <w:rFonts w:hint="eastAsia"/>
              </w:rPr>
              <w:t>您对土地复垦有何要求与建议？</w:t>
            </w:r>
          </w:p>
        </w:tc>
        <w:tc>
          <w:tcPr>
            <w:tcW w:w="3102" w:type="dxa"/>
            <w:gridSpan w:val="6"/>
            <w:vAlign w:val="center"/>
          </w:tcPr>
          <w:p w14:paraId="1DB81D9F">
            <w:pPr>
              <w:pStyle w:val="100"/>
              <w:bidi w:val="0"/>
            </w:pPr>
          </w:p>
        </w:tc>
      </w:tr>
    </w:tbl>
    <w:p w14:paraId="50012087">
      <w:pPr>
        <w:autoSpaceDE w:val="0"/>
        <w:autoSpaceDN w:val="0"/>
        <w:adjustRightInd w:val="0"/>
        <w:snapToGrid w:val="0"/>
        <w:spacing w:line="360" w:lineRule="auto"/>
        <w:ind w:firstLine="480" w:firstLineChars="200"/>
        <w:textAlignment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c</w:t>
      </w:r>
      <w:r>
        <w:rPr>
          <w:rFonts w:ascii="Times New Roman" w:hAnsi="Times New Roman" w:eastAsia="仿宋_GB2312" w:cs="Times New Roman"/>
          <w:bCs/>
          <w:color w:val="000000"/>
          <w:kern w:val="0"/>
          <w:sz w:val="24"/>
          <w:szCs w:val="24"/>
        </w:rPr>
        <w:t>）相关政府部门参与情况</w:t>
      </w:r>
    </w:p>
    <w:p w14:paraId="62588FD1">
      <w:pPr>
        <w:adjustRightInd w:val="0"/>
        <w:snapToGrid w:val="0"/>
        <w:spacing w:line="360" w:lineRule="auto"/>
        <w:ind w:firstLine="480" w:firstLineChars="200"/>
        <w:jc w:val="left"/>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目前，在方案编制过程中主要以项目区所在地的县级自然资源主管部门的意见建议为主，在听取业主及编制单位汇报后，当地自然资源主管部门经过讨论形成以下几点要求及建议：</w:t>
      </w:r>
    </w:p>
    <w:p w14:paraId="0C5295BE">
      <w:pPr>
        <w:adjustRightInd w:val="0"/>
        <w:snapToGrid w:val="0"/>
        <w:spacing w:line="360" w:lineRule="auto"/>
        <w:ind w:firstLine="480" w:firstLineChars="200"/>
        <w:jc w:val="left"/>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1）进行了详细地交流，承诺将积极协助项目土地复垦方案报告书的编制工作，实现土地有效利用和改善当地生态环境。</w:t>
      </w:r>
    </w:p>
    <w:p w14:paraId="52509424">
      <w:pPr>
        <w:adjustRightInd w:val="0"/>
        <w:snapToGrid w:val="0"/>
        <w:spacing w:line="360" w:lineRule="auto"/>
        <w:ind w:firstLine="480" w:firstLineChars="200"/>
        <w:jc w:val="left"/>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2）对项目损毁土地拟采取的复垦模式表示认同，同时希望</w:t>
      </w:r>
      <w:r>
        <w:rPr>
          <w:rFonts w:hint="eastAsia" w:ascii="Times New Roman" w:hAnsi="Times New Roman" w:eastAsia="仿宋_GB2312" w:cs="Times New Roman"/>
          <w:color w:val="000000"/>
          <w:sz w:val="24"/>
          <w:szCs w:val="24"/>
        </w:rPr>
        <w:t>中石油吐哈油田分公司三塘湖采油管理区</w:t>
      </w:r>
      <w:r>
        <w:rPr>
          <w:rFonts w:ascii="Times New Roman" w:hAnsi="Times New Roman" w:eastAsia="仿宋_GB2312" w:cs="Times New Roman"/>
          <w:color w:val="000000"/>
          <w:sz w:val="24"/>
          <w:szCs w:val="24"/>
        </w:rPr>
        <w:t>会同编制单位制定出更加科学合理的复垦措施和复垦标准。</w:t>
      </w:r>
    </w:p>
    <w:p w14:paraId="61E103E5">
      <w:pPr>
        <w:adjustRightInd w:val="0"/>
        <w:snapToGrid w:val="0"/>
        <w:spacing w:line="360" w:lineRule="auto"/>
        <w:ind w:firstLine="480" w:firstLineChars="200"/>
        <w:jc w:val="left"/>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3）希望</w:t>
      </w:r>
      <w:r>
        <w:rPr>
          <w:rFonts w:hint="eastAsia" w:ascii="Times New Roman" w:hAnsi="Times New Roman" w:eastAsia="仿宋_GB2312" w:cs="Times New Roman"/>
          <w:color w:val="000000"/>
          <w:spacing w:val="-10"/>
          <w:sz w:val="24"/>
          <w:szCs w:val="24"/>
        </w:rPr>
        <w:t>中石油吐哈油田分公司三塘湖采油管理区</w:t>
      </w:r>
      <w:r>
        <w:rPr>
          <w:rFonts w:ascii="Times New Roman" w:hAnsi="Times New Roman" w:eastAsia="仿宋_GB2312" w:cs="Times New Roman"/>
          <w:color w:val="000000"/>
          <w:sz w:val="24"/>
          <w:szCs w:val="24"/>
        </w:rPr>
        <w:t>充分考虑当地的自然社会经济、政策等因素，因地制宜，尽可能地恢复土地利用价值和生态价值，复垦方向要与原（或周边）土地利用类型或土地利用总体规划保持一致。</w:t>
      </w:r>
    </w:p>
    <w:p w14:paraId="4858A1D7">
      <w:pPr>
        <w:adjustRightInd w:val="0"/>
        <w:spacing w:line="360" w:lineRule="auto"/>
        <w:ind w:firstLine="480" w:firstLineChars="200"/>
        <w:jc w:val="left"/>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w:t>
      </w:r>
      <w:r>
        <w:rPr>
          <w:rFonts w:hint="eastAsia" w:ascii="Times New Roman" w:hAnsi="Times New Roman" w:eastAsia="仿宋_GB2312" w:cs="Times New Roman"/>
          <w:color w:val="000000"/>
          <w:spacing w:val="-10"/>
          <w:sz w:val="24"/>
          <w:szCs w:val="24"/>
        </w:rPr>
        <w:t>中石油吐哈油田分公司三塘湖采油管理区</w:t>
      </w:r>
      <w:r>
        <w:rPr>
          <w:rFonts w:ascii="Times New Roman" w:hAnsi="Times New Roman" w:eastAsia="仿宋_GB2312" w:cs="Times New Roman"/>
          <w:color w:val="000000"/>
          <w:sz w:val="24"/>
          <w:szCs w:val="24"/>
        </w:rPr>
        <w:t>需要保证今后的损毁土地能及时复垦，尽量做到“边建设、边复垦”。</w:t>
      </w:r>
    </w:p>
    <w:p w14:paraId="7722F1DA">
      <w:pPr>
        <w:autoSpaceDE w:val="0"/>
        <w:autoSpaceDN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5）确保复垦工程科学合理及时开展，复垦费用需及时落实到位。</w:t>
      </w:r>
    </w:p>
    <w:p w14:paraId="0116E243">
      <w:pPr>
        <w:keepNext/>
        <w:keepLines/>
        <w:tabs>
          <w:tab w:val="left" w:pos="5640"/>
        </w:tabs>
        <w:snapToGrid w:val="0"/>
        <w:spacing w:before="120" w:beforeLines="50" w:after="120" w:afterLines="50" w:line="360" w:lineRule="auto"/>
        <w:ind w:firstLine="560" w:firstLineChars="200"/>
        <w:jc w:val="left"/>
        <w:outlineLvl w:val="2"/>
        <w:rPr>
          <w:rFonts w:ascii="Times New Roman" w:hAnsi="Times New Roman" w:eastAsia="黑体" w:cs="Times New Roman"/>
          <w:bCs/>
          <w:color w:val="000000"/>
          <w:sz w:val="28"/>
          <w:szCs w:val="28"/>
        </w:rPr>
      </w:pPr>
      <w:bookmarkStart w:id="276" w:name="_Toc310364660"/>
      <w:r>
        <w:rPr>
          <w:rFonts w:ascii="Times New Roman" w:hAnsi="Times New Roman" w:eastAsia="黑体" w:cs="Times New Roman"/>
          <w:bCs/>
          <w:color w:val="000000"/>
          <w:sz w:val="28"/>
          <w:szCs w:val="28"/>
        </w:rPr>
        <w:t>10.5.2 方案编制完成后的公众参与</w:t>
      </w:r>
      <w:bookmarkEnd w:id="276"/>
    </w:p>
    <w:p w14:paraId="06C5B4AE">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a）复垦方案编制完成后的公示</w:t>
      </w:r>
    </w:p>
    <w:p w14:paraId="5BB8FC85">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主要是指土地复垦方案（初稿）在编制完成后，首先应征求当地管理部门、专家等公众的意见；因此编制单位在施工现场张贴公示，收取相关权利人建议，同时就本方案如下问题进行了讨论：</w:t>
      </w:r>
    </w:p>
    <w:p w14:paraId="73480A9B">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1）对所采取的复垦技术及措施的意见；</w:t>
      </w:r>
    </w:p>
    <w:p w14:paraId="786280BB">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2）专家及当地土地管理部门对项目区内损毁土地复垦后利用方向的建议；</w:t>
      </w:r>
    </w:p>
    <w:p w14:paraId="7F13A86B">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3）复垦措施本身是否会对当地生态环境造成负面影响。</w:t>
      </w:r>
    </w:p>
    <w:p w14:paraId="7B4CBD49">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最终形成了座谈纪要。而后，编制人员又根据座谈纪要对方案进行了修改、完善。</w:t>
      </w:r>
    </w:p>
    <w:p w14:paraId="3FCC32D2">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复垦方案送审稿完成之后，在报送自然资源主管部门评审之前，由</w:t>
      </w:r>
      <w:r>
        <w:rPr>
          <w:rFonts w:hint="eastAsia" w:ascii="Times New Roman" w:hAnsi="Times New Roman" w:eastAsia="仿宋_GB2312" w:cs="Times New Roman"/>
          <w:color w:val="000000"/>
          <w:sz w:val="24"/>
          <w:szCs w:val="24"/>
        </w:rPr>
        <w:t>吐哈油田分公司</w:t>
      </w:r>
      <w:r>
        <w:rPr>
          <w:rFonts w:ascii="Times New Roman" w:hAnsi="Times New Roman" w:eastAsia="仿宋_GB2312" w:cs="Times New Roman"/>
          <w:color w:val="000000"/>
          <w:sz w:val="24"/>
          <w:szCs w:val="24"/>
        </w:rPr>
        <w:t>将复垦方案在沿线自然资源主管部门、涉及的主要乡镇附近进行公示，向公众公告的内容包括：项目情况简介；项目对土地损毁情况简介；复垦方向及复垦措施要点介绍；公众查阅土地复垦报告书简本的方式和期限，以及公众认为必要时向建设单位或者其委托的报告编制单位索取补充信息的联系方式和期限。</w:t>
      </w:r>
    </w:p>
    <w:p w14:paraId="514052A2">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b）公示结果</w:t>
      </w:r>
    </w:p>
    <w:p w14:paraId="270F63AE">
      <w:pPr>
        <w:autoSpaceDE w:val="0"/>
        <w:autoSpaceDN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通过现场公示，主要取得了两个方面的成效。</w:t>
      </w:r>
    </w:p>
    <w:p w14:paraId="2789AD58">
      <w:pPr>
        <w:autoSpaceDE w:val="0"/>
        <w:autoSpaceDN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一是由公众参与调查问卷可知，建设单位工作人员、企事业单位人员、村民对土地复垦相关工作的了解不多，通过本次公示，公众对于土地复垦工作有所认识，损毁土地的复垦方向、复垦措施有所了解，对于加强对公众的土地复垦宣传工作具有</w:t>
      </w:r>
      <w:r>
        <w:rPr>
          <w:rFonts w:hint="eastAsia" w:cs="Times New Roman"/>
          <w:color w:val="000000"/>
          <w:sz w:val="24"/>
          <w:szCs w:val="24"/>
          <w:lang w:eastAsia="zh-CN"/>
        </w:rPr>
        <w:t>一定的积极意义</w:t>
      </w:r>
      <w:r>
        <w:rPr>
          <w:rFonts w:ascii="Times New Roman" w:hAnsi="Times New Roman" w:eastAsia="仿宋_GB2312" w:cs="Times New Roman"/>
          <w:color w:val="000000"/>
          <w:sz w:val="24"/>
          <w:szCs w:val="24"/>
        </w:rPr>
        <w:t>。</w:t>
      </w:r>
    </w:p>
    <w:p w14:paraId="4E6A0590">
      <w:pPr>
        <w:autoSpaceDE w:val="0"/>
        <w:autoSpaceDN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二是通过本次公示，报告编制单位未收集到反对意见，表明本复垦方案确定的复垦方向、复垦措施等较为合理。</w:t>
      </w:r>
    </w:p>
    <w:p w14:paraId="02B7EDDF">
      <w:pPr>
        <w:keepNext/>
        <w:keepLines/>
        <w:snapToGrid w:val="0"/>
        <w:spacing w:line="360" w:lineRule="auto"/>
        <w:ind w:firstLine="560" w:firstLineChars="200"/>
        <w:jc w:val="left"/>
        <w:outlineLvl w:val="2"/>
        <w:rPr>
          <w:rFonts w:ascii="Times New Roman" w:hAnsi="Times New Roman" w:eastAsia="黑体" w:cs="Times New Roman"/>
          <w:bCs/>
          <w:color w:val="000000"/>
          <w:sz w:val="28"/>
          <w:szCs w:val="28"/>
        </w:rPr>
      </w:pPr>
      <w:bookmarkStart w:id="277" w:name="_Toc310364661"/>
      <w:r>
        <w:rPr>
          <w:rFonts w:ascii="Times New Roman" w:hAnsi="Times New Roman" w:eastAsia="黑体" w:cs="Times New Roman"/>
          <w:bCs/>
          <w:color w:val="000000"/>
          <w:sz w:val="28"/>
          <w:szCs w:val="28"/>
        </w:rPr>
        <w:t>10.5.3 方案实施阶段的公众参与</w:t>
      </w:r>
      <w:bookmarkEnd w:id="277"/>
    </w:p>
    <w:p w14:paraId="125F3474">
      <w:pPr>
        <w:adjustRightInd w:val="0"/>
        <w:snapToGri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土地复垦方案是否能落到实处、是否能体现国家对土地复垦进行干预、管理的意志，最终体现在实施。</w:t>
      </w:r>
    </w:p>
    <w:p w14:paraId="7937C639">
      <w:pPr>
        <w:adjustRightInd w:val="0"/>
        <w:snapToGrid w:val="0"/>
        <w:spacing w:line="360" w:lineRule="auto"/>
        <w:ind w:firstLine="480" w:firstLineChars="200"/>
        <w:textAlignment w:val="baseline"/>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吐哈油田分公司</w:t>
      </w:r>
      <w:r>
        <w:rPr>
          <w:rFonts w:ascii="Times New Roman" w:hAnsi="Times New Roman" w:eastAsia="仿宋_GB2312" w:cs="Times New Roman"/>
          <w:color w:val="000000"/>
          <w:sz w:val="24"/>
          <w:szCs w:val="24"/>
        </w:rPr>
        <w:t>拟邀请项目所在地的自然资源主管部门、住房和城乡建设局、环境保护局等相关单位对土地复垦方案的实施进行监督。</w:t>
      </w:r>
    </w:p>
    <w:p w14:paraId="1220A2E8">
      <w:pPr>
        <w:adjustRightInd w:val="0"/>
        <w:snapToGri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具体措施有：</w:t>
      </w:r>
    </w:p>
    <w:p w14:paraId="7E80D006">
      <w:pPr>
        <w:adjustRightInd w:val="0"/>
        <w:snapToGri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a）与自然资源主管部门签订复垦资金使用合同，由对方监督、审计土地复垦资金的使用。</w:t>
      </w:r>
    </w:p>
    <w:p w14:paraId="610F9949">
      <w:pPr>
        <w:adjustRightInd w:val="0"/>
        <w:spacing w:line="360" w:lineRule="auto"/>
        <w:ind w:firstLine="480" w:firstLineChars="200"/>
        <w:textAlignment w:val="baseline"/>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b）由当地自然资源主管部门、住房和城乡建设局、环保局等组成联合指导组，对方案实施情况，包括复垦措施的可行性、工程设计的合理性、复垦工作进度与协调等进行督察。</w:t>
      </w:r>
    </w:p>
    <w:p w14:paraId="08105F5C">
      <w:pPr>
        <w:autoSpaceDE w:val="0"/>
        <w:autoSpaceDN w:val="0"/>
        <w:snapToGrid w:val="0"/>
        <w:spacing w:line="360" w:lineRule="auto"/>
        <w:ind w:firstLine="480" w:firstLineChars="200"/>
        <w:textAlignment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c）在实施土地复垦时，</w:t>
      </w:r>
      <w:r>
        <w:rPr>
          <w:rFonts w:ascii="Times New Roman" w:hAnsi="Times New Roman" w:eastAsia="仿宋_GB2312" w:cs="Times New Roman"/>
          <w:snapToGrid w:val="0"/>
          <w:color w:val="000000"/>
          <w:kern w:val="0"/>
          <w:sz w:val="24"/>
          <w:szCs w:val="24"/>
        </w:rPr>
        <w:t>项目建设单位</w:t>
      </w:r>
      <w:r>
        <w:rPr>
          <w:rFonts w:ascii="Times New Roman" w:hAnsi="Times New Roman" w:eastAsia="仿宋_GB2312" w:cs="Times New Roman"/>
          <w:color w:val="000000"/>
          <w:sz w:val="24"/>
          <w:szCs w:val="24"/>
        </w:rPr>
        <w:t>将在土地复垦方案的基础上，制定当年土地复垦实施计划，并报联合指导组审查；审查合格后的实施计划将作为当年土地复垦监测的依据。</w:t>
      </w:r>
    </w:p>
    <w:p w14:paraId="7ACB63E2">
      <w:pPr>
        <w:keepNext/>
        <w:keepLines/>
        <w:snapToGrid w:val="0"/>
        <w:spacing w:line="360" w:lineRule="auto"/>
        <w:ind w:firstLine="560" w:firstLineChars="200"/>
        <w:jc w:val="left"/>
        <w:outlineLvl w:val="2"/>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10.5.4 竣工验收阶段的公众参与</w:t>
      </w:r>
    </w:p>
    <w:p w14:paraId="4A4F0BF8">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复垦工程核查验收主要是在本方案服务期满后，由以当地自然资源局牵头的验收专家组对土地复垦方案实施过程中的资金使用、复垦措施、工程设计、复垦效果进行检查，以复垦标准为标准，对本项目土地复垦进行综合评判的过程。</w:t>
      </w:r>
    </w:p>
    <w:p w14:paraId="765415BB">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78" w:name="_Toc26876"/>
      <w:bookmarkStart w:id="279" w:name="_Toc30664"/>
      <w:r>
        <w:rPr>
          <w:rFonts w:ascii="Times New Roman" w:hAnsi="Times New Roman" w:eastAsia="黑体" w:cs="Times New Roman"/>
          <w:color w:val="000000"/>
          <w:sz w:val="30"/>
          <w:szCs w:val="28"/>
        </w:rPr>
        <w:t>10.6竣工验收和监督管理</w:t>
      </w:r>
      <w:bookmarkEnd w:id="278"/>
      <w:bookmarkEnd w:id="279"/>
    </w:p>
    <w:p w14:paraId="3C4D1200">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本工程项目的实施，必须是具备有土地复垦资质的单位和人民政府及市、县自然资源局共同组织实施，建立专职机构，由专职人员具体管理负责制，制定详细的勘察、设计施工方案，建立质量监测及验收等工作程序。自觉地接受财政，监察、自然资源等部门的监督与检查，配备专职人员和有管理经验的技术人员组成土地复垦办公室，专门负责土地复垦工程的实施。</w:t>
      </w:r>
    </w:p>
    <w:p w14:paraId="7E59D0F0">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参与项目勘察、设计、施工及管理的单位，必须具备国家规定的资质条件，取得相应的资质证书、项目质量管理必须严格按照有关规范、规程执行，做到责任明确，奖罚分明，施工所需材料须经质检部门验收合格方可使用；工程竣工后，应及时报请财政及自然资源行政主管部门组织专家验收。</w:t>
      </w:r>
    </w:p>
    <w:p w14:paraId="62E88AC1">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验收时，建设单位应提交验收申请及总结报告，对实施的土地复垦项目的数量、质量进行评价，总结土地复垦工程实施过程中的成功经验和不足部分，对没有足额完成的部分或有缺陷的工程，责令建设单位重新设计，补充完善，直到土地复垦措施能够按照土地复垦一级标准达到验收的指标。</w:t>
      </w:r>
    </w:p>
    <w:p w14:paraId="1844E3ED">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80" w:name="_Toc402958222"/>
      <w:bookmarkStart w:id="281" w:name="_Toc384129362"/>
      <w:bookmarkStart w:id="282" w:name="_Toc16446"/>
      <w:bookmarkStart w:id="283" w:name="_Toc332008101"/>
      <w:bookmarkStart w:id="284" w:name="_Toc30718"/>
      <w:r>
        <w:rPr>
          <w:rFonts w:ascii="Times New Roman" w:hAnsi="Times New Roman" w:eastAsia="黑体" w:cs="Times New Roman"/>
          <w:color w:val="000000"/>
          <w:sz w:val="30"/>
          <w:szCs w:val="28"/>
        </w:rPr>
        <w:t>10.7 土地权属调整方案</w:t>
      </w:r>
      <w:bookmarkEnd w:id="280"/>
      <w:bookmarkEnd w:id="281"/>
      <w:bookmarkEnd w:id="282"/>
      <w:bookmarkEnd w:id="283"/>
      <w:bookmarkEnd w:id="284"/>
    </w:p>
    <w:p w14:paraId="462A1399">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bookmarkStart w:id="285" w:name="_Toc321488426"/>
      <w:bookmarkStart w:id="286" w:name="_Toc384127114"/>
      <w:bookmarkStart w:id="287" w:name="_Toc332008103"/>
      <w:r>
        <w:rPr>
          <w:rFonts w:ascii="Times New Roman" w:hAnsi="Times New Roman" w:eastAsia="仿宋_GB2312" w:cs="Times New Roman"/>
          <w:color w:val="000000"/>
          <w:kern w:val="0"/>
          <w:sz w:val="24"/>
          <w:szCs w:val="24"/>
        </w:rPr>
        <w:t>土地权属调整是对复垦土地的产权进行调整，其目的是使复垦后的土地产权关系明确，促进项目所在地区的社会稳定、经济发展又能切实保护当事人的合法土地权利，避免发生土地权属争议。</w:t>
      </w:r>
    </w:p>
    <w:p w14:paraId="21FD8F9D">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本方案涉及土地全为国有土地，复垦区土地权属明确，无争议，不涉及权属调整。</w:t>
      </w:r>
    </w:p>
    <w:p w14:paraId="6E460B9B">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88" w:name="_Toc12800"/>
      <w:bookmarkStart w:id="289" w:name="_Toc26059"/>
      <w:r>
        <w:rPr>
          <w:rFonts w:ascii="Times New Roman" w:hAnsi="Times New Roman" w:eastAsia="黑体" w:cs="Times New Roman"/>
          <w:color w:val="000000"/>
          <w:sz w:val="30"/>
          <w:szCs w:val="28"/>
        </w:rPr>
        <w:t>10.8 结论与建议</w:t>
      </w:r>
      <w:bookmarkEnd w:id="288"/>
      <w:bookmarkEnd w:id="289"/>
    </w:p>
    <w:p w14:paraId="7A1E2D52">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本方案中的各项土地复垦措施在工程建设中得到落实后，对改善当地生态环境起到十分重要的作用。为深入落实土地复垦工作，提出以下建议：</w:t>
      </w:r>
    </w:p>
    <w:p w14:paraId="6D5BD1BA">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a）建议建设单位配合设计单位和施工单位，根据下阶段的施工组织设计，进一步细化工程中各项工程措施，并落实本方案提出的土地复垦措施。</w:t>
      </w:r>
    </w:p>
    <w:p w14:paraId="48302D05">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b）在进行施工和监理时，应根据本土地复垦方案中制定的各项措施，明确提出施工过程中的土地复垦要求。</w:t>
      </w:r>
    </w:p>
    <w:p w14:paraId="19774223">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c）建设单位配合当地土地行政主管部门，</w:t>
      </w:r>
      <w:r>
        <w:rPr>
          <w:rFonts w:hint="eastAsia" w:cs="Times New Roman"/>
          <w:color w:val="000000"/>
          <w:kern w:val="0"/>
          <w:sz w:val="24"/>
          <w:szCs w:val="24"/>
          <w:lang w:eastAsia="zh-CN"/>
        </w:rPr>
        <w:t>做好土地</w:t>
      </w:r>
      <w:r>
        <w:rPr>
          <w:rFonts w:ascii="Times New Roman" w:hAnsi="Times New Roman" w:eastAsia="仿宋_GB2312" w:cs="Times New Roman"/>
          <w:color w:val="000000"/>
          <w:kern w:val="0"/>
          <w:sz w:val="24"/>
          <w:szCs w:val="24"/>
        </w:rPr>
        <w:t>复垦的实施、管理和监督工作，严格执行土地复垦工程监理制度，对土地复垦措施的实施进度、质量和资金利用等情况进行监控管理，保证工程质量。</w:t>
      </w:r>
    </w:p>
    <w:p w14:paraId="48B410C4">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d）树立土地复垦与项目建设统一规划的思想，既要开发一方资源，带动一方经济发展，</w:t>
      </w:r>
      <w:r>
        <w:rPr>
          <w:rFonts w:hint="eastAsia" w:cs="Times New Roman"/>
          <w:color w:val="000000"/>
          <w:kern w:val="0"/>
          <w:sz w:val="24"/>
          <w:szCs w:val="24"/>
          <w:lang w:eastAsia="zh-CN"/>
        </w:rPr>
        <w:t>提高人民生活水平</w:t>
      </w:r>
      <w:r>
        <w:rPr>
          <w:rFonts w:ascii="Times New Roman" w:hAnsi="Times New Roman" w:eastAsia="仿宋_GB2312" w:cs="Times New Roman"/>
          <w:color w:val="000000"/>
          <w:kern w:val="0"/>
          <w:sz w:val="24"/>
          <w:szCs w:val="24"/>
        </w:rPr>
        <w:t>，又要实现土地复垦与损毁数量平衡，保护一方环境，使得经济发展、环境保护协调一致，并促进当地可持续发展。</w:t>
      </w:r>
    </w:p>
    <w:p w14:paraId="547EA6E9">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e）在方案实施过程中应做好各项治理措施的施工设计，并由专业技术人员负责实施以确保工程能按时、</w:t>
      </w:r>
      <w:r>
        <w:rPr>
          <w:rFonts w:hint="eastAsia" w:cs="Times New Roman"/>
          <w:color w:val="000000"/>
          <w:kern w:val="0"/>
          <w:sz w:val="24"/>
          <w:szCs w:val="24"/>
          <w:lang w:eastAsia="zh-CN"/>
        </w:rPr>
        <w:t>高质量地完成</w:t>
      </w:r>
      <w:r>
        <w:rPr>
          <w:rFonts w:ascii="Times New Roman" w:hAnsi="Times New Roman" w:eastAsia="仿宋_GB2312" w:cs="Times New Roman"/>
          <w:color w:val="000000"/>
          <w:kern w:val="0"/>
          <w:sz w:val="24"/>
          <w:szCs w:val="24"/>
        </w:rPr>
        <w:t>。在工程实施后对各种工程应加强管理，以充分发挥各项措施的生态效益、社会效益和经济效益。</w:t>
      </w:r>
    </w:p>
    <w:bookmarkEnd w:id="285"/>
    <w:bookmarkEnd w:id="286"/>
    <w:bookmarkEnd w:id="287"/>
    <w:p w14:paraId="69620BE4">
      <w:pPr>
        <w:spacing w:line="360" w:lineRule="auto"/>
        <w:ind w:firstLine="480" w:firstLineChars="200"/>
        <w:rPr>
          <w:rFonts w:ascii="Times New Roman" w:hAnsi="Times New Roman" w:eastAsia="仿宋_GB2312" w:cs="Times New Roman"/>
          <w:color w:val="000000"/>
          <w:sz w:val="24"/>
          <w:szCs w:val="24"/>
        </w:rPr>
        <w:sectPr>
          <w:pgSz w:w="11906" w:h="16838"/>
          <w:pgMar w:top="1701" w:right="1418" w:bottom="1418" w:left="1418" w:header="851" w:footer="992" w:gutter="0"/>
          <w:pgNumType w:fmt="decimal"/>
          <w:cols w:space="720" w:num="1"/>
          <w:docGrid w:linePitch="312" w:charSpace="0"/>
        </w:sectPr>
      </w:pPr>
    </w:p>
    <w:p w14:paraId="6B9167D1">
      <w:pPr>
        <w:snapToGrid w:val="0"/>
        <w:spacing w:before="120" w:beforeLines="50" w:after="120" w:afterLines="50" w:line="360" w:lineRule="auto"/>
        <w:ind w:left="0" w:leftChars="0" w:firstLine="0" w:firstLineChars="0"/>
        <w:jc w:val="center"/>
        <w:outlineLvl w:val="0"/>
        <w:rPr>
          <w:rFonts w:ascii="Times New Roman" w:hAnsi="Times New Roman" w:eastAsia="黑体" w:cs="Times New Roman"/>
          <w:color w:val="000000"/>
          <w:sz w:val="32"/>
          <w:szCs w:val="32"/>
        </w:rPr>
      </w:pPr>
      <w:bookmarkStart w:id="290" w:name="_Toc384129363"/>
      <w:bookmarkStart w:id="291" w:name="_Toc22493"/>
      <w:bookmarkStart w:id="292" w:name="_Toc31674"/>
      <w:bookmarkStart w:id="293" w:name="_Toc402958223"/>
      <w:r>
        <w:rPr>
          <w:rFonts w:ascii="Times New Roman" w:hAnsi="Times New Roman" w:eastAsia="黑体" w:cs="Times New Roman"/>
          <w:color w:val="000000"/>
          <w:sz w:val="32"/>
          <w:szCs w:val="32"/>
        </w:rPr>
        <w:t>11 土地复垦方案编制成果</w:t>
      </w:r>
      <w:bookmarkEnd w:id="290"/>
      <w:bookmarkEnd w:id="291"/>
      <w:bookmarkEnd w:id="292"/>
      <w:bookmarkEnd w:id="293"/>
    </w:p>
    <w:p w14:paraId="15F92DCC">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94" w:name="_Toc61"/>
      <w:bookmarkStart w:id="295" w:name="_Toc402958224"/>
      <w:bookmarkStart w:id="296" w:name="_Toc384129364"/>
      <w:bookmarkStart w:id="297" w:name="_Toc27499"/>
      <w:bookmarkStart w:id="298" w:name="_Toc323225520"/>
      <w:r>
        <w:rPr>
          <w:rFonts w:ascii="Times New Roman" w:hAnsi="Times New Roman" w:eastAsia="黑体" w:cs="Times New Roman"/>
          <w:color w:val="000000"/>
          <w:sz w:val="30"/>
          <w:szCs w:val="28"/>
        </w:rPr>
        <w:t>11.1 报告</w:t>
      </w:r>
      <w:bookmarkEnd w:id="294"/>
      <w:bookmarkEnd w:id="295"/>
      <w:bookmarkEnd w:id="296"/>
      <w:bookmarkEnd w:id="297"/>
      <w:bookmarkEnd w:id="298"/>
    </w:p>
    <w:p w14:paraId="496919E1">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w:t>
      </w:r>
      <w:r>
        <w:rPr>
          <w:rFonts w:hint="eastAsia" w:cs="Times New Roman"/>
          <w:color w:val="00000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sz w:val="24"/>
          <w:szCs w:val="24"/>
        </w:rPr>
        <w:t>土地复垦方案报告书；</w:t>
      </w:r>
    </w:p>
    <w:p w14:paraId="35E1FC7A">
      <w:pPr>
        <w:adjustRightInd w:val="0"/>
        <w:snapToGrid w:val="0"/>
        <w:spacing w:line="360" w:lineRule="auto"/>
        <w:ind w:firstLine="480" w:firstLineChars="200"/>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w:t>
      </w:r>
      <w:r>
        <w:rPr>
          <w:rFonts w:hint="eastAsia" w:cs="Times New Roman"/>
          <w:color w:val="00000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sz w:val="24"/>
          <w:szCs w:val="24"/>
        </w:rPr>
        <w:t>土地复垦方案报告表。</w:t>
      </w:r>
    </w:p>
    <w:p w14:paraId="35917E51">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299" w:name="_Toc384129365"/>
      <w:bookmarkStart w:id="300" w:name="_Toc402958225"/>
      <w:bookmarkStart w:id="301" w:name="_Toc323225521"/>
      <w:bookmarkStart w:id="302" w:name="_Toc24292"/>
      <w:bookmarkStart w:id="303" w:name="_Toc20884"/>
      <w:r>
        <w:rPr>
          <w:rFonts w:ascii="Times New Roman" w:hAnsi="Times New Roman" w:eastAsia="黑体" w:cs="Times New Roman"/>
          <w:color w:val="000000"/>
          <w:sz w:val="30"/>
          <w:szCs w:val="28"/>
        </w:rPr>
        <w:t>11.2 附图</w:t>
      </w:r>
      <w:bookmarkEnd w:id="299"/>
      <w:bookmarkEnd w:id="300"/>
      <w:bookmarkEnd w:id="301"/>
      <w:bookmarkEnd w:id="302"/>
      <w:bookmarkEnd w:id="303"/>
    </w:p>
    <w:p w14:paraId="3FEA5B61">
      <w:pPr>
        <w:adjustRightInd w:val="0"/>
        <w:snapToGrid w:val="0"/>
        <w:spacing w:line="360" w:lineRule="auto"/>
        <w:ind w:firstLine="480" w:firstLineChars="200"/>
        <w:rPr>
          <w:rFonts w:hint="eastAsia"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rPr>
        <w:t>（1）</w:t>
      </w:r>
      <w:r>
        <w:rPr>
          <w:rFonts w:hint="eastAsia" w:cs="Times New Roman"/>
          <w:color w:val="000000"/>
          <w:sz w:val="24"/>
          <w:szCs w:val="24"/>
          <w:lang w:eastAsia="zh-CN"/>
        </w:rPr>
        <w:t>中国石油吐哈油田三塘湖采油管理区马T101H井场等两口井压裂施工项目临时用地</w:t>
      </w:r>
      <w:r>
        <w:rPr>
          <w:rFonts w:hint="eastAsia" w:ascii="Times New Roman" w:hAnsi="Times New Roman" w:eastAsia="仿宋_GB2312" w:cs="Times New Roman"/>
          <w:color w:val="000000"/>
          <w:sz w:val="24"/>
          <w:szCs w:val="24"/>
        </w:rPr>
        <w:t>土地利用现状图</w:t>
      </w:r>
      <w:r>
        <w:rPr>
          <w:rFonts w:hint="eastAsia" w:cs="Times New Roman"/>
          <w:color w:val="000000"/>
          <w:sz w:val="24"/>
          <w:szCs w:val="24"/>
          <w:lang w:eastAsia="zh-CN"/>
        </w:rPr>
        <w:t>；</w:t>
      </w:r>
    </w:p>
    <w:p w14:paraId="09F5E1AF">
      <w:pPr>
        <w:adjustRightInd w:val="0"/>
        <w:snapToGrid w:val="0"/>
        <w:spacing w:line="360" w:lineRule="auto"/>
        <w:ind w:firstLine="480" w:firstLineChars="200"/>
        <w:rPr>
          <w:rFonts w:hint="eastAsia"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rPr>
        <w:t>（2）</w:t>
      </w:r>
      <w:r>
        <w:rPr>
          <w:rFonts w:hint="eastAsia" w:cs="Times New Roman"/>
          <w:color w:val="000000"/>
          <w:sz w:val="24"/>
          <w:szCs w:val="24"/>
          <w:lang w:eastAsia="zh-CN"/>
        </w:rPr>
        <w:t>中国石油吐哈油田三塘湖采油管理区马T101H井场等两口井压裂施工项目临时用地</w:t>
      </w:r>
      <w:r>
        <w:rPr>
          <w:rFonts w:hint="eastAsia" w:ascii="Times New Roman" w:hAnsi="Times New Roman" w:eastAsia="仿宋_GB2312" w:cs="Times New Roman"/>
          <w:color w:val="000000"/>
          <w:sz w:val="24"/>
          <w:szCs w:val="24"/>
        </w:rPr>
        <w:t>土地损毁预测图</w:t>
      </w:r>
      <w:r>
        <w:rPr>
          <w:rFonts w:hint="eastAsia" w:cs="Times New Roman"/>
          <w:color w:val="000000"/>
          <w:sz w:val="24"/>
          <w:szCs w:val="24"/>
          <w:lang w:eastAsia="zh-CN"/>
        </w:rPr>
        <w:t>；</w:t>
      </w:r>
    </w:p>
    <w:p w14:paraId="64E7B886">
      <w:pPr>
        <w:adjustRightInd w:val="0"/>
        <w:snapToGrid w:val="0"/>
        <w:spacing w:line="360" w:lineRule="auto"/>
        <w:ind w:firstLine="480" w:firstLineChars="200"/>
        <w:rPr>
          <w:rFonts w:hint="eastAsia" w:ascii="Times New Roman" w:hAnsi="Times New Roman" w:eastAsia="仿宋_GB2312" w:cs="Times New Roman"/>
          <w:color w:val="000000"/>
          <w:sz w:val="24"/>
          <w:szCs w:val="24"/>
          <w:lang w:eastAsia="zh-CN"/>
        </w:rPr>
      </w:pPr>
      <w:r>
        <w:rPr>
          <w:rFonts w:ascii="Times New Roman" w:hAnsi="Times New Roman" w:eastAsia="仿宋_GB2312" w:cs="Times New Roman"/>
          <w:color w:val="000000"/>
          <w:sz w:val="24"/>
          <w:szCs w:val="24"/>
        </w:rPr>
        <w:t>（3）</w:t>
      </w:r>
      <w:r>
        <w:rPr>
          <w:rFonts w:hint="eastAsia" w:cs="Times New Roman"/>
          <w:color w:val="000000"/>
          <w:sz w:val="24"/>
          <w:szCs w:val="24"/>
          <w:lang w:eastAsia="zh-CN"/>
        </w:rPr>
        <w:t>中国石油吐哈油田三塘湖采油管理区马T101H井场等两口井压裂施工项目临时用地</w:t>
      </w:r>
      <w:r>
        <w:rPr>
          <w:rFonts w:ascii="Times New Roman" w:hAnsi="Times New Roman" w:eastAsia="仿宋_GB2312" w:cs="Times New Roman"/>
          <w:color w:val="000000"/>
          <w:sz w:val="24"/>
          <w:szCs w:val="24"/>
        </w:rPr>
        <w:t>土地复垦规划图</w:t>
      </w:r>
      <w:r>
        <w:rPr>
          <w:rFonts w:hint="eastAsia" w:cs="Times New Roman"/>
          <w:color w:val="000000"/>
          <w:sz w:val="24"/>
          <w:szCs w:val="24"/>
          <w:lang w:eastAsia="zh-CN"/>
        </w:rPr>
        <w:t>。</w:t>
      </w:r>
    </w:p>
    <w:p w14:paraId="45CA40E6">
      <w:pPr>
        <w:keepNext/>
        <w:keepLines/>
        <w:tabs>
          <w:tab w:val="left" w:pos="5640"/>
        </w:tabs>
        <w:snapToGrid w:val="0"/>
        <w:spacing w:before="120" w:beforeLines="50" w:after="120" w:afterLines="50" w:line="360" w:lineRule="auto"/>
        <w:ind w:firstLine="600" w:firstLineChars="200"/>
        <w:jc w:val="left"/>
        <w:outlineLvl w:val="1"/>
        <w:rPr>
          <w:rFonts w:ascii="Times New Roman" w:hAnsi="Times New Roman" w:eastAsia="黑体" w:cs="Times New Roman"/>
          <w:color w:val="000000"/>
          <w:sz w:val="30"/>
          <w:szCs w:val="28"/>
        </w:rPr>
      </w:pPr>
      <w:bookmarkStart w:id="304" w:name="_Toc30652"/>
      <w:bookmarkStart w:id="305" w:name="_Toc323225522"/>
      <w:bookmarkStart w:id="306" w:name="_Toc402958226"/>
      <w:bookmarkStart w:id="307" w:name="_Toc384129366"/>
      <w:bookmarkStart w:id="308" w:name="_Toc29984"/>
      <w:r>
        <w:rPr>
          <w:rFonts w:ascii="Times New Roman" w:hAnsi="Times New Roman" w:eastAsia="黑体" w:cs="Times New Roman"/>
          <w:color w:val="000000"/>
          <w:sz w:val="30"/>
          <w:szCs w:val="28"/>
        </w:rPr>
        <w:t>11.3 附件</w:t>
      </w:r>
      <w:bookmarkEnd w:id="304"/>
      <w:bookmarkEnd w:id="305"/>
      <w:bookmarkEnd w:id="306"/>
      <w:bookmarkEnd w:id="307"/>
      <w:bookmarkEnd w:id="308"/>
    </w:p>
    <w:p w14:paraId="0911C59E">
      <w:pPr>
        <w:pStyle w:val="166"/>
        <w:ind w:firstLine="480"/>
        <w:rPr>
          <w:rFonts w:cs="Times New Roman"/>
          <w:color w:val="000000"/>
        </w:rPr>
      </w:pPr>
      <w:r>
        <w:rPr>
          <w:rFonts w:cs="Times New Roman"/>
          <w:color w:val="000000"/>
        </w:rPr>
        <w:t>a）土地复垦方案编制单位资质证书或业绩证明；</w:t>
      </w:r>
    </w:p>
    <w:p w14:paraId="4D4BFB09">
      <w:pPr>
        <w:pStyle w:val="166"/>
        <w:ind w:firstLine="480"/>
        <w:rPr>
          <w:rFonts w:cs="Times New Roman"/>
          <w:color w:val="000000"/>
        </w:rPr>
      </w:pPr>
      <w:r>
        <w:rPr>
          <w:rFonts w:hint="eastAsia" w:cs="Times New Roman"/>
          <w:color w:val="000000"/>
        </w:rPr>
        <w:t>b</w:t>
      </w:r>
      <w:r>
        <w:rPr>
          <w:rFonts w:cs="Times New Roman"/>
          <w:color w:val="000000"/>
        </w:rPr>
        <w:t>）土地复垦义务人的土地复垦承诺书；</w:t>
      </w:r>
    </w:p>
    <w:p w14:paraId="0EA3F27F">
      <w:pPr>
        <w:pStyle w:val="166"/>
        <w:ind w:firstLine="480"/>
        <w:rPr>
          <w:rFonts w:hint="eastAsia" w:cs="Times New Roman"/>
          <w:color w:val="000000"/>
        </w:rPr>
      </w:pPr>
      <w:r>
        <w:rPr>
          <w:rFonts w:cs="Times New Roman"/>
          <w:color w:val="000000"/>
        </w:rPr>
        <w:t>c）土地复垦方案编制委托函；</w:t>
      </w:r>
    </w:p>
    <w:p w14:paraId="6EB01A5A">
      <w:pPr>
        <w:pStyle w:val="166"/>
        <w:ind w:firstLine="480"/>
        <w:rPr>
          <w:rFonts w:hint="eastAsia" w:eastAsia="仿宋_GB2312" w:cs="Times New Roman"/>
          <w:color w:val="000000"/>
          <w:lang w:val="en-US" w:eastAsia="zh-CN"/>
        </w:rPr>
      </w:pPr>
      <w:r>
        <w:rPr>
          <w:rFonts w:hint="eastAsia" w:cs="Times New Roman"/>
          <w:color w:val="000000"/>
          <w:kern w:val="2"/>
        </w:rPr>
        <w:t>d</w:t>
      </w:r>
      <w:r>
        <w:rPr>
          <w:rFonts w:cs="Times New Roman"/>
          <w:color w:val="000000"/>
          <w:kern w:val="2"/>
        </w:rPr>
        <w:t>）相关地区近期建设工程材料信息价格资料</w:t>
      </w:r>
      <w:r>
        <w:rPr>
          <w:rFonts w:hint="eastAsia" w:cs="Times New Roman"/>
          <w:color w:val="000000"/>
          <w:kern w:val="2"/>
          <w:lang w:eastAsia="zh-CN"/>
        </w:rPr>
        <w:t>；</w:t>
      </w:r>
    </w:p>
    <w:p w14:paraId="0A1AE036">
      <w:pPr>
        <w:pStyle w:val="166"/>
        <w:ind w:firstLine="480"/>
        <w:rPr>
          <w:rFonts w:hint="eastAsia" w:eastAsia="仿宋_GB2312" w:cs="Times New Roman"/>
          <w:color w:val="000000"/>
          <w:lang w:val="en-US" w:eastAsia="zh-CN"/>
        </w:rPr>
      </w:pPr>
      <w:r>
        <w:rPr>
          <w:rFonts w:hint="eastAsia" w:cs="Times New Roman"/>
          <w:color w:val="000000"/>
        </w:rPr>
        <w:t>e）临时用地坐标</w:t>
      </w:r>
      <w:r>
        <w:rPr>
          <w:rFonts w:hint="eastAsia" w:cs="Times New Roman"/>
          <w:color w:val="000000"/>
          <w:lang w:eastAsia="zh-CN"/>
        </w:rPr>
        <w:t>；</w:t>
      </w:r>
    </w:p>
    <w:p w14:paraId="18975E06">
      <w:pPr>
        <w:autoSpaceDE w:val="0"/>
        <w:autoSpaceDN w:val="0"/>
        <w:snapToGrid w:val="0"/>
        <w:spacing w:line="360" w:lineRule="auto"/>
        <w:ind w:firstLine="480" w:firstLineChars="200"/>
        <w:textAlignment w:val="center"/>
        <w:rPr>
          <w:rFonts w:ascii="Times New Roman" w:hAnsi="Times New Roman" w:eastAsia="仿宋_GB2312" w:cs="Times New Roman"/>
          <w:color w:val="000000"/>
          <w:kern w:val="0"/>
          <w:sz w:val="24"/>
          <w:szCs w:val="24"/>
        </w:rPr>
      </w:pPr>
      <w:r>
        <w:rPr>
          <w:rFonts w:hint="eastAsia" w:cs="Times New Roman"/>
          <w:color w:val="000000"/>
          <w:lang w:val="en-US" w:eastAsia="zh-CN"/>
        </w:rPr>
        <w:t>f</w:t>
      </w:r>
      <w:r>
        <w:rPr>
          <w:rFonts w:hint="eastAsia" w:cs="Times New Roman"/>
          <w:color w:val="000000"/>
        </w:rPr>
        <w:t>）</w:t>
      </w:r>
      <w:r>
        <w:rPr>
          <w:rFonts w:hint="eastAsia" w:cs="Times New Roman"/>
          <w:color w:val="000000"/>
          <w:lang w:val="en-US" w:eastAsia="zh-CN"/>
        </w:rPr>
        <w:t>公众参与调查表。</w:t>
      </w:r>
    </w:p>
    <w:p w14:paraId="2F34C2DE">
      <w:pPr>
        <w:spacing w:line="360" w:lineRule="auto"/>
        <w:ind w:firstLine="480" w:firstLineChars="200"/>
        <w:rPr>
          <w:rFonts w:ascii="Times New Roman" w:hAnsi="Times New Roman" w:eastAsia="仿宋_GB2312" w:cs="Times New Roman"/>
          <w:color w:val="000000"/>
          <w:sz w:val="24"/>
          <w:szCs w:val="24"/>
        </w:rPr>
      </w:pPr>
    </w:p>
    <w:p w14:paraId="5928AEC8">
      <w:pPr>
        <w:spacing w:line="360" w:lineRule="auto"/>
        <w:ind w:firstLine="560" w:firstLineChars="200"/>
        <w:rPr>
          <w:rFonts w:ascii="Times New Roman" w:hAnsi="Times New Roman" w:eastAsia="仿宋_GB2312" w:cs="Times New Roman"/>
          <w:color w:val="000000"/>
          <w:sz w:val="28"/>
          <w:szCs w:val="28"/>
        </w:rPr>
        <w:sectPr>
          <w:headerReference r:id="rId18" w:type="first"/>
          <w:footerReference r:id="rId19" w:type="default"/>
          <w:footerReference r:id="rId20" w:type="even"/>
          <w:type w:val="nextColumn"/>
          <w:pgSz w:w="11906" w:h="16838"/>
          <w:pgMar w:top="1701" w:right="1418" w:bottom="1418" w:left="1418" w:header="1077" w:footer="1021" w:gutter="0"/>
          <w:pgNumType w:fmt="decimal"/>
          <w:cols w:space="720" w:num="1"/>
          <w:docGrid w:linePitch="326" w:charSpace="0"/>
        </w:sectPr>
      </w:pPr>
    </w:p>
    <w:p w14:paraId="6610A585">
      <w:pPr>
        <w:adjustRightInd w:val="0"/>
        <w:snapToGrid w:val="0"/>
        <w:spacing w:line="500" w:lineRule="exact"/>
        <w:ind w:firstLine="480" w:firstLineChars="200"/>
        <w:jc w:val="center"/>
        <w:rPr>
          <w:rFonts w:hint="eastAsia" w:eastAsia="黑体" w:cs="Times New Roman"/>
          <w:color w:val="000000"/>
          <w:sz w:val="24"/>
          <w:szCs w:val="24"/>
          <w:lang w:eastAsia="zh-CN"/>
        </w:rPr>
      </w:pPr>
      <w:bookmarkStart w:id="309" w:name="_Toc259192969"/>
      <w:bookmarkStart w:id="310" w:name="_Toc248499990"/>
      <w:bookmarkStart w:id="311" w:name="_Toc259192829"/>
      <w:bookmarkStart w:id="312" w:name="_Toc323225523"/>
      <w:bookmarkStart w:id="313" w:name="_Toc251939554"/>
      <w:bookmarkStart w:id="314" w:name="_Toc257121762"/>
      <w:bookmarkStart w:id="315" w:name="_Toc320873060"/>
      <w:r>
        <w:rPr>
          <w:rFonts w:hint="eastAsia" w:eastAsia="黑体" w:cs="Times New Roman"/>
          <w:color w:val="000000"/>
          <w:sz w:val="24"/>
          <w:szCs w:val="24"/>
          <w:lang w:eastAsia="zh-CN"/>
        </w:rPr>
        <w:t>中国石油吐哈油田三塘湖采油管理区马T101H井场等两口井压裂施工项目</w:t>
      </w:r>
    </w:p>
    <w:p w14:paraId="25BAC091">
      <w:pPr>
        <w:adjustRightInd w:val="0"/>
        <w:snapToGrid w:val="0"/>
        <w:spacing w:line="500" w:lineRule="exact"/>
        <w:ind w:firstLine="480" w:firstLineChars="200"/>
        <w:jc w:val="center"/>
        <w:rPr>
          <w:rFonts w:ascii="Times New Roman" w:hAnsi="Times New Roman" w:eastAsia="黑体" w:cs="Times New Roman"/>
          <w:color w:val="000000"/>
          <w:sz w:val="24"/>
          <w:szCs w:val="24"/>
        </w:rPr>
      </w:pPr>
      <w:r>
        <w:rPr>
          <w:rFonts w:hint="eastAsia" w:eastAsia="黑体" w:cs="Times New Roman"/>
          <w:color w:val="000000"/>
          <w:sz w:val="24"/>
          <w:szCs w:val="24"/>
          <w:lang w:eastAsia="zh-CN"/>
        </w:rPr>
        <w:t>临时用地</w:t>
      </w:r>
      <w:r>
        <w:rPr>
          <w:rFonts w:ascii="Times New Roman" w:hAnsi="Times New Roman" w:eastAsia="黑体" w:cs="Times New Roman"/>
          <w:color w:val="000000"/>
          <w:sz w:val="24"/>
          <w:szCs w:val="24"/>
        </w:rPr>
        <w:t>土地复垦方案报告表</w:t>
      </w:r>
      <w:bookmarkEnd w:id="309"/>
      <w:bookmarkEnd w:id="310"/>
      <w:bookmarkEnd w:id="311"/>
      <w:bookmarkEnd w:id="312"/>
      <w:bookmarkEnd w:id="313"/>
      <w:bookmarkEnd w:id="314"/>
      <w:bookmarkEnd w:id="315"/>
    </w:p>
    <w:tbl>
      <w:tblPr>
        <w:tblStyle w:val="88"/>
        <w:tblW w:w="51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11"/>
        <w:gridCol w:w="15"/>
        <w:gridCol w:w="1646"/>
        <w:gridCol w:w="28"/>
        <w:gridCol w:w="211"/>
        <w:gridCol w:w="1447"/>
        <w:gridCol w:w="46"/>
        <w:gridCol w:w="979"/>
        <w:gridCol w:w="1396"/>
        <w:gridCol w:w="51"/>
        <w:gridCol w:w="798"/>
        <w:gridCol w:w="106"/>
        <w:gridCol w:w="1914"/>
      </w:tblGrid>
      <w:tr w14:paraId="66C8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restart"/>
            <w:vAlign w:val="center"/>
          </w:tcPr>
          <w:p w14:paraId="690835C0">
            <w:pPr>
              <w:pStyle w:val="100"/>
              <w:bidi w:val="0"/>
              <w:rPr>
                <w:sz w:val="21"/>
                <w:szCs w:val="21"/>
              </w:rPr>
            </w:pPr>
          </w:p>
          <w:p w14:paraId="675D3177">
            <w:pPr>
              <w:pStyle w:val="100"/>
              <w:bidi w:val="0"/>
              <w:rPr>
                <w:sz w:val="21"/>
                <w:szCs w:val="21"/>
              </w:rPr>
            </w:pPr>
            <w:r>
              <w:rPr>
                <w:sz w:val="21"/>
                <w:szCs w:val="21"/>
              </w:rPr>
              <w:t>项</w:t>
            </w:r>
          </w:p>
          <w:p w14:paraId="0A838C81">
            <w:pPr>
              <w:pStyle w:val="100"/>
              <w:bidi w:val="0"/>
              <w:rPr>
                <w:sz w:val="21"/>
                <w:szCs w:val="21"/>
              </w:rPr>
            </w:pPr>
            <w:r>
              <w:rPr>
                <w:sz w:val="21"/>
                <w:szCs w:val="21"/>
              </w:rPr>
              <w:t>目</w:t>
            </w:r>
          </w:p>
          <w:p w14:paraId="5C0943F6">
            <w:pPr>
              <w:pStyle w:val="100"/>
              <w:bidi w:val="0"/>
              <w:rPr>
                <w:sz w:val="21"/>
                <w:szCs w:val="21"/>
              </w:rPr>
            </w:pPr>
            <w:r>
              <w:rPr>
                <w:sz w:val="21"/>
                <w:szCs w:val="21"/>
              </w:rPr>
              <w:t>概</w:t>
            </w:r>
          </w:p>
          <w:p w14:paraId="3026BA43">
            <w:pPr>
              <w:pStyle w:val="100"/>
              <w:bidi w:val="0"/>
              <w:rPr>
                <w:sz w:val="21"/>
                <w:szCs w:val="21"/>
              </w:rPr>
            </w:pPr>
            <w:r>
              <w:rPr>
                <w:sz w:val="21"/>
                <w:szCs w:val="21"/>
              </w:rPr>
              <w:t>况</w:t>
            </w:r>
          </w:p>
          <w:p w14:paraId="29277A16">
            <w:pPr>
              <w:pStyle w:val="100"/>
              <w:bidi w:val="0"/>
              <w:rPr>
                <w:sz w:val="21"/>
                <w:szCs w:val="21"/>
              </w:rPr>
            </w:pPr>
          </w:p>
        </w:tc>
        <w:tc>
          <w:tcPr>
            <w:tcW w:w="877" w:type="pct"/>
            <w:gridSpan w:val="2"/>
            <w:vAlign w:val="center"/>
          </w:tcPr>
          <w:p w14:paraId="4924DD81">
            <w:pPr>
              <w:pStyle w:val="100"/>
              <w:bidi w:val="0"/>
              <w:rPr>
                <w:sz w:val="21"/>
                <w:szCs w:val="21"/>
              </w:rPr>
            </w:pPr>
            <w:r>
              <w:rPr>
                <w:sz w:val="21"/>
                <w:szCs w:val="21"/>
              </w:rPr>
              <w:t>项目名称</w:t>
            </w:r>
          </w:p>
        </w:tc>
        <w:tc>
          <w:tcPr>
            <w:tcW w:w="3681" w:type="pct"/>
            <w:gridSpan w:val="10"/>
            <w:vAlign w:val="center"/>
          </w:tcPr>
          <w:p w14:paraId="138B936A">
            <w:pPr>
              <w:pStyle w:val="100"/>
              <w:bidi w:val="0"/>
              <w:rPr>
                <w:sz w:val="21"/>
                <w:szCs w:val="21"/>
              </w:rPr>
            </w:pPr>
            <w:r>
              <w:rPr>
                <w:rFonts w:hint="eastAsia"/>
                <w:sz w:val="21"/>
                <w:szCs w:val="21"/>
                <w:lang w:eastAsia="zh-CN"/>
              </w:rPr>
              <w:t>中国石油吐哈油田三塘湖采油管理区马T101H井场等两口井压裂施工项目临时用地土地复垦方案</w:t>
            </w:r>
          </w:p>
        </w:tc>
      </w:tr>
      <w:tr w14:paraId="3351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09B196BE">
            <w:pPr>
              <w:pStyle w:val="100"/>
              <w:bidi w:val="0"/>
              <w:rPr>
                <w:sz w:val="21"/>
                <w:szCs w:val="21"/>
              </w:rPr>
            </w:pPr>
          </w:p>
        </w:tc>
        <w:tc>
          <w:tcPr>
            <w:tcW w:w="877" w:type="pct"/>
            <w:gridSpan w:val="2"/>
            <w:vAlign w:val="center"/>
          </w:tcPr>
          <w:p w14:paraId="322276CE">
            <w:pPr>
              <w:pStyle w:val="100"/>
              <w:bidi w:val="0"/>
              <w:rPr>
                <w:sz w:val="21"/>
                <w:szCs w:val="21"/>
              </w:rPr>
            </w:pPr>
            <w:r>
              <w:rPr>
                <w:sz w:val="21"/>
                <w:szCs w:val="21"/>
              </w:rPr>
              <w:t>单位名称</w:t>
            </w:r>
          </w:p>
        </w:tc>
        <w:tc>
          <w:tcPr>
            <w:tcW w:w="3681" w:type="pct"/>
            <w:gridSpan w:val="10"/>
            <w:vAlign w:val="center"/>
          </w:tcPr>
          <w:p w14:paraId="62EC1D34">
            <w:pPr>
              <w:pStyle w:val="100"/>
              <w:bidi w:val="0"/>
              <w:rPr>
                <w:rFonts w:hint="eastAsia" w:eastAsia="仿宋_GB2312"/>
                <w:sz w:val="21"/>
                <w:szCs w:val="21"/>
                <w:lang w:eastAsia="zh-CN"/>
              </w:rPr>
            </w:pPr>
            <w:r>
              <w:rPr>
                <w:rFonts w:hint="eastAsia"/>
                <w:sz w:val="21"/>
                <w:szCs w:val="21"/>
                <w:lang w:eastAsia="zh-CN"/>
              </w:rPr>
              <w:t>中石油吐哈油田分公司三塘湖采油管理区</w:t>
            </w:r>
          </w:p>
        </w:tc>
      </w:tr>
      <w:tr w14:paraId="0077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740FF6B4">
            <w:pPr>
              <w:pStyle w:val="100"/>
              <w:bidi w:val="0"/>
              <w:rPr>
                <w:sz w:val="21"/>
                <w:szCs w:val="21"/>
              </w:rPr>
            </w:pPr>
          </w:p>
        </w:tc>
        <w:tc>
          <w:tcPr>
            <w:tcW w:w="877" w:type="pct"/>
            <w:gridSpan w:val="2"/>
            <w:vAlign w:val="center"/>
          </w:tcPr>
          <w:p w14:paraId="0D0228C4">
            <w:pPr>
              <w:pStyle w:val="100"/>
              <w:bidi w:val="0"/>
              <w:rPr>
                <w:sz w:val="21"/>
                <w:szCs w:val="21"/>
              </w:rPr>
            </w:pPr>
            <w:r>
              <w:rPr>
                <w:sz w:val="21"/>
                <w:szCs w:val="21"/>
              </w:rPr>
              <w:t>项目性质</w:t>
            </w:r>
          </w:p>
        </w:tc>
        <w:tc>
          <w:tcPr>
            <w:tcW w:w="3681" w:type="pct"/>
            <w:gridSpan w:val="10"/>
            <w:vAlign w:val="center"/>
          </w:tcPr>
          <w:p w14:paraId="06B76A35">
            <w:pPr>
              <w:pStyle w:val="100"/>
              <w:bidi w:val="0"/>
              <w:rPr>
                <w:sz w:val="21"/>
                <w:szCs w:val="21"/>
              </w:rPr>
            </w:pPr>
            <w:r>
              <w:rPr>
                <w:sz w:val="21"/>
                <w:szCs w:val="21"/>
              </w:rPr>
              <w:t>新建能源类项目（石油、天然气）</w:t>
            </w:r>
          </w:p>
        </w:tc>
      </w:tr>
      <w:tr w14:paraId="60B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2A7EEEE">
            <w:pPr>
              <w:pStyle w:val="100"/>
              <w:bidi w:val="0"/>
              <w:rPr>
                <w:sz w:val="21"/>
                <w:szCs w:val="21"/>
              </w:rPr>
            </w:pPr>
          </w:p>
        </w:tc>
        <w:tc>
          <w:tcPr>
            <w:tcW w:w="877" w:type="pct"/>
            <w:gridSpan w:val="2"/>
            <w:vAlign w:val="center"/>
          </w:tcPr>
          <w:p w14:paraId="25B4FAEC">
            <w:pPr>
              <w:pStyle w:val="100"/>
              <w:bidi w:val="0"/>
              <w:rPr>
                <w:sz w:val="21"/>
                <w:szCs w:val="21"/>
              </w:rPr>
            </w:pPr>
            <w:r>
              <w:rPr>
                <w:sz w:val="21"/>
                <w:szCs w:val="21"/>
              </w:rPr>
              <w:t>法人代表</w:t>
            </w:r>
          </w:p>
        </w:tc>
        <w:tc>
          <w:tcPr>
            <w:tcW w:w="889" w:type="pct"/>
            <w:gridSpan w:val="3"/>
            <w:vAlign w:val="center"/>
          </w:tcPr>
          <w:p w14:paraId="63728DDB">
            <w:pPr>
              <w:pStyle w:val="100"/>
              <w:bidi w:val="0"/>
              <w:rPr>
                <w:sz w:val="21"/>
                <w:szCs w:val="21"/>
              </w:rPr>
            </w:pPr>
          </w:p>
        </w:tc>
        <w:tc>
          <w:tcPr>
            <w:tcW w:w="1306" w:type="pct"/>
            <w:gridSpan w:val="4"/>
            <w:vAlign w:val="center"/>
          </w:tcPr>
          <w:p w14:paraId="10FC91F7">
            <w:pPr>
              <w:pStyle w:val="100"/>
              <w:bidi w:val="0"/>
              <w:rPr>
                <w:sz w:val="21"/>
                <w:szCs w:val="21"/>
              </w:rPr>
            </w:pPr>
            <w:r>
              <w:rPr>
                <w:sz w:val="21"/>
                <w:szCs w:val="21"/>
              </w:rPr>
              <w:t>联系电话</w:t>
            </w:r>
          </w:p>
        </w:tc>
        <w:tc>
          <w:tcPr>
            <w:tcW w:w="1485" w:type="pct"/>
            <w:gridSpan w:val="3"/>
            <w:vAlign w:val="center"/>
          </w:tcPr>
          <w:p w14:paraId="65585A41">
            <w:pPr>
              <w:pStyle w:val="100"/>
              <w:bidi w:val="0"/>
              <w:rPr>
                <w:sz w:val="21"/>
                <w:szCs w:val="21"/>
              </w:rPr>
            </w:pPr>
            <w:r>
              <w:rPr>
                <w:sz w:val="21"/>
                <w:szCs w:val="21"/>
              </w:rPr>
              <w:t>0902-2772786</w:t>
            </w:r>
          </w:p>
        </w:tc>
      </w:tr>
      <w:tr w14:paraId="5CB3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1DB94826">
            <w:pPr>
              <w:pStyle w:val="100"/>
              <w:bidi w:val="0"/>
              <w:rPr>
                <w:sz w:val="21"/>
                <w:szCs w:val="21"/>
              </w:rPr>
            </w:pPr>
          </w:p>
        </w:tc>
        <w:tc>
          <w:tcPr>
            <w:tcW w:w="877" w:type="pct"/>
            <w:gridSpan w:val="2"/>
            <w:vAlign w:val="center"/>
          </w:tcPr>
          <w:p w14:paraId="39B653B5">
            <w:pPr>
              <w:pStyle w:val="100"/>
              <w:bidi w:val="0"/>
              <w:rPr>
                <w:sz w:val="21"/>
                <w:szCs w:val="21"/>
              </w:rPr>
            </w:pPr>
            <w:r>
              <w:rPr>
                <w:sz w:val="21"/>
                <w:szCs w:val="21"/>
              </w:rPr>
              <w:t>单位地址</w:t>
            </w:r>
          </w:p>
        </w:tc>
        <w:tc>
          <w:tcPr>
            <w:tcW w:w="3681" w:type="pct"/>
            <w:gridSpan w:val="10"/>
            <w:vAlign w:val="center"/>
          </w:tcPr>
          <w:p w14:paraId="05820A45">
            <w:pPr>
              <w:pStyle w:val="100"/>
              <w:bidi w:val="0"/>
              <w:rPr>
                <w:sz w:val="21"/>
                <w:szCs w:val="21"/>
              </w:rPr>
            </w:pPr>
            <w:r>
              <w:rPr>
                <w:sz w:val="21"/>
                <w:szCs w:val="21"/>
              </w:rPr>
              <w:t>新疆</w:t>
            </w:r>
            <w:r>
              <w:rPr>
                <w:rFonts w:hint="eastAsia"/>
                <w:sz w:val="21"/>
                <w:szCs w:val="21"/>
                <w:lang w:val="en-US" w:eastAsia="zh-CN"/>
              </w:rPr>
              <w:t>鄯善县</w:t>
            </w:r>
            <w:r>
              <w:rPr>
                <w:sz w:val="21"/>
                <w:szCs w:val="21"/>
              </w:rPr>
              <w:t>火车站镇吐哈油田分公司</w:t>
            </w:r>
          </w:p>
        </w:tc>
      </w:tr>
      <w:tr w14:paraId="1CDF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7E63A706">
            <w:pPr>
              <w:pStyle w:val="100"/>
              <w:bidi w:val="0"/>
              <w:rPr>
                <w:sz w:val="21"/>
                <w:szCs w:val="21"/>
              </w:rPr>
            </w:pPr>
          </w:p>
        </w:tc>
        <w:tc>
          <w:tcPr>
            <w:tcW w:w="877" w:type="pct"/>
            <w:gridSpan w:val="2"/>
            <w:vAlign w:val="center"/>
          </w:tcPr>
          <w:p w14:paraId="74947E63">
            <w:pPr>
              <w:pStyle w:val="100"/>
              <w:bidi w:val="0"/>
              <w:rPr>
                <w:sz w:val="21"/>
                <w:szCs w:val="21"/>
              </w:rPr>
            </w:pPr>
            <w:r>
              <w:rPr>
                <w:sz w:val="21"/>
                <w:szCs w:val="21"/>
              </w:rPr>
              <w:t>单位性质</w:t>
            </w:r>
          </w:p>
        </w:tc>
        <w:tc>
          <w:tcPr>
            <w:tcW w:w="889" w:type="pct"/>
            <w:gridSpan w:val="3"/>
            <w:vAlign w:val="center"/>
          </w:tcPr>
          <w:p w14:paraId="70B8BC8D">
            <w:pPr>
              <w:pStyle w:val="100"/>
              <w:bidi w:val="0"/>
              <w:rPr>
                <w:sz w:val="21"/>
                <w:szCs w:val="21"/>
              </w:rPr>
            </w:pPr>
            <w:r>
              <w:rPr>
                <w:sz w:val="21"/>
                <w:szCs w:val="21"/>
              </w:rPr>
              <w:t>国企</w:t>
            </w:r>
          </w:p>
        </w:tc>
        <w:tc>
          <w:tcPr>
            <w:tcW w:w="1306" w:type="pct"/>
            <w:gridSpan w:val="4"/>
            <w:vAlign w:val="center"/>
          </w:tcPr>
          <w:p w14:paraId="6ADCCB02">
            <w:pPr>
              <w:pStyle w:val="100"/>
              <w:bidi w:val="0"/>
              <w:rPr>
                <w:sz w:val="21"/>
                <w:szCs w:val="21"/>
              </w:rPr>
            </w:pPr>
            <w:r>
              <w:rPr>
                <w:sz w:val="21"/>
                <w:szCs w:val="21"/>
              </w:rPr>
              <w:t>项目区面积</w:t>
            </w:r>
          </w:p>
        </w:tc>
        <w:tc>
          <w:tcPr>
            <w:tcW w:w="1485" w:type="pct"/>
            <w:gridSpan w:val="3"/>
            <w:vAlign w:val="center"/>
          </w:tcPr>
          <w:p w14:paraId="34823944">
            <w:pPr>
              <w:pStyle w:val="100"/>
              <w:bidi w:val="0"/>
              <w:rPr>
                <w:sz w:val="21"/>
                <w:szCs w:val="21"/>
              </w:rPr>
            </w:pPr>
            <w:r>
              <w:rPr>
                <w:rFonts w:hint="eastAsia"/>
                <w:sz w:val="21"/>
                <w:szCs w:val="21"/>
                <w:lang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p>
        </w:tc>
      </w:tr>
      <w:tr w14:paraId="10B0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E8B2788">
            <w:pPr>
              <w:pStyle w:val="100"/>
              <w:bidi w:val="0"/>
              <w:rPr>
                <w:sz w:val="21"/>
                <w:szCs w:val="21"/>
              </w:rPr>
            </w:pPr>
          </w:p>
        </w:tc>
        <w:tc>
          <w:tcPr>
            <w:tcW w:w="877" w:type="pct"/>
            <w:gridSpan w:val="2"/>
            <w:vAlign w:val="center"/>
          </w:tcPr>
          <w:p w14:paraId="1B567FAF">
            <w:pPr>
              <w:pStyle w:val="100"/>
              <w:bidi w:val="0"/>
              <w:rPr>
                <w:sz w:val="21"/>
                <w:szCs w:val="21"/>
              </w:rPr>
            </w:pPr>
            <w:r>
              <w:rPr>
                <w:sz w:val="21"/>
                <w:szCs w:val="21"/>
              </w:rPr>
              <w:t>项目位置</w:t>
            </w:r>
          </w:p>
        </w:tc>
        <w:tc>
          <w:tcPr>
            <w:tcW w:w="3681" w:type="pct"/>
            <w:gridSpan w:val="10"/>
            <w:vAlign w:val="center"/>
          </w:tcPr>
          <w:p w14:paraId="739D0513">
            <w:pPr>
              <w:pStyle w:val="100"/>
              <w:bidi w:val="0"/>
              <w:rPr>
                <w:sz w:val="21"/>
                <w:szCs w:val="21"/>
              </w:rPr>
            </w:pPr>
            <w:r>
              <w:rPr>
                <w:sz w:val="21"/>
                <w:szCs w:val="21"/>
              </w:rPr>
              <w:t>位于</w:t>
            </w:r>
            <w:r>
              <w:rPr>
                <w:rFonts w:hint="eastAsia"/>
                <w:sz w:val="21"/>
                <w:szCs w:val="21"/>
                <w:lang w:eastAsia="zh-CN"/>
              </w:rPr>
              <w:t>巴里坤县三塘湖镇直属</w:t>
            </w:r>
            <w:r>
              <w:rPr>
                <w:sz w:val="21"/>
                <w:szCs w:val="21"/>
              </w:rPr>
              <w:t>境内</w:t>
            </w:r>
          </w:p>
        </w:tc>
      </w:tr>
      <w:tr w14:paraId="73EA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6CB877DB">
            <w:pPr>
              <w:pStyle w:val="100"/>
              <w:bidi w:val="0"/>
              <w:rPr>
                <w:sz w:val="21"/>
                <w:szCs w:val="21"/>
              </w:rPr>
            </w:pPr>
          </w:p>
        </w:tc>
        <w:tc>
          <w:tcPr>
            <w:tcW w:w="877" w:type="pct"/>
            <w:gridSpan w:val="2"/>
            <w:vAlign w:val="center"/>
          </w:tcPr>
          <w:p w14:paraId="192D37C7">
            <w:pPr>
              <w:pStyle w:val="100"/>
              <w:bidi w:val="0"/>
              <w:rPr>
                <w:sz w:val="21"/>
                <w:szCs w:val="21"/>
              </w:rPr>
            </w:pPr>
            <w:r>
              <w:rPr>
                <w:sz w:val="21"/>
                <w:szCs w:val="21"/>
              </w:rPr>
              <w:t>项目投资规模</w:t>
            </w:r>
          </w:p>
        </w:tc>
        <w:tc>
          <w:tcPr>
            <w:tcW w:w="3681" w:type="pct"/>
            <w:gridSpan w:val="10"/>
            <w:vAlign w:val="center"/>
          </w:tcPr>
          <w:p w14:paraId="2D333EBC">
            <w:pPr>
              <w:pStyle w:val="100"/>
              <w:bidi w:val="0"/>
              <w:rPr>
                <w:sz w:val="21"/>
                <w:szCs w:val="21"/>
              </w:rPr>
            </w:pPr>
            <w:r>
              <w:rPr>
                <w:sz w:val="21"/>
                <w:szCs w:val="21"/>
              </w:rPr>
              <w:t>总投资</w:t>
            </w:r>
            <w:r>
              <w:rPr>
                <w:rFonts w:hint="eastAsia"/>
                <w:color w:val="auto"/>
                <w:sz w:val="21"/>
                <w:szCs w:val="21"/>
                <w:lang w:val="en-US" w:eastAsia="zh-CN"/>
              </w:rPr>
              <w:t>3.5844</w:t>
            </w:r>
            <w:r>
              <w:rPr>
                <w:sz w:val="21"/>
                <w:szCs w:val="21"/>
              </w:rPr>
              <w:t>万元</w:t>
            </w:r>
          </w:p>
        </w:tc>
      </w:tr>
      <w:tr w14:paraId="31D1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195206EF">
            <w:pPr>
              <w:pStyle w:val="100"/>
              <w:bidi w:val="0"/>
              <w:rPr>
                <w:sz w:val="21"/>
                <w:szCs w:val="21"/>
              </w:rPr>
            </w:pPr>
          </w:p>
        </w:tc>
        <w:tc>
          <w:tcPr>
            <w:tcW w:w="877" w:type="pct"/>
            <w:gridSpan w:val="2"/>
            <w:vAlign w:val="center"/>
          </w:tcPr>
          <w:p w14:paraId="5044FC03">
            <w:pPr>
              <w:pStyle w:val="100"/>
              <w:bidi w:val="0"/>
              <w:rPr>
                <w:sz w:val="21"/>
                <w:szCs w:val="21"/>
              </w:rPr>
            </w:pPr>
            <w:r>
              <w:rPr>
                <w:sz w:val="21"/>
                <w:szCs w:val="21"/>
              </w:rPr>
              <w:t>建设期限</w:t>
            </w:r>
          </w:p>
        </w:tc>
        <w:tc>
          <w:tcPr>
            <w:tcW w:w="889" w:type="pct"/>
            <w:gridSpan w:val="3"/>
            <w:vAlign w:val="center"/>
          </w:tcPr>
          <w:p w14:paraId="2F8B1FEB">
            <w:pPr>
              <w:pStyle w:val="100"/>
              <w:bidi w:val="0"/>
              <w:rPr>
                <w:rFonts w:hint="default" w:eastAsia="仿宋_GB2312"/>
                <w:sz w:val="21"/>
                <w:szCs w:val="21"/>
                <w:lang w:val="en-US" w:eastAsia="zh-CN"/>
              </w:rPr>
            </w:pPr>
            <w:r>
              <w:rPr>
                <w:rFonts w:hint="eastAsia"/>
                <w:sz w:val="21"/>
                <w:szCs w:val="21"/>
              </w:rPr>
              <w:t>202</w:t>
            </w:r>
            <w:r>
              <w:rPr>
                <w:rFonts w:hint="eastAsia"/>
                <w:sz w:val="21"/>
                <w:szCs w:val="21"/>
                <w:lang w:val="en-US" w:eastAsia="zh-CN"/>
              </w:rPr>
              <w:t>5</w:t>
            </w:r>
            <w:r>
              <w:rPr>
                <w:rFonts w:hint="eastAsia"/>
                <w:sz w:val="21"/>
                <w:szCs w:val="21"/>
              </w:rPr>
              <w:t>.</w:t>
            </w:r>
            <w:r>
              <w:rPr>
                <w:rFonts w:hint="eastAsia"/>
                <w:sz w:val="21"/>
                <w:szCs w:val="21"/>
                <w:lang w:val="en-US" w:eastAsia="zh-CN"/>
              </w:rPr>
              <w:t>1</w:t>
            </w:r>
            <w:r>
              <w:rPr>
                <w:sz w:val="21"/>
                <w:szCs w:val="21"/>
              </w:rPr>
              <w:t>—</w:t>
            </w:r>
            <w:r>
              <w:rPr>
                <w:rFonts w:hint="eastAsia"/>
                <w:sz w:val="21"/>
                <w:szCs w:val="21"/>
              </w:rPr>
              <w:t>202</w:t>
            </w:r>
            <w:r>
              <w:rPr>
                <w:rFonts w:hint="eastAsia"/>
                <w:sz w:val="21"/>
                <w:szCs w:val="21"/>
                <w:lang w:val="en-US" w:eastAsia="zh-CN"/>
              </w:rPr>
              <w:t>6</w:t>
            </w:r>
            <w:r>
              <w:rPr>
                <w:rFonts w:hint="eastAsia"/>
                <w:sz w:val="21"/>
                <w:szCs w:val="21"/>
              </w:rPr>
              <w:t>.</w:t>
            </w:r>
            <w:r>
              <w:rPr>
                <w:rFonts w:hint="eastAsia"/>
                <w:sz w:val="21"/>
                <w:szCs w:val="21"/>
                <w:lang w:val="en-US" w:eastAsia="zh-CN"/>
              </w:rPr>
              <w:t>12</w:t>
            </w:r>
          </w:p>
        </w:tc>
        <w:tc>
          <w:tcPr>
            <w:tcW w:w="1306" w:type="pct"/>
            <w:gridSpan w:val="4"/>
            <w:vAlign w:val="center"/>
          </w:tcPr>
          <w:p w14:paraId="2D20D045">
            <w:pPr>
              <w:pStyle w:val="100"/>
              <w:bidi w:val="0"/>
              <w:rPr>
                <w:sz w:val="21"/>
                <w:szCs w:val="21"/>
              </w:rPr>
            </w:pPr>
            <w:r>
              <w:rPr>
                <w:sz w:val="21"/>
                <w:szCs w:val="21"/>
              </w:rPr>
              <w:t>土地复垦方案服务年限</w:t>
            </w:r>
          </w:p>
        </w:tc>
        <w:tc>
          <w:tcPr>
            <w:tcW w:w="1485" w:type="pct"/>
            <w:gridSpan w:val="3"/>
            <w:vAlign w:val="center"/>
          </w:tcPr>
          <w:p w14:paraId="109435DD">
            <w:pPr>
              <w:pStyle w:val="100"/>
              <w:bidi w:val="0"/>
              <w:rPr>
                <w:rFonts w:hint="default" w:eastAsia="仿宋_GB2312"/>
                <w:sz w:val="21"/>
                <w:szCs w:val="21"/>
                <w:lang w:val="en-US" w:eastAsia="zh-CN"/>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1</w:t>
            </w:r>
            <w:r>
              <w:rPr>
                <w:color w:val="auto"/>
                <w:sz w:val="21"/>
                <w:szCs w:val="21"/>
              </w:rPr>
              <w:t>—202</w:t>
            </w:r>
            <w:r>
              <w:rPr>
                <w:rFonts w:hint="eastAsia"/>
                <w:color w:val="auto"/>
                <w:sz w:val="21"/>
                <w:szCs w:val="21"/>
                <w:lang w:val="en-US" w:eastAsia="zh-CN"/>
              </w:rPr>
              <w:t>7</w:t>
            </w:r>
            <w:r>
              <w:rPr>
                <w:rFonts w:hint="eastAsia"/>
                <w:color w:val="auto"/>
                <w:sz w:val="21"/>
                <w:szCs w:val="21"/>
              </w:rPr>
              <w:t>.</w:t>
            </w:r>
            <w:r>
              <w:rPr>
                <w:rFonts w:hint="eastAsia"/>
                <w:color w:val="auto"/>
                <w:sz w:val="21"/>
                <w:szCs w:val="21"/>
                <w:lang w:val="en-US" w:eastAsia="zh-CN"/>
              </w:rPr>
              <w:t>12</w:t>
            </w:r>
          </w:p>
        </w:tc>
      </w:tr>
      <w:tr w14:paraId="04EA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restart"/>
            <w:vAlign w:val="center"/>
          </w:tcPr>
          <w:p w14:paraId="7346DA32">
            <w:pPr>
              <w:pStyle w:val="100"/>
              <w:bidi w:val="0"/>
              <w:rPr>
                <w:sz w:val="21"/>
                <w:szCs w:val="21"/>
              </w:rPr>
            </w:pPr>
            <w:r>
              <w:rPr>
                <w:sz w:val="21"/>
                <w:szCs w:val="21"/>
              </w:rPr>
              <w:t>方</w:t>
            </w:r>
          </w:p>
          <w:p w14:paraId="01AB544E">
            <w:pPr>
              <w:pStyle w:val="100"/>
              <w:bidi w:val="0"/>
              <w:rPr>
                <w:sz w:val="21"/>
                <w:szCs w:val="21"/>
              </w:rPr>
            </w:pPr>
            <w:r>
              <w:rPr>
                <w:sz w:val="21"/>
                <w:szCs w:val="21"/>
              </w:rPr>
              <w:t>案</w:t>
            </w:r>
          </w:p>
          <w:p w14:paraId="5ABF936B">
            <w:pPr>
              <w:pStyle w:val="100"/>
              <w:bidi w:val="0"/>
              <w:rPr>
                <w:sz w:val="21"/>
                <w:szCs w:val="21"/>
              </w:rPr>
            </w:pPr>
            <w:r>
              <w:rPr>
                <w:sz w:val="21"/>
                <w:szCs w:val="21"/>
              </w:rPr>
              <w:t>编</w:t>
            </w:r>
          </w:p>
          <w:p w14:paraId="0C2DE8F8">
            <w:pPr>
              <w:pStyle w:val="100"/>
              <w:bidi w:val="0"/>
              <w:rPr>
                <w:sz w:val="21"/>
                <w:szCs w:val="21"/>
              </w:rPr>
            </w:pPr>
            <w:r>
              <w:rPr>
                <w:sz w:val="21"/>
                <w:szCs w:val="21"/>
              </w:rPr>
              <w:t>制</w:t>
            </w:r>
          </w:p>
          <w:p w14:paraId="52FD2FD1">
            <w:pPr>
              <w:pStyle w:val="100"/>
              <w:bidi w:val="0"/>
              <w:rPr>
                <w:sz w:val="21"/>
                <w:szCs w:val="21"/>
              </w:rPr>
            </w:pPr>
            <w:r>
              <w:rPr>
                <w:sz w:val="21"/>
                <w:szCs w:val="21"/>
              </w:rPr>
              <w:t>单</w:t>
            </w:r>
          </w:p>
          <w:p w14:paraId="4CAF7288">
            <w:pPr>
              <w:pStyle w:val="100"/>
              <w:bidi w:val="0"/>
              <w:rPr>
                <w:sz w:val="21"/>
                <w:szCs w:val="21"/>
              </w:rPr>
            </w:pPr>
            <w:r>
              <w:rPr>
                <w:sz w:val="21"/>
                <w:szCs w:val="21"/>
              </w:rPr>
              <w:t>位</w:t>
            </w:r>
          </w:p>
        </w:tc>
        <w:tc>
          <w:tcPr>
            <w:tcW w:w="877" w:type="pct"/>
            <w:gridSpan w:val="2"/>
            <w:vAlign w:val="center"/>
          </w:tcPr>
          <w:p w14:paraId="07753287">
            <w:pPr>
              <w:pStyle w:val="100"/>
              <w:bidi w:val="0"/>
              <w:rPr>
                <w:sz w:val="21"/>
                <w:szCs w:val="21"/>
              </w:rPr>
            </w:pPr>
            <w:r>
              <w:rPr>
                <w:sz w:val="21"/>
                <w:szCs w:val="21"/>
              </w:rPr>
              <w:t>编制单位名称</w:t>
            </w:r>
          </w:p>
        </w:tc>
        <w:tc>
          <w:tcPr>
            <w:tcW w:w="3681" w:type="pct"/>
            <w:gridSpan w:val="10"/>
            <w:vAlign w:val="center"/>
          </w:tcPr>
          <w:p w14:paraId="4CF8D731">
            <w:pPr>
              <w:pStyle w:val="100"/>
              <w:bidi w:val="0"/>
              <w:rPr>
                <w:rFonts w:hint="eastAsia" w:eastAsia="仿宋_GB2312"/>
                <w:sz w:val="21"/>
                <w:szCs w:val="21"/>
                <w:lang w:eastAsia="zh-CN"/>
              </w:rPr>
            </w:pPr>
            <w:r>
              <w:rPr>
                <w:rFonts w:hint="eastAsia"/>
                <w:sz w:val="21"/>
                <w:szCs w:val="21"/>
                <w:lang w:eastAsia="zh-CN"/>
              </w:rPr>
              <w:t>优普科技集团有限公司新疆分公司</w:t>
            </w:r>
          </w:p>
        </w:tc>
      </w:tr>
      <w:tr w14:paraId="7EAA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22E4275F">
            <w:pPr>
              <w:pStyle w:val="100"/>
              <w:bidi w:val="0"/>
              <w:rPr>
                <w:sz w:val="21"/>
                <w:szCs w:val="21"/>
              </w:rPr>
            </w:pPr>
          </w:p>
        </w:tc>
        <w:tc>
          <w:tcPr>
            <w:tcW w:w="877" w:type="pct"/>
            <w:gridSpan w:val="2"/>
            <w:vAlign w:val="center"/>
          </w:tcPr>
          <w:p w14:paraId="3AAE989E">
            <w:pPr>
              <w:pStyle w:val="100"/>
              <w:bidi w:val="0"/>
              <w:rPr>
                <w:sz w:val="21"/>
                <w:szCs w:val="21"/>
              </w:rPr>
            </w:pPr>
            <w:r>
              <w:rPr>
                <w:sz w:val="21"/>
                <w:szCs w:val="21"/>
              </w:rPr>
              <w:t>法人代表</w:t>
            </w:r>
          </w:p>
        </w:tc>
        <w:tc>
          <w:tcPr>
            <w:tcW w:w="3681" w:type="pct"/>
            <w:gridSpan w:val="10"/>
            <w:vAlign w:val="center"/>
          </w:tcPr>
          <w:p w14:paraId="7D99DC78">
            <w:pPr>
              <w:pStyle w:val="100"/>
              <w:bidi w:val="0"/>
              <w:rPr>
                <w:sz w:val="21"/>
                <w:szCs w:val="21"/>
              </w:rPr>
            </w:pPr>
            <w:r>
              <w:rPr>
                <w:rFonts w:hint="eastAsia"/>
                <w:sz w:val="21"/>
                <w:szCs w:val="21"/>
                <w:lang w:val="en-US" w:eastAsia="zh-CN"/>
              </w:rPr>
              <w:t>田志伟</w:t>
            </w:r>
          </w:p>
        </w:tc>
      </w:tr>
      <w:tr w14:paraId="08BF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4F30155B">
            <w:pPr>
              <w:pStyle w:val="100"/>
              <w:bidi w:val="0"/>
              <w:rPr>
                <w:sz w:val="21"/>
                <w:szCs w:val="21"/>
              </w:rPr>
            </w:pPr>
          </w:p>
        </w:tc>
        <w:tc>
          <w:tcPr>
            <w:tcW w:w="877" w:type="pct"/>
            <w:gridSpan w:val="2"/>
            <w:vAlign w:val="center"/>
          </w:tcPr>
          <w:p w14:paraId="744585BC">
            <w:pPr>
              <w:pStyle w:val="100"/>
              <w:bidi w:val="0"/>
              <w:rPr>
                <w:sz w:val="21"/>
                <w:szCs w:val="21"/>
              </w:rPr>
            </w:pPr>
            <w:r>
              <w:rPr>
                <w:sz w:val="21"/>
                <w:szCs w:val="21"/>
              </w:rPr>
              <w:t>资质证书名称</w:t>
            </w:r>
          </w:p>
        </w:tc>
        <w:tc>
          <w:tcPr>
            <w:tcW w:w="889" w:type="pct"/>
            <w:gridSpan w:val="3"/>
            <w:vAlign w:val="center"/>
          </w:tcPr>
          <w:p w14:paraId="76C5BE8A">
            <w:pPr>
              <w:pStyle w:val="100"/>
              <w:bidi w:val="0"/>
              <w:rPr>
                <w:sz w:val="21"/>
                <w:szCs w:val="21"/>
              </w:rPr>
            </w:pPr>
            <w:r>
              <w:rPr>
                <w:sz w:val="21"/>
                <w:szCs w:val="21"/>
              </w:rPr>
              <w:t>土地规划资质</w:t>
            </w:r>
          </w:p>
        </w:tc>
        <w:tc>
          <w:tcPr>
            <w:tcW w:w="1306" w:type="pct"/>
            <w:gridSpan w:val="4"/>
            <w:vAlign w:val="center"/>
          </w:tcPr>
          <w:p w14:paraId="4F6FAF55">
            <w:pPr>
              <w:pStyle w:val="100"/>
              <w:bidi w:val="0"/>
              <w:rPr>
                <w:sz w:val="21"/>
                <w:szCs w:val="21"/>
              </w:rPr>
            </w:pPr>
            <w:r>
              <w:rPr>
                <w:sz w:val="21"/>
                <w:szCs w:val="21"/>
              </w:rPr>
              <w:t>资质等级</w:t>
            </w:r>
          </w:p>
        </w:tc>
        <w:tc>
          <w:tcPr>
            <w:tcW w:w="1485" w:type="pct"/>
            <w:gridSpan w:val="3"/>
            <w:vAlign w:val="center"/>
          </w:tcPr>
          <w:p w14:paraId="3265DF68">
            <w:pPr>
              <w:spacing w:line="240" w:lineRule="auto"/>
              <w:ind w:firstLine="0" w:firstLineChars="0"/>
              <w:jc w:val="center"/>
              <w:rPr>
                <w:sz w:val="21"/>
                <w:szCs w:val="21"/>
              </w:rPr>
            </w:pPr>
            <w:r>
              <w:rPr>
                <w:rFonts w:hint="eastAsia"/>
                <w:color w:val="auto"/>
                <w:sz w:val="21"/>
                <w:szCs w:val="21"/>
                <w:lang w:val="en-US" w:eastAsia="zh-CN"/>
              </w:rPr>
              <w:t>乙</w:t>
            </w:r>
            <w:r>
              <w:rPr>
                <w:color w:val="auto"/>
                <w:sz w:val="21"/>
                <w:szCs w:val="21"/>
              </w:rPr>
              <w:t>级</w:t>
            </w:r>
          </w:p>
        </w:tc>
      </w:tr>
      <w:tr w14:paraId="0E06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03408E9">
            <w:pPr>
              <w:pStyle w:val="100"/>
              <w:bidi w:val="0"/>
              <w:rPr>
                <w:sz w:val="21"/>
                <w:szCs w:val="21"/>
              </w:rPr>
            </w:pPr>
          </w:p>
        </w:tc>
        <w:tc>
          <w:tcPr>
            <w:tcW w:w="877" w:type="pct"/>
            <w:gridSpan w:val="2"/>
            <w:vAlign w:val="center"/>
          </w:tcPr>
          <w:p w14:paraId="6B8DB45C">
            <w:pPr>
              <w:pStyle w:val="100"/>
              <w:bidi w:val="0"/>
              <w:rPr>
                <w:sz w:val="21"/>
                <w:szCs w:val="21"/>
              </w:rPr>
            </w:pPr>
            <w:r>
              <w:rPr>
                <w:sz w:val="21"/>
                <w:szCs w:val="21"/>
              </w:rPr>
              <w:t>发证机关</w:t>
            </w:r>
          </w:p>
        </w:tc>
        <w:tc>
          <w:tcPr>
            <w:tcW w:w="889" w:type="pct"/>
            <w:gridSpan w:val="3"/>
            <w:vAlign w:val="center"/>
          </w:tcPr>
          <w:p w14:paraId="5A25B03C">
            <w:pPr>
              <w:pStyle w:val="100"/>
              <w:bidi w:val="0"/>
              <w:rPr>
                <w:sz w:val="21"/>
                <w:szCs w:val="21"/>
              </w:rPr>
            </w:pPr>
            <w:r>
              <w:rPr>
                <w:sz w:val="21"/>
                <w:szCs w:val="21"/>
              </w:rPr>
              <w:t>中国土地学会</w:t>
            </w:r>
          </w:p>
        </w:tc>
        <w:tc>
          <w:tcPr>
            <w:tcW w:w="1306" w:type="pct"/>
            <w:gridSpan w:val="4"/>
            <w:vAlign w:val="center"/>
          </w:tcPr>
          <w:p w14:paraId="029E0D9B">
            <w:pPr>
              <w:pStyle w:val="100"/>
              <w:bidi w:val="0"/>
              <w:rPr>
                <w:sz w:val="21"/>
                <w:szCs w:val="21"/>
              </w:rPr>
            </w:pPr>
            <w:r>
              <w:rPr>
                <w:sz w:val="21"/>
                <w:szCs w:val="21"/>
              </w:rPr>
              <w:t>证书编号</w:t>
            </w:r>
          </w:p>
        </w:tc>
        <w:tc>
          <w:tcPr>
            <w:tcW w:w="1485" w:type="pct"/>
            <w:gridSpan w:val="3"/>
            <w:vAlign w:val="center"/>
          </w:tcPr>
          <w:p w14:paraId="45301CFC">
            <w:pPr>
              <w:pStyle w:val="100"/>
              <w:bidi w:val="0"/>
              <w:ind w:firstLine="0" w:firstLineChars="0"/>
              <w:rPr>
                <w:sz w:val="21"/>
                <w:szCs w:val="21"/>
              </w:rPr>
            </w:pPr>
            <w:r>
              <w:rPr>
                <w:rFonts w:hint="eastAsia"/>
                <w:lang w:val="en-US" w:eastAsia="zh-CN"/>
              </w:rPr>
              <w:t>21-022</w:t>
            </w:r>
          </w:p>
        </w:tc>
      </w:tr>
      <w:tr w14:paraId="75DD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6ED8CB7">
            <w:pPr>
              <w:pStyle w:val="100"/>
              <w:bidi w:val="0"/>
              <w:rPr>
                <w:sz w:val="21"/>
                <w:szCs w:val="21"/>
              </w:rPr>
            </w:pPr>
          </w:p>
        </w:tc>
        <w:tc>
          <w:tcPr>
            <w:tcW w:w="877" w:type="pct"/>
            <w:gridSpan w:val="2"/>
            <w:vAlign w:val="center"/>
          </w:tcPr>
          <w:p w14:paraId="732FCCE6">
            <w:pPr>
              <w:pStyle w:val="100"/>
              <w:bidi w:val="0"/>
              <w:rPr>
                <w:sz w:val="21"/>
                <w:szCs w:val="21"/>
              </w:rPr>
            </w:pPr>
            <w:r>
              <w:rPr>
                <w:sz w:val="21"/>
                <w:szCs w:val="21"/>
              </w:rPr>
              <w:t>联系人</w:t>
            </w:r>
          </w:p>
        </w:tc>
        <w:tc>
          <w:tcPr>
            <w:tcW w:w="889" w:type="pct"/>
            <w:gridSpan w:val="3"/>
            <w:vAlign w:val="center"/>
          </w:tcPr>
          <w:p w14:paraId="7B134E53">
            <w:pPr>
              <w:pStyle w:val="100"/>
              <w:bidi w:val="0"/>
              <w:rPr>
                <w:sz w:val="21"/>
                <w:szCs w:val="21"/>
              </w:rPr>
            </w:pPr>
            <w:r>
              <w:rPr>
                <w:sz w:val="21"/>
                <w:szCs w:val="21"/>
              </w:rPr>
              <w:t>赵永勋</w:t>
            </w:r>
          </w:p>
        </w:tc>
        <w:tc>
          <w:tcPr>
            <w:tcW w:w="1306" w:type="pct"/>
            <w:gridSpan w:val="4"/>
            <w:vAlign w:val="center"/>
          </w:tcPr>
          <w:p w14:paraId="55A243BE">
            <w:pPr>
              <w:pStyle w:val="100"/>
              <w:bidi w:val="0"/>
              <w:rPr>
                <w:sz w:val="21"/>
                <w:szCs w:val="21"/>
              </w:rPr>
            </w:pPr>
            <w:r>
              <w:rPr>
                <w:sz w:val="21"/>
                <w:szCs w:val="21"/>
              </w:rPr>
              <w:t>联系电话</w:t>
            </w:r>
          </w:p>
        </w:tc>
        <w:tc>
          <w:tcPr>
            <w:tcW w:w="1485" w:type="pct"/>
            <w:gridSpan w:val="3"/>
            <w:vAlign w:val="center"/>
          </w:tcPr>
          <w:p w14:paraId="0F65F3A8">
            <w:pPr>
              <w:pStyle w:val="100"/>
              <w:bidi w:val="0"/>
              <w:ind w:firstLine="0" w:firstLineChars="0"/>
              <w:rPr>
                <w:sz w:val="21"/>
                <w:szCs w:val="21"/>
              </w:rPr>
            </w:pPr>
            <w:r>
              <w:rPr>
                <w:rFonts w:hint="eastAsia"/>
                <w:sz w:val="21"/>
                <w:szCs w:val="21"/>
              </w:rPr>
              <w:t>15299649926</w:t>
            </w:r>
          </w:p>
        </w:tc>
      </w:tr>
      <w:tr w14:paraId="62F7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B151463">
            <w:pPr>
              <w:pStyle w:val="100"/>
              <w:bidi w:val="0"/>
              <w:rPr>
                <w:sz w:val="21"/>
                <w:szCs w:val="21"/>
              </w:rPr>
            </w:pPr>
          </w:p>
        </w:tc>
        <w:tc>
          <w:tcPr>
            <w:tcW w:w="4559" w:type="pct"/>
            <w:gridSpan w:val="12"/>
            <w:vAlign w:val="center"/>
          </w:tcPr>
          <w:p w14:paraId="3935DEA9">
            <w:pPr>
              <w:pStyle w:val="100"/>
              <w:bidi w:val="0"/>
              <w:rPr>
                <w:sz w:val="21"/>
                <w:szCs w:val="21"/>
              </w:rPr>
            </w:pPr>
            <w:r>
              <w:rPr>
                <w:sz w:val="21"/>
                <w:szCs w:val="21"/>
              </w:rPr>
              <w:t>主要编制人员</w:t>
            </w:r>
          </w:p>
        </w:tc>
      </w:tr>
      <w:tr w14:paraId="519C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69AF8425">
            <w:pPr>
              <w:pStyle w:val="100"/>
              <w:bidi w:val="0"/>
              <w:rPr>
                <w:sz w:val="21"/>
                <w:szCs w:val="21"/>
              </w:rPr>
            </w:pPr>
          </w:p>
        </w:tc>
        <w:tc>
          <w:tcPr>
            <w:tcW w:w="877" w:type="pct"/>
            <w:gridSpan w:val="2"/>
            <w:vAlign w:val="center"/>
          </w:tcPr>
          <w:p w14:paraId="13827BF5">
            <w:pPr>
              <w:pStyle w:val="100"/>
              <w:bidi w:val="0"/>
              <w:rPr>
                <w:sz w:val="21"/>
                <w:szCs w:val="21"/>
              </w:rPr>
            </w:pPr>
            <w:r>
              <w:rPr>
                <w:sz w:val="21"/>
                <w:szCs w:val="21"/>
              </w:rPr>
              <w:t>姓  名</w:t>
            </w:r>
          </w:p>
        </w:tc>
        <w:tc>
          <w:tcPr>
            <w:tcW w:w="889" w:type="pct"/>
            <w:gridSpan w:val="3"/>
            <w:vAlign w:val="center"/>
          </w:tcPr>
          <w:p w14:paraId="47D3DD94">
            <w:pPr>
              <w:pStyle w:val="100"/>
              <w:bidi w:val="0"/>
              <w:rPr>
                <w:sz w:val="21"/>
                <w:szCs w:val="21"/>
              </w:rPr>
            </w:pPr>
            <w:r>
              <w:rPr>
                <w:sz w:val="21"/>
                <w:szCs w:val="21"/>
              </w:rPr>
              <w:t>职务/职称</w:t>
            </w:r>
          </w:p>
        </w:tc>
        <w:tc>
          <w:tcPr>
            <w:tcW w:w="1782" w:type="pct"/>
            <w:gridSpan w:val="6"/>
            <w:vAlign w:val="center"/>
          </w:tcPr>
          <w:p w14:paraId="3155A15E">
            <w:pPr>
              <w:pStyle w:val="100"/>
              <w:bidi w:val="0"/>
              <w:rPr>
                <w:sz w:val="21"/>
                <w:szCs w:val="21"/>
              </w:rPr>
            </w:pPr>
            <w:r>
              <w:rPr>
                <w:sz w:val="21"/>
                <w:szCs w:val="21"/>
              </w:rPr>
              <w:t>工作单位</w:t>
            </w:r>
          </w:p>
        </w:tc>
        <w:tc>
          <w:tcPr>
            <w:tcW w:w="1009" w:type="pct"/>
            <w:vAlign w:val="center"/>
          </w:tcPr>
          <w:p w14:paraId="143BFC3A">
            <w:pPr>
              <w:pStyle w:val="100"/>
              <w:bidi w:val="0"/>
              <w:rPr>
                <w:sz w:val="21"/>
                <w:szCs w:val="21"/>
              </w:rPr>
            </w:pPr>
            <w:r>
              <w:rPr>
                <w:sz w:val="21"/>
                <w:szCs w:val="21"/>
              </w:rPr>
              <w:t>签  名</w:t>
            </w:r>
          </w:p>
        </w:tc>
      </w:tr>
      <w:tr w14:paraId="4A1C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6483393F">
            <w:pPr>
              <w:pStyle w:val="100"/>
              <w:bidi w:val="0"/>
              <w:rPr>
                <w:sz w:val="21"/>
                <w:szCs w:val="21"/>
              </w:rPr>
            </w:pPr>
          </w:p>
        </w:tc>
        <w:tc>
          <w:tcPr>
            <w:tcW w:w="877" w:type="pct"/>
            <w:gridSpan w:val="2"/>
            <w:vAlign w:val="center"/>
          </w:tcPr>
          <w:p w14:paraId="43492453">
            <w:pPr>
              <w:pStyle w:val="100"/>
              <w:bidi w:val="0"/>
              <w:ind w:firstLine="0" w:firstLineChars="0"/>
              <w:rPr>
                <w:b/>
                <w:bCs/>
                <w:sz w:val="21"/>
                <w:szCs w:val="21"/>
              </w:rPr>
            </w:pPr>
            <w:r>
              <w:rPr>
                <w:rFonts w:hint="eastAsia"/>
                <w:sz w:val="21"/>
                <w:szCs w:val="21"/>
                <w:lang w:val="en-US" w:eastAsia="zh-CN"/>
              </w:rPr>
              <w:t>李军虎</w:t>
            </w:r>
          </w:p>
        </w:tc>
        <w:tc>
          <w:tcPr>
            <w:tcW w:w="889" w:type="pct"/>
            <w:gridSpan w:val="3"/>
            <w:vAlign w:val="center"/>
          </w:tcPr>
          <w:p w14:paraId="1FED38ED">
            <w:pPr>
              <w:pStyle w:val="100"/>
              <w:bidi w:val="0"/>
              <w:ind w:firstLine="0" w:firstLineChars="0"/>
              <w:rPr>
                <w:b/>
                <w:bCs/>
                <w:sz w:val="21"/>
                <w:szCs w:val="21"/>
              </w:rPr>
            </w:pPr>
            <w:r>
              <w:rPr>
                <w:rFonts w:hint="eastAsia"/>
                <w:sz w:val="21"/>
                <w:szCs w:val="21"/>
              </w:rPr>
              <w:t>高级工程师</w:t>
            </w:r>
          </w:p>
        </w:tc>
        <w:tc>
          <w:tcPr>
            <w:tcW w:w="1782" w:type="pct"/>
            <w:gridSpan w:val="6"/>
            <w:vAlign w:val="center"/>
          </w:tcPr>
          <w:p w14:paraId="6ACD4414">
            <w:pPr>
              <w:pStyle w:val="100"/>
              <w:bidi w:val="0"/>
              <w:ind w:firstLine="0" w:firstLineChars="0"/>
              <w:rPr>
                <w:b/>
                <w:bCs/>
                <w:sz w:val="21"/>
                <w:szCs w:val="21"/>
              </w:rPr>
            </w:pPr>
            <w:r>
              <w:rPr>
                <w:rFonts w:hint="eastAsia"/>
                <w:sz w:val="21"/>
                <w:szCs w:val="21"/>
                <w:lang w:val="en-US" w:eastAsia="zh-CN"/>
              </w:rPr>
              <w:t>优普科技集团有限公司新疆分公司</w:t>
            </w:r>
          </w:p>
        </w:tc>
        <w:tc>
          <w:tcPr>
            <w:tcW w:w="1009" w:type="pct"/>
            <w:vAlign w:val="center"/>
          </w:tcPr>
          <w:p w14:paraId="7C8A1EA2">
            <w:pPr>
              <w:pStyle w:val="100"/>
              <w:bidi w:val="0"/>
              <w:ind w:firstLine="0" w:firstLineChars="0"/>
              <w:rPr>
                <w:b/>
                <w:bCs/>
                <w:sz w:val="21"/>
                <w:szCs w:val="21"/>
              </w:rPr>
            </w:pPr>
            <w:r>
              <w:rPr>
                <w:rFonts w:hint="eastAsia"/>
                <w:sz w:val="21"/>
                <w:szCs w:val="21"/>
                <w:lang w:val="en-US" w:eastAsia="zh-CN"/>
              </w:rPr>
              <w:t>李军虎</w:t>
            </w:r>
          </w:p>
        </w:tc>
      </w:tr>
      <w:tr w14:paraId="1A18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650A9719">
            <w:pPr>
              <w:pStyle w:val="100"/>
              <w:bidi w:val="0"/>
              <w:rPr>
                <w:sz w:val="21"/>
                <w:szCs w:val="21"/>
              </w:rPr>
            </w:pPr>
          </w:p>
        </w:tc>
        <w:tc>
          <w:tcPr>
            <w:tcW w:w="877" w:type="pct"/>
            <w:gridSpan w:val="2"/>
            <w:vAlign w:val="center"/>
          </w:tcPr>
          <w:p w14:paraId="7B0A8061">
            <w:pPr>
              <w:pStyle w:val="100"/>
              <w:bidi w:val="0"/>
              <w:ind w:firstLine="0" w:firstLineChars="0"/>
              <w:rPr>
                <w:b/>
                <w:bCs/>
                <w:sz w:val="21"/>
                <w:szCs w:val="21"/>
              </w:rPr>
            </w:pPr>
            <w:r>
              <w:rPr>
                <w:rFonts w:hint="eastAsia"/>
                <w:sz w:val="21"/>
                <w:szCs w:val="21"/>
                <w:lang w:val="en-US" w:eastAsia="zh-CN"/>
              </w:rPr>
              <w:t>段娟莉</w:t>
            </w:r>
          </w:p>
        </w:tc>
        <w:tc>
          <w:tcPr>
            <w:tcW w:w="889" w:type="pct"/>
            <w:gridSpan w:val="3"/>
            <w:vAlign w:val="center"/>
          </w:tcPr>
          <w:p w14:paraId="25BFF8B5">
            <w:pPr>
              <w:pStyle w:val="100"/>
              <w:bidi w:val="0"/>
              <w:ind w:firstLine="0" w:firstLineChars="0"/>
              <w:rPr>
                <w:b/>
                <w:bCs/>
                <w:sz w:val="21"/>
                <w:szCs w:val="21"/>
              </w:rPr>
            </w:pPr>
            <w:r>
              <w:rPr>
                <w:rFonts w:hint="eastAsia"/>
                <w:sz w:val="21"/>
                <w:szCs w:val="21"/>
              </w:rPr>
              <w:t>工程师</w:t>
            </w:r>
          </w:p>
        </w:tc>
        <w:tc>
          <w:tcPr>
            <w:tcW w:w="1782" w:type="pct"/>
            <w:gridSpan w:val="6"/>
            <w:vAlign w:val="center"/>
          </w:tcPr>
          <w:p w14:paraId="1C35CD50">
            <w:pPr>
              <w:pStyle w:val="100"/>
              <w:bidi w:val="0"/>
              <w:ind w:firstLine="0" w:firstLineChars="0"/>
              <w:rPr>
                <w:b/>
                <w:bCs/>
                <w:sz w:val="21"/>
                <w:szCs w:val="21"/>
              </w:rPr>
            </w:pPr>
            <w:r>
              <w:rPr>
                <w:rFonts w:hint="eastAsia"/>
                <w:sz w:val="21"/>
                <w:szCs w:val="21"/>
                <w:lang w:val="en-US" w:eastAsia="zh-CN"/>
              </w:rPr>
              <w:t>优普科技集团有限公司新疆分公司</w:t>
            </w:r>
          </w:p>
        </w:tc>
        <w:tc>
          <w:tcPr>
            <w:tcW w:w="1009" w:type="pct"/>
            <w:vAlign w:val="center"/>
          </w:tcPr>
          <w:p w14:paraId="67F2101D">
            <w:pPr>
              <w:pStyle w:val="100"/>
              <w:bidi w:val="0"/>
              <w:ind w:firstLine="0" w:firstLineChars="0"/>
              <w:rPr>
                <w:b/>
                <w:bCs/>
                <w:sz w:val="21"/>
                <w:szCs w:val="21"/>
              </w:rPr>
            </w:pPr>
            <w:r>
              <w:rPr>
                <w:rFonts w:hint="eastAsia"/>
                <w:sz w:val="21"/>
                <w:szCs w:val="21"/>
                <w:lang w:val="en-US" w:eastAsia="zh-CN"/>
              </w:rPr>
              <w:t>段娟莉</w:t>
            </w:r>
          </w:p>
        </w:tc>
      </w:tr>
      <w:tr w14:paraId="275A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464B0CD0">
            <w:pPr>
              <w:pStyle w:val="100"/>
              <w:bidi w:val="0"/>
              <w:rPr>
                <w:sz w:val="21"/>
                <w:szCs w:val="21"/>
              </w:rPr>
            </w:pPr>
          </w:p>
        </w:tc>
        <w:tc>
          <w:tcPr>
            <w:tcW w:w="877" w:type="pct"/>
            <w:gridSpan w:val="2"/>
            <w:vAlign w:val="center"/>
          </w:tcPr>
          <w:p w14:paraId="515203B1">
            <w:pPr>
              <w:pStyle w:val="100"/>
              <w:bidi w:val="0"/>
              <w:ind w:firstLine="0" w:firstLineChars="0"/>
              <w:rPr>
                <w:b/>
                <w:bCs/>
                <w:sz w:val="21"/>
                <w:szCs w:val="21"/>
              </w:rPr>
            </w:pPr>
            <w:r>
              <w:rPr>
                <w:rFonts w:hint="eastAsia"/>
                <w:sz w:val="21"/>
                <w:szCs w:val="21"/>
                <w:lang w:val="en-US" w:eastAsia="zh-CN"/>
              </w:rPr>
              <w:t>张琛</w:t>
            </w:r>
          </w:p>
        </w:tc>
        <w:tc>
          <w:tcPr>
            <w:tcW w:w="889" w:type="pct"/>
            <w:gridSpan w:val="3"/>
            <w:vAlign w:val="center"/>
          </w:tcPr>
          <w:p w14:paraId="296C73B4">
            <w:pPr>
              <w:pStyle w:val="100"/>
              <w:bidi w:val="0"/>
              <w:ind w:firstLine="0" w:firstLineChars="0"/>
              <w:rPr>
                <w:b/>
                <w:bCs/>
                <w:sz w:val="21"/>
                <w:szCs w:val="21"/>
              </w:rPr>
            </w:pPr>
            <w:r>
              <w:rPr>
                <w:rFonts w:hint="eastAsia"/>
                <w:sz w:val="21"/>
                <w:szCs w:val="21"/>
              </w:rPr>
              <w:t>工程师</w:t>
            </w:r>
          </w:p>
        </w:tc>
        <w:tc>
          <w:tcPr>
            <w:tcW w:w="1782" w:type="pct"/>
            <w:gridSpan w:val="6"/>
            <w:vAlign w:val="center"/>
          </w:tcPr>
          <w:p w14:paraId="781DA2C0">
            <w:pPr>
              <w:pStyle w:val="100"/>
              <w:bidi w:val="0"/>
              <w:ind w:firstLine="0" w:firstLineChars="0"/>
              <w:rPr>
                <w:b/>
                <w:bCs/>
                <w:sz w:val="21"/>
                <w:szCs w:val="21"/>
              </w:rPr>
            </w:pPr>
            <w:r>
              <w:rPr>
                <w:rFonts w:hint="eastAsia"/>
                <w:sz w:val="21"/>
                <w:szCs w:val="21"/>
                <w:lang w:val="en-US" w:eastAsia="zh-CN"/>
              </w:rPr>
              <w:t>优普科技集团有限公司新疆分公司</w:t>
            </w:r>
          </w:p>
        </w:tc>
        <w:tc>
          <w:tcPr>
            <w:tcW w:w="1009" w:type="pct"/>
            <w:vAlign w:val="center"/>
          </w:tcPr>
          <w:p w14:paraId="57F7397F">
            <w:pPr>
              <w:pStyle w:val="100"/>
              <w:bidi w:val="0"/>
              <w:ind w:firstLine="0" w:firstLineChars="0"/>
              <w:rPr>
                <w:b/>
                <w:bCs/>
                <w:sz w:val="21"/>
                <w:szCs w:val="21"/>
              </w:rPr>
            </w:pPr>
            <w:r>
              <w:rPr>
                <w:rFonts w:hint="eastAsia"/>
                <w:sz w:val="21"/>
                <w:szCs w:val="21"/>
                <w:lang w:val="en-US" w:eastAsia="zh-CN"/>
              </w:rPr>
              <w:t>张琛</w:t>
            </w:r>
          </w:p>
        </w:tc>
      </w:tr>
      <w:tr w14:paraId="3747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C91143C">
            <w:pPr>
              <w:pStyle w:val="100"/>
              <w:bidi w:val="0"/>
              <w:rPr>
                <w:sz w:val="21"/>
                <w:szCs w:val="21"/>
              </w:rPr>
            </w:pPr>
          </w:p>
        </w:tc>
        <w:tc>
          <w:tcPr>
            <w:tcW w:w="877" w:type="pct"/>
            <w:gridSpan w:val="2"/>
            <w:vAlign w:val="center"/>
          </w:tcPr>
          <w:p w14:paraId="3C290E11">
            <w:pPr>
              <w:pStyle w:val="100"/>
              <w:bidi w:val="0"/>
              <w:ind w:firstLine="0" w:firstLineChars="0"/>
              <w:rPr>
                <w:rFonts w:hint="eastAsia"/>
                <w:b/>
                <w:bCs/>
                <w:sz w:val="21"/>
                <w:szCs w:val="21"/>
              </w:rPr>
            </w:pPr>
            <w:r>
              <w:rPr>
                <w:rFonts w:hint="eastAsia"/>
                <w:sz w:val="21"/>
                <w:szCs w:val="21"/>
                <w:lang w:val="en-US" w:eastAsia="zh-CN"/>
              </w:rPr>
              <w:t>石亚平</w:t>
            </w:r>
          </w:p>
        </w:tc>
        <w:tc>
          <w:tcPr>
            <w:tcW w:w="889" w:type="pct"/>
            <w:gridSpan w:val="3"/>
            <w:vAlign w:val="center"/>
          </w:tcPr>
          <w:p w14:paraId="1468D3F3">
            <w:pPr>
              <w:pStyle w:val="100"/>
              <w:bidi w:val="0"/>
              <w:ind w:firstLine="0" w:firstLineChars="0"/>
              <w:rPr>
                <w:b/>
                <w:bCs/>
                <w:sz w:val="21"/>
                <w:szCs w:val="21"/>
              </w:rPr>
            </w:pPr>
            <w:r>
              <w:rPr>
                <w:rFonts w:hint="eastAsia"/>
                <w:sz w:val="21"/>
                <w:szCs w:val="21"/>
              </w:rPr>
              <w:t>工程师</w:t>
            </w:r>
          </w:p>
        </w:tc>
        <w:tc>
          <w:tcPr>
            <w:tcW w:w="1782" w:type="pct"/>
            <w:gridSpan w:val="6"/>
            <w:vAlign w:val="center"/>
          </w:tcPr>
          <w:p w14:paraId="3F432BC8">
            <w:pPr>
              <w:pStyle w:val="100"/>
              <w:bidi w:val="0"/>
              <w:ind w:firstLine="0" w:firstLineChars="0"/>
              <w:rPr>
                <w:rFonts w:hint="eastAsia"/>
                <w:b/>
                <w:bCs/>
                <w:sz w:val="21"/>
                <w:szCs w:val="21"/>
              </w:rPr>
            </w:pPr>
            <w:r>
              <w:rPr>
                <w:rFonts w:hint="eastAsia"/>
                <w:sz w:val="21"/>
                <w:szCs w:val="21"/>
                <w:lang w:val="en-US" w:eastAsia="zh-CN"/>
              </w:rPr>
              <w:t>优普科技集团有限公司新疆分公司</w:t>
            </w:r>
          </w:p>
        </w:tc>
        <w:tc>
          <w:tcPr>
            <w:tcW w:w="1009" w:type="pct"/>
            <w:vAlign w:val="center"/>
          </w:tcPr>
          <w:p w14:paraId="1FCA2C91">
            <w:pPr>
              <w:pStyle w:val="100"/>
              <w:bidi w:val="0"/>
              <w:ind w:firstLine="0" w:firstLineChars="0"/>
              <w:rPr>
                <w:rFonts w:hint="eastAsia"/>
                <w:b/>
                <w:bCs/>
                <w:sz w:val="21"/>
                <w:szCs w:val="21"/>
              </w:rPr>
            </w:pPr>
            <w:r>
              <w:rPr>
                <w:rFonts w:hint="eastAsia"/>
                <w:sz w:val="21"/>
                <w:szCs w:val="21"/>
                <w:lang w:val="en-US" w:eastAsia="zh-CN"/>
              </w:rPr>
              <w:t>石亚平</w:t>
            </w:r>
          </w:p>
        </w:tc>
      </w:tr>
      <w:tr w14:paraId="7535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72D1BC92">
            <w:pPr>
              <w:pStyle w:val="100"/>
              <w:bidi w:val="0"/>
              <w:rPr>
                <w:sz w:val="21"/>
                <w:szCs w:val="21"/>
              </w:rPr>
            </w:pPr>
          </w:p>
        </w:tc>
        <w:tc>
          <w:tcPr>
            <w:tcW w:w="877" w:type="pct"/>
            <w:gridSpan w:val="2"/>
            <w:vAlign w:val="center"/>
          </w:tcPr>
          <w:p w14:paraId="2F447CA1">
            <w:pPr>
              <w:pStyle w:val="100"/>
              <w:bidi w:val="0"/>
              <w:ind w:firstLine="0" w:firstLineChars="0"/>
              <w:rPr>
                <w:b/>
                <w:bCs/>
                <w:sz w:val="21"/>
                <w:szCs w:val="21"/>
              </w:rPr>
            </w:pPr>
            <w:r>
              <w:rPr>
                <w:rFonts w:hint="eastAsia"/>
                <w:sz w:val="21"/>
                <w:szCs w:val="21"/>
                <w:lang w:val="en-US" w:eastAsia="zh-CN"/>
              </w:rPr>
              <w:t>李小文</w:t>
            </w:r>
          </w:p>
        </w:tc>
        <w:tc>
          <w:tcPr>
            <w:tcW w:w="889" w:type="pct"/>
            <w:gridSpan w:val="3"/>
            <w:vAlign w:val="center"/>
          </w:tcPr>
          <w:p w14:paraId="31A9008D">
            <w:pPr>
              <w:pStyle w:val="100"/>
              <w:bidi w:val="0"/>
              <w:ind w:firstLine="0" w:firstLineChars="0"/>
              <w:rPr>
                <w:b/>
                <w:bCs/>
                <w:sz w:val="21"/>
                <w:szCs w:val="21"/>
              </w:rPr>
            </w:pPr>
            <w:r>
              <w:rPr>
                <w:rFonts w:hint="eastAsia"/>
                <w:sz w:val="21"/>
                <w:szCs w:val="21"/>
                <w:lang w:val="en-US" w:eastAsia="zh-CN"/>
              </w:rPr>
              <w:t>高级</w:t>
            </w:r>
            <w:r>
              <w:rPr>
                <w:rFonts w:hint="eastAsia"/>
                <w:sz w:val="21"/>
                <w:szCs w:val="21"/>
              </w:rPr>
              <w:t>工程师</w:t>
            </w:r>
          </w:p>
        </w:tc>
        <w:tc>
          <w:tcPr>
            <w:tcW w:w="1782" w:type="pct"/>
            <w:gridSpan w:val="6"/>
            <w:vAlign w:val="center"/>
          </w:tcPr>
          <w:p w14:paraId="6CACEE73">
            <w:pPr>
              <w:pStyle w:val="100"/>
              <w:bidi w:val="0"/>
              <w:ind w:firstLine="0" w:firstLineChars="0"/>
              <w:rPr>
                <w:b/>
                <w:bCs/>
                <w:sz w:val="21"/>
                <w:szCs w:val="21"/>
              </w:rPr>
            </w:pPr>
            <w:r>
              <w:rPr>
                <w:rFonts w:hint="eastAsia"/>
                <w:sz w:val="21"/>
                <w:szCs w:val="21"/>
                <w:lang w:val="en-US" w:eastAsia="zh-CN"/>
              </w:rPr>
              <w:t>优普科技集团有限公司新疆分公司</w:t>
            </w:r>
          </w:p>
        </w:tc>
        <w:tc>
          <w:tcPr>
            <w:tcW w:w="1009" w:type="pct"/>
            <w:vAlign w:val="center"/>
          </w:tcPr>
          <w:p w14:paraId="29B5B49C">
            <w:pPr>
              <w:pStyle w:val="100"/>
              <w:bidi w:val="0"/>
              <w:ind w:firstLine="0" w:firstLineChars="0"/>
              <w:rPr>
                <w:b/>
                <w:bCs/>
                <w:sz w:val="21"/>
                <w:szCs w:val="21"/>
              </w:rPr>
            </w:pPr>
            <w:r>
              <w:rPr>
                <w:rFonts w:hint="eastAsia"/>
                <w:sz w:val="21"/>
                <w:szCs w:val="21"/>
                <w:lang w:val="en-US" w:eastAsia="zh-CN"/>
              </w:rPr>
              <w:t>李小文</w:t>
            </w:r>
          </w:p>
        </w:tc>
      </w:tr>
      <w:tr w14:paraId="1F60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restart"/>
            <w:vAlign w:val="center"/>
          </w:tcPr>
          <w:p w14:paraId="2F7CC58D">
            <w:pPr>
              <w:pStyle w:val="100"/>
              <w:bidi w:val="0"/>
              <w:rPr>
                <w:sz w:val="21"/>
                <w:szCs w:val="21"/>
              </w:rPr>
            </w:pPr>
            <w:r>
              <w:rPr>
                <w:sz w:val="21"/>
                <w:szCs w:val="21"/>
              </w:rPr>
              <w:t>复</w:t>
            </w:r>
          </w:p>
          <w:p w14:paraId="01D3920B">
            <w:pPr>
              <w:pStyle w:val="100"/>
              <w:bidi w:val="0"/>
              <w:rPr>
                <w:sz w:val="21"/>
                <w:szCs w:val="21"/>
              </w:rPr>
            </w:pPr>
            <w:r>
              <w:rPr>
                <w:sz w:val="21"/>
                <w:szCs w:val="21"/>
              </w:rPr>
              <w:t>垦</w:t>
            </w:r>
          </w:p>
          <w:p w14:paraId="7F1F23BB">
            <w:pPr>
              <w:pStyle w:val="100"/>
              <w:bidi w:val="0"/>
              <w:rPr>
                <w:sz w:val="21"/>
                <w:szCs w:val="21"/>
              </w:rPr>
            </w:pPr>
            <w:r>
              <w:rPr>
                <w:sz w:val="21"/>
                <w:szCs w:val="21"/>
              </w:rPr>
              <w:t>区</w:t>
            </w:r>
          </w:p>
          <w:p w14:paraId="634E1FDA">
            <w:pPr>
              <w:pStyle w:val="100"/>
              <w:bidi w:val="0"/>
              <w:rPr>
                <w:sz w:val="21"/>
                <w:szCs w:val="21"/>
              </w:rPr>
            </w:pPr>
            <w:r>
              <w:rPr>
                <w:sz w:val="21"/>
                <w:szCs w:val="21"/>
              </w:rPr>
              <w:t>土</w:t>
            </w:r>
          </w:p>
          <w:p w14:paraId="624CB29E">
            <w:pPr>
              <w:pStyle w:val="100"/>
              <w:bidi w:val="0"/>
              <w:rPr>
                <w:sz w:val="21"/>
                <w:szCs w:val="21"/>
              </w:rPr>
            </w:pPr>
            <w:r>
              <w:rPr>
                <w:sz w:val="21"/>
                <w:szCs w:val="21"/>
              </w:rPr>
              <w:t>地</w:t>
            </w:r>
          </w:p>
          <w:p w14:paraId="281339D6">
            <w:pPr>
              <w:pStyle w:val="100"/>
              <w:bidi w:val="0"/>
              <w:rPr>
                <w:sz w:val="21"/>
                <w:szCs w:val="21"/>
              </w:rPr>
            </w:pPr>
            <w:r>
              <w:rPr>
                <w:sz w:val="21"/>
                <w:szCs w:val="21"/>
              </w:rPr>
              <w:t>利</w:t>
            </w:r>
          </w:p>
          <w:p w14:paraId="5B2F503D">
            <w:pPr>
              <w:pStyle w:val="100"/>
              <w:bidi w:val="0"/>
              <w:rPr>
                <w:sz w:val="21"/>
                <w:szCs w:val="21"/>
              </w:rPr>
            </w:pPr>
            <w:r>
              <w:rPr>
                <w:sz w:val="21"/>
                <w:szCs w:val="21"/>
              </w:rPr>
              <w:t>用</w:t>
            </w:r>
          </w:p>
          <w:p w14:paraId="5B1BDBCB">
            <w:pPr>
              <w:pStyle w:val="100"/>
              <w:bidi w:val="0"/>
              <w:rPr>
                <w:sz w:val="21"/>
                <w:szCs w:val="21"/>
              </w:rPr>
            </w:pPr>
            <w:r>
              <w:rPr>
                <w:sz w:val="21"/>
                <w:szCs w:val="21"/>
              </w:rPr>
              <w:t>现</w:t>
            </w:r>
          </w:p>
          <w:p w14:paraId="65A2D8C9">
            <w:pPr>
              <w:pStyle w:val="100"/>
              <w:bidi w:val="0"/>
              <w:rPr>
                <w:sz w:val="21"/>
                <w:szCs w:val="21"/>
              </w:rPr>
            </w:pPr>
            <w:r>
              <w:rPr>
                <w:sz w:val="21"/>
                <w:szCs w:val="21"/>
              </w:rPr>
              <w:t>状</w:t>
            </w:r>
          </w:p>
        </w:tc>
        <w:tc>
          <w:tcPr>
            <w:tcW w:w="1791" w:type="pct"/>
            <w:gridSpan w:val="6"/>
            <w:vAlign w:val="center"/>
          </w:tcPr>
          <w:p w14:paraId="670D8DD8">
            <w:pPr>
              <w:pStyle w:val="100"/>
              <w:bidi w:val="0"/>
              <w:rPr>
                <w:sz w:val="21"/>
                <w:szCs w:val="21"/>
              </w:rPr>
            </w:pPr>
            <w:r>
              <w:rPr>
                <w:sz w:val="21"/>
                <w:szCs w:val="21"/>
              </w:rPr>
              <w:t>土地类型</w:t>
            </w:r>
          </w:p>
        </w:tc>
        <w:tc>
          <w:tcPr>
            <w:tcW w:w="2767" w:type="pct"/>
            <w:gridSpan w:val="6"/>
            <w:vAlign w:val="center"/>
          </w:tcPr>
          <w:p w14:paraId="14D2EA70">
            <w:pPr>
              <w:pStyle w:val="100"/>
              <w:bidi w:val="0"/>
              <w:rPr>
                <w:sz w:val="21"/>
                <w:szCs w:val="21"/>
              </w:rPr>
            </w:pPr>
            <w:r>
              <w:rPr>
                <w:sz w:val="21"/>
                <w:szCs w:val="21"/>
              </w:rPr>
              <w:t>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sz w:val="21"/>
                <w:szCs w:val="21"/>
              </w:rPr>
              <w:t>）</w:t>
            </w:r>
          </w:p>
        </w:tc>
      </w:tr>
      <w:tr w14:paraId="1EC8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363A4B8">
            <w:pPr>
              <w:pStyle w:val="100"/>
              <w:bidi w:val="0"/>
              <w:rPr>
                <w:sz w:val="21"/>
                <w:szCs w:val="21"/>
              </w:rPr>
            </w:pPr>
          </w:p>
        </w:tc>
        <w:tc>
          <w:tcPr>
            <w:tcW w:w="892" w:type="pct"/>
            <w:gridSpan w:val="3"/>
            <w:vAlign w:val="center"/>
          </w:tcPr>
          <w:p w14:paraId="2100C0D2">
            <w:pPr>
              <w:pStyle w:val="100"/>
              <w:bidi w:val="0"/>
              <w:rPr>
                <w:sz w:val="21"/>
                <w:szCs w:val="21"/>
              </w:rPr>
            </w:pPr>
            <w:r>
              <w:rPr>
                <w:sz w:val="21"/>
                <w:szCs w:val="21"/>
              </w:rPr>
              <w:t>一级地类</w:t>
            </w:r>
          </w:p>
        </w:tc>
        <w:tc>
          <w:tcPr>
            <w:tcW w:w="899" w:type="pct"/>
            <w:gridSpan w:val="3"/>
            <w:vAlign w:val="center"/>
          </w:tcPr>
          <w:p w14:paraId="79DAF280">
            <w:pPr>
              <w:pStyle w:val="100"/>
              <w:bidi w:val="0"/>
              <w:rPr>
                <w:sz w:val="21"/>
                <w:szCs w:val="21"/>
              </w:rPr>
            </w:pPr>
            <w:r>
              <w:rPr>
                <w:sz w:val="21"/>
                <w:szCs w:val="21"/>
              </w:rPr>
              <w:t>二级地类</w:t>
            </w:r>
          </w:p>
        </w:tc>
        <w:tc>
          <w:tcPr>
            <w:tcW w:w="1254" w:type="pct"/>
            <w:gridSpan w:val="2"/>
            <w:vAlign w:val="center"/>
          </w:tcPr>
          <w:p w14:paraId="768AA1C3">
            <w:pPr>
              <w:pStyle w:val="100"/>
              <w:bidi w:val="0"/>
              <w:rPr>
                <w:sz w:val="21"/>
                <w:szCs w:val="21"/>
              </w:rPr>
            </w:pPr>
            <w:r>
              <w:rPr>
                <w:sz w:val="21"/>
                <w:szCs w:val="21"/>
              </w:rPr>
              <w:t>小计</w:t>
            </w:r>
          </w:p>
        </w:tc>
        <w:tc>
          <w:tcPr>
            <w:tcW w:w="1513" w:type="pct"/>
            <w:gridSpan w:val="4"/>
            <w:vAlign w:val="center"/>
          </w:tcPr>
          <w:p w14:paraId="6F2F5B10">
            <w:pPr>
              <w:pStyle w:val="100"/>
              <w:bidi w:val="0"/>
              <w:rPr>
                <w:sz w:val="21"/>
                <w:szCs w:val="21"/>
              </w:rPr>
            </w:pPr>
            <w:r>
              <w:rPr>
                <w:rFonts w:hint="eastAsia"/>
                <w:sz w:val="21"/>
                <w:szCs w:val="21"/>
                <w:lang w:val="en-US" w:eastAsia="zh-CN"/>
              </w:rPr>
              <w:t>拟</w:t>
            </w:r>
            <w:r>
              <w:rPr>
                <w:sz w:val="21"/>
                <w:szCs w:val="21"/>
              </w:rPr>
              <w:t>损毁</w:t>
            </w:r>
          </w:p>
        </w:tc>
      </w:tr>
      <w:tr w14:paraId="5C35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6C805227">
            <w:pPr>
              <w:pStyle w:val="100"/>
              <w:bidi w:val="0"/>
              <w:rPr>
                <w:sz w:val="21"/>
                <w:szCs w:val="21"/>
              </w:rPr>
            </w:pPr>
          </w:p>
        </w:tc>
        <w:tc>
          <w:tcPr>
            <w:tcW w:w="892" w:type="pct"/>
            <w:gridSpan w:val="3"/>
            <w:vMerge w:val="restart"/>
            <w:vAlign w:val="center"/>
          </w:tcPr>
          <w:p w14:paraId="4A25885A">
            <w:pPr>
              <w:pStyle w:val="100"/>
              <w:bidi w:val="0"/>
              <w:rPr>
                <w:rFonts w:hint="eastAsia"/>
                <w:sz w:val="21"/>
                <w:szCs w:val="21"/>
                <w:lang w:val="en-US" w:eastAsia="zh-CN"/>
              </w:rPr>
            </w:pPr>
            <w:r>
              <w:rPr>
                <w:rFonts w:hint="eastAsia"/>
              </w:rPr>
              <w:t>工矿仓储用地</w:t>
            </w:r>
          </w:p>
        </w:tc>
        <w:tc>
          <w:tcPr>
            <w:tcW w:w="899" w:type="pct"/>
            <w:gridSpan w:val="3"/>
            <w:vAlign w:val="center"/>
          </w:tcPr>
          <w:p w14:paraId="5937154C">
            <w:pPr>
              <w:pStyle w:val="100"/>
              <w:bidi w:val="0"/>
              <w:rPr>
                <w:rFonts w:hint="default"/>
                <w:sz w:val="21"/>
                <w:szCs w:val="21"/>
                <w:lang w:val="en-US" w:eastAsia="zh-CN"/>
              </w:rPr>
            </w:pPr>
            <w:r>
              <w:rPr>
                <w:rFonts w:hint="eastAsia"/>
                <w:sz w:val="21"/>
                <w:szCs w:val="21"/>
                <w:lang w:val="en-US" w:eastAsia="zh-CN"/>
              </w:rPr>
              <w:t>工业用地</w:t>
            </w:r>
          </w:p>
        </w:tc>
        <w:tc>
          <w:tcPr>
            <w:tcW w:w="1254" w:type="pct"/>
            <w:gridSpan w:val="2"/>
            <w:vAlign w:val="center"/>
          </w:tcPr>
          <w:p w14:paraId="5B39CF32">
            <w:pPr>
              <w:pStyle w:val="100"/>
              <w:bidi w:val="0"/>
              <w:rPr>
                <w:rFonts w:hint="eastAsia"/>
                <w:lang w:val="en-US" w:eastAsia="zh-CN"/>
              </w:rPr>
            </w:pPr>
            <w:r>
              <w:rPr>
                <w:rFonts w:hint="eastAsia"/>
                <w:lang w:val="en-US" w:eastAsia="zh-CN"/>
              </w:rPr>
              <w:t>0.0280</w:t>
            </w:r>
          </w:p>
        </w:tc>
        <w:tc>
          <w:tcPr>
            <w:tcW w:w="1513" w:type="pct"/>
            <w:gridSpan w:val="4"/>
            <w:vAlign w:val="center"/>
          </w:tcPr>
          <w:p w14:paraId="463FF34A">
            <w:pPr>
              <w:pStyle w:val="100"/>
              <w:bidi w:val="0"/>
              <w:ind w:firstLine="0" w:firstLineChars="0"/>
              <w:rPr>
                <w:rFonts w:hint="eastAsia"/>
                <w:lang w:val="en-US" w:eastAsia="zh-CN"/>
              </w:rPr>
            </w:pPr>
            <w:r>
              <w:rPr>
                <w:rFonts w:hint="eastAsia"/>
                <w:lang w:val="en-US" w:eastAsia="zh-CN"/>
              </w:rPr>
              <w:t>0.0280</w:t>
            </w:r>
          </w:p>
        </w:tc>
      </w:tr>
      <w:tr w14:paraId="244C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0F3C6E12">
            <w:pPr>
              <w:pStyle w:val="100"/>
              <w:bidi w:val="0"/>
              <w:rPr>
                <w:sz w:val="21"/>
                <w:szCs w:val="21"/>
              </w:rPr>
            </w:pPr>
          </w:p>
        </w:tc>
        <w:tc>
          <w:tcPr>
            <w:tcW w:w="892" w:type="pct"/>
            <w:gridSpan w:val="3"/>
            <w:vMerge w:val="continue"/>
            <w:vAlign w:val="center"/>
          </w:tcPr>
          <w:p w14:paraId="4B6F7317">
            <w:pPr>
              <w:pStyle w:val="100"/>
              <w:bidi w:val="0"/>
              <w:rPr>
                <w:rFonts w:hint="eastAsia"/>
              </w:rPr>
            </w:pPr>
          </w:p>
        </w:tc>
        <w:tc>
          <w:tcPr>
            <w:tcW w:w="899" w:type="pct"/>
            <w:gridSpan w:val="3"/>
            <w:vAlign w:val="center"/>
          </w:tcPr>
          <w:p w14:paraId="67CBB11D">
            <w:pPr>
              <w:pStyle w:val="100"/>
              <w:bidi w:val="0"/>
              <w:rPr>
                <w:rFonts w:hint="eastAsia"/>
                <w:sz w:val="21"/>
                <w:szCs w:val="21"/>
                <w:lang w:eastAsia="zh-CN"/>
              </w:rPr>
            </w:pPr>
            <w:r>
              <w:rPr>
                <w:rFonts w:hint="eastAsia"/>
                <w:sz w:val="21"/>
                <w:szCs w:val="21"/>
                <w:lang w:eastAsia="zh-CN"/>
              </w:rPr>
              <w:t>采矿用地</w:t>
            </w:r>
          </w:p>
        </w:tc>
        <w:tc>
          <w:tcPr>
            <w:tcW w:w="1254" w:type="pct"/>
            <w:gridSpan w:val="2"/>
            <w:vAlign w:val="center"/>
          </w:tcPr>
          <w:p w14:paraId="0F0D9C28">
            <w:pPr>
              <w:pStyle w:val="100"/>
              <w:bidi w:val="0"/>
              <w:rPr>
                <w:rFonts w:hint="eastAsia"/>
                <w:lang w:val="en-US" w:eastAsia="zh-CN"/>
              </w:rPr>
            </w:pPr>
            <w:r>
              <w:rPr>
                <w:rFonts w:hint="eastAsia"/>
                <w:lang w:val="en-US" w:eastAsia="zh-CN"/>
              </w:rPr>
              <w:t>0.0685</w:t>
            </w:r>
          </w:p>
        </w:tc>
        <w:tc>
          <w:tcPr>
            <w:tcW w:w="1513" w:type="pct"/>
            <w:gridSpan w:val="4"/>
            <w:vAlign w:val="center"/>
          </w:tcPr>
          <w:p w14:paraId="3AC755C1">
            <w:pPr>
              <w:pStyle w:val="100"/>
              <w:bidi w:val="0"/>
              <w:ind w:firstLine="0" w:firstLineChars="0"/>
              <w:rPr>
                <w:rFonts w:hint="eastAsia"/>
                <w:lang w:val="en-US" w:eastAsia="zh-CN"/>
              </w:rPr>
            </w:pPr>
            <w:r>
              <w:rPr>
                <w:rFonts w:hint="eastAsia"/>
                <w:lang w:val="en-US" w:eastAsia="zh-CN"/>
              </w:rPr>
              <w:t>0.0685</w:t>
            </w:r>
          </w:p>
        </w:tc>
      </w:tr>
      <w:tr w14:paraId="6784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7D770E3">
            <w:pPr>
              <w:pStyle w:val="100"/>
              <w:bidi w:val="0"/>
              <w:rPr>
                <w:sz w:val="21"/>
                <w:szCs w:val="21"/>
              </w:rPr>
            </w:pPr>
          </w:p>
        </w:tc>
        <w:tc>
          <w:tcPr>
            <w:tcW w:w="892" w:type="pct"/>
            <w:gridSpan w:val="3"/>
            <w:vAlign w:val="center"/>
          </w:tcPr>
          <w:p w14:paraId="701C44F7">
            <w:pPr>
              <w:pStyle w:val="100"/>
              <w:bidi w:val="0"/>
              <w:rPr>
                <w:rFonts w:hint="eastAsia"/>
                <w:sz w:val="21"/>
                <w:szCs w:val="21"/>
                <w:lang w:val="en-US" w:eastAsia="zh-CN"/>
              </w:rPr>
            </w:pPr>
            <w:r>
              <w:rPr>
                <w:rFonts w:hint="eastAsia"/>
                <w:sz w:val="21"/>
                <w:szCs w:val="21"/>
                <w:lang w:val="en-US" w:eastAsia="zh-CN"/>
              </w:rPr>
              <w:t>其他土地</w:t>
            </w:r>
          </w:p>
        </w:tc>
        <w:tc>
          <w:tcPr>
            <w:tcW w:w="899" w:type="pct"/>
            <w:gridSpan w:val="3"/>
            <w:vAlign w:val="center"/>
          </w:tcPr>
          <w:p w14:paraId="1D3528D7">
            <w:pPr>
              <w:pStyle w:val="100"/>
              <w:bidi w:val="0"/>
              <w:rPr>
                <w:rFonts w:hint="eastAsia"/>
                <w:sz w:val="21"/>
                <w:szCs w:val="21"/>
                <w:lang w:val="en-US" w:eastAsia="zh-CN"/>
              </w:rPr>
            </w:pPr>
            <w:r>
              <w:rPr>
                <w:rFonts w:hint="eastAsia"/>
                <w:sz w:val="21"/>
                <w:szCs w:val="21"/>
                <w:lang w:val="en-US" w:eastAsia="zh-CN"/>
              </w:rPr>
              <w:t>裸岩石砾地</w:t>
            </w:r>
          </w:p>
        </w:tc>
        <w:tc>
          <w:tcPr>
            <w:tcW w:w="1254" w:type="pct"/>
            <w:gridSpan w:val="2"/>
            <w:vAlign w:val="center"/>
          </w:tcPr>
          <w:p w14:paraId="04F1D597">
            <w:pPr>
              <w:pStyle w:val="100"/>
              <w:bidi w:val="0"/>
              <w:rPr>
                <w:rFonts w:hint="default"/>
                <w:lang w:val="en-US" w:eastAsia="zh-CN"/>
              </w:rPr>
            </w:pPr>
            <w:r>
              <w:rPr>
                <w:rFonts w:hint="eastAsia"/>
                <w:lang w:val="en-US" w:eastAsia="zh-CN"/>
              </w:rPr>
              <w:t>1.8683</w:t>
            </w:r>
          </w:p>
        </w:tc>
        <w:tc>
          <w:tcPr>
            <w:tcW w:w="1513" w:type="pct"/>
            <w:gridSpan w:val="4"/>
            <w:vAlign w:val="center"/>
          </w:tcPr>
          <w:p w14:paraId="436FA18C">
            <w:pPr>
              <w:pStyle w:val="100"/>
              <w:bidi w:val="0"/>
              <w:ind w:firstLine="0" w:firstLineChars="0"/>
              <w:rPr>
                <w:rFonts w:hint="default"/>
                <w:sz w:val="21"/>
                <w:szCs w:val="21"/>
                <w:lang w:val="en-US" w:eastAsia="zh-CN"/>
              </w:rPr>
            </w:pPr>
            <w:r>
              <w:rPr>
                <w:rFonts w:hint="eastAsia"/>
                <w:lang w:val="en-US" w:eastAsia="zh-CN"/>
              </w:rPr>
              <w:t>1.8683</w:t>
            </w:r>
          </w:p>
        </w:tc>
      </w:tr>
      <w:tr w14:paraId="4011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1ABD1407">
            <w:pPr>
              <w:pStyle w:val="100"/>
              <w:bidi w:val="0"/>
              <w:rPr>
                <w:sz w:val="21"/>
                <w:szCs w:val="21"/>
              </w:rPr>
            </w:pPr>
          </w:p>
        </w:tc>
        <w:tc>
          <w:tcPr>
            <w:tcW w:w="1791" w:type="pct"/>
            <w:gridSpan w:val="6"/>
            <w:vAlign w:val="center"/>
          </w:tcPr>
          <w:p w14:paraId="58263C1B">
            <w:pPr>
              <w:pStyle w:val="100"/>
              <w:bidi w:val="0"/>
              <w:rPr>
                <w:sz w:val="21"/>
                <w:szCs w:val="21"/>
              </w:rPr>
            </w:pPr>
            <w:r>
              <w:rPr>
                <w:sz w:val="21"/>
                <w:szCs w:val="21"/>
              </w:rPr>
              <w:t>合计</w:t>
            </w:r>
          </w:p>
        </w:tc>
        <w:tc>
          <w:tcPr>
            <w:tcW w:w="1254" w:type="pct"/>
            <w:gridSpan w:val="2"/>
            <w:vAlign w:val="center"/>
          </w:tcPr>
          <w:p w14:paraId="41F79BCC">
            <w:pPr>
              <w:pStyle w:val="100"/>
              <w:bidi w:val="0"/>
              <w:rPr>
                <w:rFonts w:hint="default"/>
                <w:sz w:val="21"/>
                <w:szCs w:val="21"/>
                <w:lang w:val="en-US" w:eastAsia="zh-CN"/>
              </w:rPr>
            </w:pPr>
            <w:r>
              <w:rPr>
                <w:rFonts w:hint="eastAsia"/>
                <w:sz w:val="21"/>
                <w:szCs w:val="21"/>
                <w:lang w:val="en-US" w:eastAsia="zh-CN"/>
              </w:rPr>
              <w:t>1.9648</w:t>
            </w:r>
          </w:p>
        </w:tc>
        <w:tc>
          <w:tcPr>
            <w:tcW w:w="1513" w:type="pct"/>
            <w:gridSpan w:val="4"/>
            <w:vAlign w:val="center"/>
          </w:tcPr>
          <w:p w14:paraId="7C05DC2F">
            <w:pPr>
              <w:pStyle w:val="100"/>
              <w:bidi w:val="0"/>
              <w:rPr>
                <w:rFonts w:hint="default"/>
                <w:sz w:val="21"/>
                <w:szCs w:val="21"/>
                <w:lang w:val="en-US" w:eastAsia="zh-CN"/>
              </w:rPr>
            </w:pPr>
            <w:r>
              <w:rPr>
                <w:rFonts w:hint="eastAsia"/>
                <w:sz w:val="21"/>
                <w:szCs w:val="21"/>
                <w:lang w:val="en-US" w:eastAsia="zh-CN"/>
              </w:rPr>
              <w:t>1.9648</w:t>
            </w:r>
          </w:p>
        </w:tc>
      </w:tr>
      <w:tr w14:paraId="497C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restart"/>
            <w:vAlign w:val="center"/>
          </w:tcPr>
          <w:p w14:paraId="288EEFD9">
            <w:pPr>
              <w:pStyle w:val="100"/>
              <w:bidi w:val="0"/>
              <w:rPr>
                <w:sz w:val="21"/>
                <w:szCs w:val="21"/>
              </w:rPr>
            </w:pPr>
            <w:r>
              <w:rPr>
                <w:sz w:val="21"/>
                <w:szCs w:val="21"/>
              </w:rPr>
              <w:t>复垦</w:t>
            </w:r>
          </w:p>
          <w:p w14:paraId="5AF62BFD">
            <w:pPr>
              <w:pStyle w:val="100"/>
              <w:bidi w:val="0"/>
              <w:rPr>
                <w:sz w:val="21"/>
                <w:szCs w:val="21"/>
              </w:rPr>
            </w:pPr>
            <w:r>
              <w:rPr>
                <w:sz w:val="21"/>
                <w:szCs w:val="21"/>
              </w:rPr>
              <w:t>责任</w:t>
            </w:r>
          </w:p>
          <w:p w14:paraId="29DE8093">
            <w:pPr>
              <w:pStyle w:val="100"/>
              <w:bidi w:val="0"/>
              <w:rPr>
                <w:sz w:val="21"/>
                <w:szCs w:val="21"/>
              </w:rPr>
            </w:pPr>
            <w:r>
              <w:rPr>
                <w:sz w:val="21"/>
                <w:szCs w:val="21"/>
              </w:rPr>
              <w:t>范围</w:t>
            </w:r>
          </w:p>
          <w:p w14:paraId="3E999C80">
            <w:pPr>
              <w:pStyle w:val="100"/>
              <w:bidi w:val="0"/>
              <w:rPr>
                <w:sz w:val="21"/>
                <w:szCs w:val="21"/>
              </w:rPr>
            </w:pPr>
            <w:r>
              <w:rPr>
                <w:sz w:val="21"/>
                <w:szCs w:val="21"/>
              </w:rPr>
              <w:t>内土</w:t>
            </w:r>
          </w:p>
          <w:p w14:paraId="4097CC0D">
            <w:pPr>
              <w:pStyle w:val="100"/>
              <w:bidi w:val="0"/>
              <w:rPr>
                <w:sz w:val="21"/>
                <w:szCs w:val="21"/>
              </w:rPr>
            </w:pPr>
            <w:r>
              <w:rPr>
                <w:sz w:val="21"/>
                <w:szCs w:val="21"/>
              </w:rPr>
              <w:t>地损</w:t>
            </w:r>
          </w:p>
          <w:p w14:paraId="3F6B7962">
            <w:pPr>
              <w:pStyle w:val="100"/>
              <w:bidi w:val="0"/>
              <w:rPr>
                <w:sz w:val="21"/>
                <w:szCs w:val="21"/>
              </w:rPr>
            </w:pPr>
            <w:r>
              <w:rPr>
                <w:sz w:val="21"/>
                <w:szCs w:val="21"/>
              </w:rPr>
              <w:t>毁及</w:t>
            </w:r>
          </w:p>
          <w:p w14:paraId="5DB6FD94">
            <w:pPr>
              <w:pStyle w:val="100"/>
              <w:bidi w:val="0"/>
              <w:rPr>
                <w:sz w:val="21"/>
                <w:szCs w:val="21"/>
              </w:rPr>
            </w:pPr>
            <w:r>
              <w:rPr>
                <w:sz w:val="21"/>
                <w:szCs w:val="21"/>
              </w:rPr>
              <w:t>占用</w:t>
            </w:r>
          </w:p>
          <w:p w14:paraId="669875FC">
            <w:pPr>
              <w:pStyle w:val="100"/>
              <w:bidi w:val="0"/>
              <w:rPr>
                <w:sz w:val="21"/>
                <w:szCs w:val="21"/>
              </w:rPr>
            </w:pPr>
            <w:r>
              <w:rPr>
                <w:sz w:val="21"/>
                <w:szCs w:val="21"/>
              </w:rPr>
              <w:t>面积</w:t>
            </w:r>
          </w:p>
        </w:tc>
        <w:tc>
          <w:tcPr>
            <w:tcW w:w="1791" w:type="pct"/>
            <w:gridSpan w:val="6"/>
            <w:vMerge w:val="restart"/>
            <w:vAlign w:val="center"/>
          </w:tcPr>
          <w:p w14:paraId="4043D5E0">
            <w:pPr>
              <w:pStyle w:val="100"/>
              <w:bidi w:val="0"/>
              <w:rPr>
                <w:sz w:val="21"/>
                <w:szCs w:val="21"/>
              </w:rPr>
            </w:pPr>
            <w:r>
              <w:rPr>
                <w:sz w:val="21"/>
                <w:szCs w:val="21"/>
              </w:rPr>
              <w:t>类型</w:t>
            </w:r>
          </w:p>
        </w:tc>
        <w:tc>
          <w:tcPr>
            <w:tcW w:w="2767" w:type="pct"/>
            <w:gridSpan w:val="6"/>
            <w:tcBorders>
              <w:bottom w:val="single" w:color="auto" w:sz="4" w:space="0"/>
            </w:tcBorders>
            <w:vAlign w:val="center"/>
          </w:tcPr>
          <w:p w14:paraId="65E0B0B4">
            <w:pPr>
              <w:pStyle w:val="100"/>
              <w:bidi w:val="0"/>
              <w:rPr>
                <w:sz w:val="21"/>
                <w:szCs w:val="21"/>
              </w:rPr>
            </w:pPr>
            <w:r>
              <w:rPr>
                <w:sz w:val="21"/>
                <w:szCs w:val="21"/>
              </w:rPr>
              <w:t>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sz w:val="21"/>
                <w:szCs w:val="21"/>
              </w:rPr>
              <w:t>）</w:t>
            </w:r>
          </w:p>
        </w:tc>
      </w:tr>
      <w:tr w14:paraId="7EDA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FDDAC10">
            <w:pPr>
              <w:pStyle w:val="100"/>
              <w:bidi w:val="0"/>
              <w:rPr>
                <w:sz w:val="21"/>
                <w:szCs w:val="21"/>
              </w:rPr>
            </w:pPr>
          </w:p>
        </w:tc>
        <w:tc>
          <w:tcPr>
            <w:tcW w:w="1791" w:type="pct"/>
            <w:gridSpan w:val="6"/>
            <w:vMerge w:val="continue"/>
            <w:vAlign w:val="center"/>
          </w:tcPr>
          <w:p w14:paraId="1E93F3C7">
            <w:pPr>
              <w:pStyle w:val="100"/>
              <w:bidi w:val="0"/>
              <w:rPr>
                <w:sz w:val="21"/>
                <w:szCs w:val="21"/>
              </w:rPr>
            </w:pPr>
          </w:p>
        </w:tc>
        <w:tc>
          <w:tcPr>
            <w:tcW w:w="1254" w:type="pct"/>
            <w:gridSpan w:val="2"/>
            <w:tcBorders>
              <w:top w:val="single" w:color="auto" w:sz="4" w:space="0"/>
            </w:tcBorders>
            <w:vAlign w:val="center"/>
          </w:tcPr>
          <w:p w14:paraId="4B8AF70B">
            <w:pPr>
              <w:pStyle w:val="100"/>
              <w:bidi w:val="0"/>
              <w:rPr>
                <w:sz w:val="21"/>
                <w:szCs w:val="21"/>
              </w:rPr>
            </w:pPr>
            <w:r>
              <w:rPr>
                <w:sz w:val="21"/>
                <w:szCs w:val="21"/>
              </w:rPr>
              <w:t>小计</w:t>
            </w:r>
          </w:p>
        </w:tc>
        <w:tc>
          <w:tcPr>
            <w:tcW w:w="1513" w:type="pct"/>
            <w:gridSpan w:val="4"/>
            <w:tcBorders>
              <w:top w:val="single" w:color="auto" w:sz="4" w:space="0"/>
            </w:tcBorders>
            <w:vAlign w:val="center"/>
          </w:tcPr>
          <w:p w14:paraId="06DD4CA6">
            <w:pPr>
              <w:pStyle w:val="100"/>
              <w:bidi w:val="0"/>
              <w:rPr>
                <w:sz w:val="21"/>
                <w:szCs w:val="21"/>
              </w:rPr>
            </w:pPr>
            <w:r>
              <w:rPr>
                <w:sz w:val="21"/>
                <w:szCs w:val="21"/>
              </w:rPr>
              <w:t>损毁</w:t>
            </w:r>
          </w:p>
        </w:tc>
      </w:tr>
      <w:tr w14:paraId="4CB5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AE50791">
            <w:pPr>
              <w:pStyle w:val="100"/>
              <w:bidi w:val="0"/>
              <w:rPr>
                <w:sz w:val="21"/>
                <w:szCs w:val="21"/>
              </w:rPr>
            </w:pPr>
          </w:p>
        </w:tc>
        <w:tc>
          <w:tcPr>
            <w:tcW w:w="877" w:type="pct"/>
            <w:gridSpan w:val="2"/>
            <w:vMerge w:val="restart"/>
            <w:vAlign w:val="center"/>
          </w:tcPr>
          <w:p w14:paraId="3F5EE2AE">
            <w:pPr>
              <w:pStyle w:val="100"/>
              <w:bidi w:val="0"/>
              <w:rPr>
                <w:sz w:val="21"/>
                <w:szCs w:val="21"/>
              </w:rPr>
            </w:pPr>
            <w:r>
              <w:rPr>
                <w:sz w:val="21"/>
                <w:szCs w:val="21"/>
              </w:rPr>
              <w:t>损毁</w:t>
            </w:r>
          </w:p>
        </w:tc>
        <w:tc>
          <w:tcPr>
            <w:tcW w:w="914" w:type="pct"/>
            <w:gridSpan w:val="4"/>
            <w:vAlign w:val="center"/>
          </w:tcPr>
          <w:p w14:paraId="414E3EEB">
            <w:pPr>
              <w:pStyle w:val="100"/>
              <w:bidi w:val="0"/>
              <w:rPr>
                <w:sz w:val="21"/>
                <w:szCs w:val="21"/>
              </w:rPr>
            </w:pPr>
            <w:r>
              <w:rPr>
                <w:sz w:val="21"/>
                <w:szCs w:val="21"/>
              </w:rPr>
              <w:t>挖损</w:t>
            </w:r>
          </w:p>
        </w:tc>
        <w:tc>
          <w:tcPr>
            <w:tcW w:w="1758" w:type="pct"/>
            <w:gridSpan w:val="5"/>
            <w:vAlign w:val="center"/>
          </w:tcPr>
          <w:p w14:paraId="30080CEE">
            <w:pPr>
              <w:pStyle w:val="100"/>
              <w:bidi w:val="0"/>
              <w:ind w:firstLine="0" w:firstLineChars="0"/>
              <w:rPr>
                <w:rFonts w:hint="default" w:eastAsia="仿宋_GB2312"/>
                <w:sz w:val="21"/>
                <w:szCs w:val="21"/>
                <w:lang w:val="en-US" w:eastAsia="zh-CN"/>
              </w:rPr>
            </w:pPr>
            <w:r>
              <w:rPr>
                <w:sz w:val="21"/>
                <w:szCs w:val="21"/>
              </w:rPr>
              <w:t>——</w:t>
            </w:r>
          </w:p>
        </w:tc>
        <w:tc>
          <w:tcPr>
            <w:tcW w:w="1009" w:type="pct"/>
            <w:vAlign w:val="center"/>
          </w:tcPr>
          <w:p w14:paraId="30FE7005">
            <w:pPr>
              <w:pStyle w:val="100"/>
              <w:bidi w:val="0"/>
              <w:ind w:firstLine="0" w:firstLineChars="0"/>
              <w:rPr>
                <w:rFonts w:hint="eastAsia"/>
                <w:sz w:val="21"/>
                <w:szCs w:val="21"/>
                <w:lang w:eastAsia="zh-CN"/>
              </w:rPr>
            </w:pPr>
            <w:r>
              <w:rPr>
                <w:sz w:val="21"/>
                <w:szCs w:val="21"/>
              </w:rPr>
              <w:t>——</w:t>
            </w:r>
          </w:p>
        </w:tc>
      </w:tr>
      <w:tr w14:paraId="1160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CE938E5">
            <w:pPr>
              <w:pStyle w:val="100"/>
              <w:bidi w:val="0"/>
              <w:rPr>
                <w:sz w:val="21"/>
                <w:szCs w:val="21"/>
              </w:rPr>
            </w:pPr>
          </w:p>
        </w:tc>
        <w:tc>
          <w:tcPr>
            <w:tcW w:w="877" w:type="pct"/>
            <w:gridSpan w:val="2"/>
            <w:vMerge w:val="continue"/>
            <w:vAlign w:val="center"/>
          </w:tcPr>
          <w:p w14:paraId="0C6C1B79">
            <w:pPr>
              <w:pStyle w:val="100"/>
              <w:bidi w:val="0"/>
              <w:rPr>
                <w:sz w:val="21"/>
                <w:szCs w:val="21"/>
              </w:rPr>
            </w:pPr>
          </w:p>
        </w:tc>
        <w:tc>
          <w:tcPr>
            <w:tcW w:w="914" w:type="pct"/>
            <w:gridSpan w:val="4"/>
            <w:vAlign w:val="center"/>
          </w:tcPr>
          <w:p w14:paraId="6EA648E2">
            <w:pPr>
              <w:pStyle w:val="100"/>
              <w:bidi w:val="0"/>
              <w:rPr>
                <w:sz w:val="21"/>
                <w:szCs w:val="21"/>
              </w:rPr>
            </w:pPr>
            <w:r>
              <w:rPr>
                <w:sz w:val="21"/>
                <w:szCs w:val="21"/>
              </w:rPr>
              <w:t>塌陷</w:t>
            </w:r>
          </w:p>
        </w:tc>
        <w:tc>
          <w:tcPr>
            <w:tcW w:w="1758" w:type="pct"/>
            <w:gridSpan w:val="5"/>
            <w:vAlign w:val="center"/>
          </w:tcPr>
          <w:p w14:paraId="3C84675E">
            <w:pPr>
              <w:pStyle w:val="100"/>
              <w:bidi w:val="0"/>
              <w:rPr>
                <w:sz w:val="21"/>
                <w:szCs w:val="21"/>
              </w:rPr>
            </w:pPr>
            <w:r>
              <w:rPr>
                <w:sz w:val="21"/>
                <w:szCs w:val="21"/>
              </w:rPr>
              <w:t>——</w:t>
            </w:r>
          </w:p>
        </w:tc>
        <w:tc>
          <w:tcPr>
            <w:tcW w:w="1009" w:type="pct"/>
            <w:vAlign w:val="center"/>
          </w:tcPr>
          <w:p w14:paraId="5E94BFFD">
            <w:pPr>
              <w:pStyle w:val="100"/>
              <w:bidi w:val="0"/>
              <w:rPr>
                <w:sz w:val="21"/>
                <w:szCs w:val="21"/>
              </w:rPr>
            </w:pPr>
            <w:r>
              <w:rPr>
                <w:sz w:val="21"/>
                <w:szCs w:val="21"/>
              </w:rPr>
              <w:t>——</w:t>
            </w:r>
          </w:p>
        </w:tc>
      </w:tr>
      <w:tr w14:paraId="6EF3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0E8D865">
            <w:pPr>
              <w:pStyle w:val="100"/>
              <w:bidi w:val="0"/>
              <w:rPr>
                <w:sz w:val="21"/>
                <w:szCs w:val="21"/>
              </w:rPr>
            </w:pPr>
          </w:p>
        </w:tc>
        <w:tc>
          <w:tcPr>
            <w:tcW w:w="877" w:type="pct"/>
            <w:gridSpan w:val="2"/>
            <w:vMerge w:val="continue"/>
            <w:vAlign w:val="center"/>
          </w:tcPr>
          <w:p w14:paraId="25ED6F89">
            <w:pPr>
              <w:pStyle w:val="100"/>
              <w:bidi w:val="0"/>
              <w:rPr>
                <w:sz w:val="21"/>
                <w:szCs w:val="21"/>
              </w:rPr>
            </w:pPr>
          </w:p>
        </w:tc>
        <w:tc>
          <w:tcPr>
            <w:tcW w:w="914" w:type="pct"/>
            <w:gridSpan w:val="4"/>
            <w:vAlign w:val="center"/>
          </w:tcPr>
          <w:p w14:paraId="739D835B">
            <w:pPr>
              <w:pStyle w:val="100"/>
              <w:bidi w:val="0"/>
              <w:rPr>
                <w:sz w:val="21"/>
                <w:szCs w:val="21"/>
              </w:rPr>
            </w:pPr>
            <w:r>
              <w:rPr>
                <w:sz w:val="21"/>
                <w:szCs w:val="21"/>
              </w:rPr>
              <w:t>压占</w:t>
            </w:r>
          </w:p>
        </w:tc>
        <w:tc>
          <w:tcPr>
            <w:tcW w:w="1758" w:type="pct"/>
            <w:gridSpan w:val="5"/>
            <w:vAlign w:val="center"/>
          </w:tcPr>
          <w:p w14:paraId="1DFFF023">
            <w:pPr>
              <w:pStyle w:val="100"/>
              <w:bidi w:val="0"/>
              <w:ind w:firstLine="0" w:firstLineChars="0"/>
              <w:rPr>
                <w:rFonts w:hint="default"/>
                <w:sz w:val="21"/>
                <w:szCs w:val="21"/>
                <w:lang w:val="en-US" w:eastAsia="zh-CN"/>
              </w:rPr>
            </w:pPr>
            <w:r>
              <w:rPr>
                <w:rFonts w:hint="eastAsia"/>
                <w:sz w:val="21"/>
                <w:szCs w:val="21"/>
                <w:lang w:val="en-US" w:eastAsia="zh-CN"/>
              </w:rPr>
              <w:t>1.9648</w:t>
            </w:r>
          </w:p>
        </w:tc>
        <w:tc>
          <w:tcPr>
            <w:tcW w:w="1009" w:type="pct"/>
            <w:vAlign w:val="center"/>
          </w:tcPr>
          <w:p w14:paraId="7D93C74E">
            <w:pPr>
              <w:pStyle w:val="100"/>
              <w:bidi w:val="0"/>
              <w:ind w:firstLine="0" w:firstLineChars="0"/>
              <w:rPr>
                <w:rFonts w:hint="default"/>
                <w:sz w:val="21"/>
                <w:szCs w:val="21"/>
                <w:lang w:val="en-US" w:eastAsia="zh-CN"/>
              </w:rPr>
            </w:pPr>
            <w:r>
              <w:rPr>
                <w:rFonts w:hint="eastAsia"/>
                <w:sz w:val="21"/>
                <w:szCs w:val="21"/>
                <w:lang w:val="en-US" w:eastAsia="zh-CN"/>
              </w:rPr>
              <w:t>1.9648</w:t>
            </w:r>
          </w:p>
        </w:tc>
      </w:tr>
      <w:tr w14:paraId="33F3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52AD6EA">
            <w:pPr>
              <w:pStyle w:val="100"/>
              <w:bidi w:val="0"/>
              <w:rPr>
                <w:sz w:val="21"/>
                <w:szCs w:val="21"/>
              </w:rPr>
            </w:pPr>
          </w:p>
        </w:tc>
        <w:tc>
          <w:tcPr>
            <w:tcW w:w="877" w:type="pct"/>
            <w:gridSpan w:val="2"/>
            <w:vMerge w:val="continue"/>
            <w:vAlign w:val="center"/>
          </w:tcPr>
          <w:p w14:paraId="6F56349E">
            <w:pPr>
              <w:pStyle w:val="100"/>
              <w:bidi w:val="0"/>
              <w:rPr>
                <w:sz w:val="21"/>
                <w:szCs w:val="21"/>
              </w:rPr>
            </w:pPr>
          </w:p>
        </w:tc>
        <w:tc>
          <w:tcPr>
            <w:tcW w:w="914" w:type="pct"/>
            <w:gridSpan w:val="4"/>
            <w:vAlign w:val="center"/>
          </w:tcPr>
          <w:p w14:paraId="3C487B98">
            <w:pPr>
              <w:pStyle w:val="100"/>
              <w:bidi w:val="0"/>
              <w:rPr>
                <w:sz w:val="21"/>
                <w:szCs w:val="21"/>
              </w:rPr>
            </w:pPr>
            <w:r>
              <w:rPr>
                <w:sz w:val="21"/>
                <w:szCs w:val="21"/>
              </w:rPr>
              <w:t>…</w:t>
            </w:r>
          </w:p>
        </w:tc>
        <w:tc>
          <w:tcPr>
            <w:tcW w:w="1758" w:type="pct"/>
            <w:gridSpan w:val="5"/>
            <w:vAlign w:val="center"/>
          </w:tcPr>
          <w:p w14:paraId="508B8F8D">
            <w:pPr>
              <w:pStyle w:val="100"/>
              <w:bidi w:val="0"/>
              <w:rPr>
                <w:sz w:val="21"/>
                <w:szCs w:val="21"/>
              </w:rPr>
            </w:pPr>
          </w:p>
        </w:tc>
        <w:tc>
          <w:tcPr>
            <w:tcW w:w="1009" w:type="pct"/>
            <w:vAlign w:val="center"/>
          </w:tcPr>
          <w:p w14:paraId="6EDC13BA">
            <w:pPr>
              <w:pStyle w:val="100"/>
              <w:bidi w:val="0"/>
              <w:rPr>
                <w:sz w:val="21"/>
                <w:szCs w:val="21"/>
              </w:rPr>
            </w:pPr>
          </w:p>
        </w:tc>
      </w:tr>
      <w:tr w14:paraId="7A5B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76C53CC3">
            <w:pPr>
              <w:pStyle w:val="100"/>
              <w:bidi w:val="0"/>
              <w:rPr>
                <w:sz w:val="21"/>
                <w:szCs w:val="21"/>
              </w:rPr>
            </w:pPr>
          </w:p>
        </w:tc>
        <w:tc>
          <w:tcPr>
            <w:tcW w:w="1791" w:type="pct"/>
            <w:gridSpan w:val="6"/>
            <w:vAlign w:val="center"/>
          </w:tcPr>
          <w:p w14:paraId="780787B7">
            <w:pPr>
              <w:pStyle w:val="100"/>
              <w:bidi w:val="0"/>
              <w:rPr>
                <w:sz w:val="21"/>
                <w:szCs w:val="21"/>
              </w:rPr>
            </w:pPr>
            <w:r>
              <w:rPr>
                <w:sz w:val="21"/>
                <w:szCs w:val="21"/>
              </w:rPr>
              <w:t>合计</w:t>
            </w:r>
          </w:p>
        </w:tc>
        <w:tc>
          <w:tcPr>
            <w:tcW w:w="1758" w:type="pct"/>
            <w:gridSpan w:val="5"/>
            <w:vAlign w:val="center"/>
          </w:tcPr>
          <w:p w14:paraId="6CBA572F">
            <w:pPr>
              <w:pStyle w:val="100"/>
              <w:bidi w:val="0"/>
              <w:rPr>
                <w:rFonts w:hint="default"/>
                <w:sz w:val="21"/>
                <w:szCs w:val="21"/>
                <w:lang w:val="en-US" w:eastAsia="zh-CN"/>
              </w:rPr>
            </w:pPr>
            <w:r>
              <w:rPr>
                <w:rFonts w:hint="eastAsia"/>
                <w:sz w:val="21"/>
                <w:szCs w:val="21"/>
                <w:lang w:val="en-US" w:eastAsia="zh-CN"/>
              </w:rPr>
              <w:t>1.9648</w:t>
            </w:r>
          </w:p>
        </w:tc>
        <w:tc>
          <w:tcPr>
            <w:tcW w:w="1009" w:type="pct"/>
            <w:vAlign w:val="center"/>
          </w:tcPr>
          <w:p w14:paraId="1190B43B">
            <w:pPr>
              <w:pStyle w:val="100"/>
              <w:bidi w:val="0"/>
              <w:rPr>
                <w:rFonts w:hint="default"/>
                <w:sz w:val="21"/>
                <w:szCs w:val="21"/>
                <w:lang w:val="en-US" w:eastAsia="zh-CN"/>
              </w:rPr>
            </w:pPr>
            <w:r>
              <w:rPr>
                <w:rFonts w:hint="eastAsia"/>
                <w:sz w:val="21"/>
                <w:szCs w:val="21"/>
                <w:lang w:val="en-US" w:eastAsia="zh-CN"/>
              </w:rPr>
              <w:t>1.9648</w:t>
            </w:r>
          </w:p>
        </w:tc>
      </w:tr>
      <w:tr w14:paraId="57C2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restart"/>
            <w:vAlign w:val="center"/>
          </w:tcPr>
          <w:p w14:paraId="63F052D7">
            <w:pPr>
              <w:pStyle w:val="100"/>
              <w:bidi w:val="0"/>
              <w:rPr>
                <w:sz w:val="21"/>
                <w:szCs w:val="21"/>
              </w:rPr>
            </w:pPr>
            <w:r>
              <w:rPr>
                <w:sz w:val="21"/>
                <w:szCs w:val="21"/>
              </w:rPr>
              <w:t>复</w:t>
            </w:r>
          </w:p>
          <w:p w14:paraId="645BACC7">
            <w:pPr>
              <w:pStyle w:val="100"/>
              <w:bidi w:val="0"/>
              <w:rPr>
                <w:sz w:val="21"/>
                <w:szCs w:val="21"/>
              </w:rPr>
            </w:pPr>
            <w:r>
              <w:rPr>
                <w:sz w:val="21"/>
                <w:szCs w:val="21"/>
              </w:rPr>
              <w:t>垦</w:t>
            </w:r>
          </w:p>
          <w:p w14:paraId="2FE13850">
            <w:pPr>
              <w:pStyle w:val="100"/>
              <w:bidi w:val="0"/>
              <w:rPr>
                <w:sz w:val="21"/>
                <w:szCs w:val="21"/>
              </w:rPr>
            </w:pPr>
            <w:r>
              <w:rPr>
                <w:sz w:val="21"/>
                <w:szCs w:val="21"/>
              </w:rPr>
              <w:t>土</w:t>
            </w:r>
          </w:p>
          <w:p w14:paraId="7F7BF57A">
            <w:pPr>
              <w:pStyle w:val="100"/>
              <w:bidi w:val="0"/>
              <w:rPr>
                <w:sz w:val="21"/>
                <w:szCs w:val="21"/>
              </w:rPr>
            </w:pPr>
            <w:r>
              <w:rPr>
                <w:sz w:val="21"/>
                <w:szCs w:val="21"/>
              </w:rPr>
              <w:t>地</w:t>
            </w:r>
          </w:p>
          <w:p w14:paraId="22C8AD47">
            <w:pPr>
              <w:pStyle w:val="100"/>
              <w:bidi w:val="0"/>
              <w:rPr>
                <w:sz w:val="21"/>
                <w:szCs w:val="21"/>
              </w:rPr>
            </w:pPr>
            <w:r>
              <w:rPr>
                <w:sz w:val="21"/>
                <w:szCs w:val="21"/>
              </w:rPr>
              <w:t>面</w:t>
            </w:r>
          </w:p>
          <w:p w14:paraId="22E9734C">
            <w:pPr>
              <w:pStyle w:val="100"/>
              <w:bidi w:val="0"/>
              <w:rPr>
                <w:sz w:val="21"/>
                <w:szCs w:val="21"/>
              </w:rPr>
            </w:pPr>
            <w:r>
              <w:rPr>
                <w:sz w:val="21"/>
                <w:szCs w:val="21"/>
              </w:rPr>
              <w:t>积</w:t>
            </w:r>
          </w:p>
        </w:tc>
        <w:tc>
          <w:tcPr>
            <w:tcW w:w="892" w:type="pct"/>
            <w:gridSpan w:val="3"/>
            <w:vMerge w:val="restart"/>
            <w:vAlign w:val="center"/>
          </w:tcPr>
          <w:p w14:paraId="672B293E">
            <w:pPr>
              <w:pStyle w:val="100"/>
              <w:bidi w:val="0"/>
              <w:rPr>
                <w:sz w:val="21"/>
                <w:szCs w:val="21"/>
              </w:rPr>
            </w:pPr>
            <w:r>
              <w:rPr>
                <w:sz w:val="21"/>
                <w:szCs w:val="21"/>
              </w:rPr>
              <w:t>一级地类</w:t>
            </w:r>
          </w:p>
        </w:tc>
        <w:tc>
          <w:tcPr>
            <w:tcW w:w="899" w:type="pct"/>
            <w:gridSpan w:val="3"/>
            <w:vMerge w:val="restart"/>
            <w:vAlign w:val="center"/>
          </w:tcPr>
          <w:p w14:paraId="7CABC43D">
            <w:pPr>
              <w:pStyle w:val="100"/>
              <w:bidi w:val="0"/>
              <w:rPr>
                <w:sz w:val="21"/>
                <w:szCs w:val="21"/>
              </w:rPr>
            </w:pPr>
            <w:r>
              <w:rPr>
                <w:sz w:val="21"/>
                <w:szCs w:val="21"/>
              </w:rPr>
              <w:t>二级地类</w:t>
            </w:r>
          </w:p>
        </w:tc>
        <w:tc>
          <w:tcPr>
            <w:tcW w:w="2767" w:type="pct"/>
            <w:gridSpan w:val="6"/>
            <w:vAlign w:val="center"/>
          </w:tcPr>
          <w:p w14:paraId="1819E54C">
            <w:pPr>
              <w:pStyle w:val="100"/>
              <w:bidi w:val="0"/>
              <w:rPr>
                <w:sz w:val="21"/>
                <w:szCs w:val="21"/>
              </w:rPr>
            </w:pPr>
            <w:r>
              <w:rPr>
                <w:sz w:val="21"/>
                <w:szCs w:val="21"/>
              </w:rPr>
              <w:t>面积（</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sz w:val="21"/>
                <w:szCs w:val="21"/>
              </w:rPr>
              <w:t>）</w:t>
            </w:r>
          </w:p>
        </w:tc>
      </w:tr>
      <w:tr w14:paraId="73D4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5F9D6E8C">
            <w:pPr>
              <w:pStyle w:val="100"/>
              <w:bidi w:val="0"/>
              <w:rPr>
                <w:sz w:val="21"/>
                <w:szCs w:val="21"/>
              </w:rPr>
            </w:pPr>
          </w:p>
        </w:tc>
        <w:tc>
          <w:tcPr>
            <w:tcW w:w="892" w:type="pct"/>
            <w:gridSpan w:val="3"/>
            <w:vMerge w:val="continue"/>
            <w:vAlign w:val="center"/>
          </w:tcPr>
          <w:p w14:paraId="396925C2">
            <w:pPr>
              <w:pStyle w:val="100"/>
              <w:bidi w:val="0"/>
              <w:rPr>
                <w:sz w:val="21"/>
                <w:szCs w:val="21"/>
              </w:rPr>
            </w:pPr>
          </w:p>
        </w:tc>
        <w:tc>
          <w:tcPr>
            <w:tcW w:w="899" w:type="pct"/>
            <w:gridSpan w:val="3"/>
            <w:vMerge w:val="continue"/>
            <w:vAlign w:val="center"/>
          </w:tcPr>
          <w:p w14:paraId="52338B46">
            <w:pPr>
              <w:pStyle w:val="100"/>
              <w:bidi w:val="0"/>
              <w:rPr>
                <w:sz w:val="21"/>
                <w:szCs w:val="21"/>
              </w:rPr>
            </w:pPr>
          </w:p>
        </w:tc>
        <w:tc>
          <w:tcPr>
            <w:tcW w:w="1758" w:type="pct"/>
            <w:gridSpan w:val="5"/>
            <w:vAlign w:val="center"/>
          </w:tcPr>
          <w:p w14:paraId="50F0C047">
            <w:pPr>
              <w:pStyle w:val="100"/>
              <w:bidi w:val="0"/>
              <w:rPr>
                <w:sz w:val="21"/>
                <w:szCs w:val="21"/>
              </w:rPr>
            </w:pPr>
            <w:r>
              <w:rPr>
                <w:sz w:val="21"/>
                <w:szCs w:val="21"/>
              </w:rPr>
              <w:t>已复垦</w:t>
            </w:r>
          </w:p>
        </w:tc>
        <w:tc>
          <w:tcPr>
            <w:tcW w:w="1009" w:type="pct"/>
            <w:vAlign w:val="center"/>
          </w:tcPr>
          <w:p w14:paraId="7C381FF4">
            <w:pPr>
              <w:pStyle w:val="100"/>
              <w:bidi w:val="0"/>
              <w:rPr>
                <w:sz w:val="21"/>
                <w:szCs w:val="21"/>
              </w:rPr>
            </w:pPr>
            <w:r>
              <w:rPr>
                <w:sz w:val="21"/>
                <w:szCs w:val="21"/>
              </w:rPr>
              <w:t>拟复垦</w:t>
            </w:r>
          </w:p>
        </w:tc>
      </w:tr>
      <w:tr w14:paraId="4303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3BBF2C34">
            <w:pPr>
              <w:pStyle w:val="100"/>
              <w:bidi w:val="0"/>
              <w:rPr>
                <w:sz w:val="21"/>
                <w:szCs w:val="21"/>
              </w:rPr>
            </w:pPr>
          </w:p>
        </w:tc>
        <w:tc>
          <w:tcPr>
            <w:tcW w:w="892" w:type="pct"/>
            <w:gridSpan w:val="3"/>
            <w:vMerge w:val="restart"/>
            <w:vAlign w:val="center"/>
          </w:tcPr>
          <w:p w14:paraId="3B68A627">
            <w:pPr>
              <w:pStyle w:val="100"/>
              <w:bidi w:val="0"/>
              <w:ind w:firstLine="0" w:firstLineChars="0"/>
              <w:rPr>
                <w:rFonts w:hint="eastAsia"/>
                <w:sz w:val="21"/>
                <w:szCs w:val="21"/>
                <w:lang w:val="en-US" w:eastAsia="zh-CN"/>
              </w:rPr>
            </w:pPr>
            <w:r>
              <w:rPr>
                <w:rFonts w:hint="eastAsia"/>
              </w:rPr>
              <w:t>工矿仓储用地</w:t>
            </w:r>
          </w:p>
        </w:tc>
        <w:tc>
          <w:tcPr>
            <w:tcW w:w="899" w:type="pct"/>
            <w:gridSpan w:val="3"/>
            <w:vAlign w:val="center"/>
          </w:tcPr>
          <w:p w14:paraId="2ADEBEE1">
            <w:pPr>
              <w:pStyle w:val="100"/>
              <w:bidi w:val="0"/>
              <w:ind w:firstLine="0" w:firstLineChars="0"/>
              <w:rPr>
                <w:rFonts w:hint="eastAsia"/>
                <w:sz w:val="21"/>
                <w:szCs w:val="21"/>
                <w:lang w:eastAsia="zh-CN"/>
              </w:rPr>
            </w:pPr>
            <w:r>
              <w:rPr>
                <w:rFonts w:hint="eastAsia"/>
                <w:sz w:val="21"/>
                <w:szCs w:val="21"/>
                <w:lang w:val="en-US" w:eastAsia="zh-CN"/>
              </w:rPr>
              <w:t>工业用地</w:t>
            </w:r>
          </w:p>
        </w:tc>
        <w:tc>
          <w:tcPr>
            <w:tcW w:w="1758" w:type="pct"/>
            <w:gridSpan w:val="5"/>
            <w:vAlign w:val="center"/>
          </w:tcPr>
          <w:p w14:paraId="17E799BC">
            <w:pPr>
              <w:pStyle w:val="100"/>
              <w:bidi w:val="0"/>
              <w:rPr>
                <w:rFonts w:hint="eastAsia"/>
                <w:sz w:val="21"/>
                <w:szCs w:val="21"/>
                <w:lang w:val="en-US" w:eastAsia="zh-CN"/>
              </w:rPr>
            </w:pPr>
          </w:p>
        </w:tc>
        <w:tc>
          <w:tcPr>
            <w:tcW w:w="1009" w:type="pct"/>
            <w:vAlign w:val="center"/>
          </w:tcPr>
          <w:p w14:paraId="38326902">
            <w:pPr>
              <w:pStyle w:val="100"/>
              <w:bidi w:val="0"/>
              <w:ind w:firstLine="0" w:firstLineChars="0"/>
              <w:rPr>
                <w:rFonts w:hint="eastAsia"/>
                <w:lang w:val="en-US" w:eastAsia="zh-CN"/>
              </w:rPr>
            </w:pPr>
            <w:r>
              <w:rPr>
                <w:rFonts w:hint="eastAsia"/>
                <w:lang w:val="en-US" w:eastAsia="zh-CN"/>
              </w:rPr>
              <w:t>0.0280</w:t>
            </w:r>
          </w:p>
        </w:tc>
      </w:tr>
      <w:tr w14:paraId="00CE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1A31FDE2">
            <w:pPr>
              <w:pStyle w:val="100"/>
              <w:bidi w:val="0"/>
              <w:rPr>
                <w:sz w:val="21"/>
                <w:szCs w:val="21"/>
              </w:rPr>
            </w:pPr>
          </w:p>
        </w:tc>
        <w:tc>
          <w:tcPr>
            <w:tcW w:w="892" w:type="pct"/>
            <w:gridSpan w:val="3"/>
            <w:vMerge w:val="continue"/>
            <w:vAlign w:val="center"/>
          </w:tcPr>
          <w:p w14:paraId="6CE77DD7">
            <w:pPr>
              <w:pStyle w:val="100"/>
              <w:bidi w:val="0"/>
              <w:ind w:firstLine="0" w:firstLineChars="0"/>
              <w:rPr>
                <w:rFonts w:hint="eastAsia"/>
              </w:rPr>
            </w:pPr>
          </w:p>
        </w:tc>
        <w:tc>
          <w:tcPr>
            <w:tcW w:w="899" w:type="pct"/>
            <w:gridSpan w:val="3"/>
            <w:vAlign w:val="center"/>
          </w:tcPr>
          <w:p w14:paraId="5B52ED7E">
            <w:pPr>
              <w:pStyle w:val="100"/>
              <w:bidi w:val="0"/>
              <w:ind w:firstLine="0" w:firstLineChars="0"/>
              <w:rPr>
                <w:rFonts w:hint="eastAsia"/>
                <w:sz w:val="21"/>
                <w:szCs w:val="21"/>
                <w:lang w:eastAsia="zh-CN"/>
              </w:rPr>
            </w:pPr>
            <w:r>
              <w:rPr>
                <w:rFonts w:hint="eastAsia"/>
                <w:sz w:val="21"/>
                <w:szCs w:val="21"/>
                <w:lang w:eastAsia="zh-CN"/>
              </w:rPr>
              <w:t>采矿用地</w:t>
            </w:r>
          </w:p>
        </w:tc>
        <w:tc>
          <w:tcPr>
            <w:tcW w:w="1758" w:type="pct"/>
            <w:gridSpan w:val="5"/>
            <w:vAlign w:val="center"/>
          </w:tcPr>
          <w:p w14:paraId="29667264">
            <w:pPr>
              <w:pStyle w:val="100"/>
              <w:bidi w:val="0"/>
              <w:rPr>
                <w:rFonts w:hint="eastAsia"/>
                <w:sz w:val="21"/>
                <w:szCs w:val="21"/>
                <w:lang w:val="en-US" w:eastAsia="zh-CN"/>
              </w:rPr>
            </w:pPr>
          </w:p>
        </w:tc>
        <w:tc>
          <w:tcPr>
            <w:tcW w:w="1009" w:type="pct"/>
            <w:vAlign w:val="center"/>
          </w:tcPr>
          <w:p w14:paraId="5140CB47">
            <w:pPr>
              <w:pStyle w:val="100"/>
              <w:bidi w:val="0"/>
              <w:ind w:firstLine="0" w:firstLineChars="0"/>
              <w:rPr>
                <w:rFonts w:hint="eastAsia"/>
                <w:lang w:val="en-US" w:eastAsia="zh-CN"/>
              </w:rPr>
            </w:pPr>
            <w:r>
              <w:rPr>
                <w:rFonts w:hint="eastAsia"/>
                <w:lang w:val="en-US" w:eastAsia="zh-CN"/>
              </w:rPr>
              <w:t>0.0685</w:t>
            </w:r>
          </w:p>
        </w:tc>
      </w:tr>
      <w:tr w14:paraId="0735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1B9EA54F">
            <w:pPr>
              <w:pStyle w:val="100"/>
              <w:bidi w:val="0"/>
              <w:rPr>
                <w:sz w:val="21"/>
                <w:szCs w:val="21"/>
              </w:rPr>
            </w:pPr>
          </w:p>
        </w:tc>
        <w:tc>
          <w:tcPr>
            <w:tcW w:w="892" w:type="pct"/>
            <w:gridSpan w:val="3"/>
            <w:vAlign w:val="center"/>
          </w:tcPr>
          <w:p w14:paraId="3A8CC540">
            <w:pPr>
              <w:pStyle w:val="100"/>
              <w:bidi w:val="0"/>
              <w:ind w:firstLine="0" w:firstLineChars="0"/>
              <w:rPr>
                <w:sz w:val="21"/>
                <w:szCs w:val="21"/>
              </w:rPr>
            </w:pPr>
            <w:r>
              <w:rPr>
                <w:rFonts w:hint="eastAsia"/>
                <w:sz w:val="21"/>
                <w:szCs w:val="21"/>
                <w:lang w:val="en-US" w:eastAsia="zh-CN"/>
              </w:rPr>
              <w:t>其他土地</w:t>
            </w:r>
          </w:p>
        </w:tc>
        <w:tc>
          <w:tcPr>
            <w:tcW w:w="899" w:type="pct"/>
            <w:gridSpan w:val="3"/>
            <w:vAlign w:val="center"/>
          </w:tcPr>
          <w:p w14:paraId="5C6A3B4A">
            <w:pPr>
              <w:pStyle w:val="100"/>
              <w:bidi w:val="0"/>
              <w:ind w:firstLine="0" w:firstLineChars="0"/>
              <w:rPr>
                <w:rFonts w:hint="eastAsia"/>
                <w:sz w:val="21"/>
                <w:szCs w:val="21"/>
                <w:lang w:eastAsia="zh-CN"/>
              </w:rPr>
            </w:pPr>
            <w:r>
              <w:rPr>
                <w:rFonts w:hint="eastAsia"/>
                <w:sz w:val="21"/>
                <w:szCs w:val="21"/>
                <w:lang w:val="en-US" w:eastAsia="zh-CN"/>
              </w:rPr>
              <w:t>裸岩石砾地</w:t>
            </w:r>
          </w:p>
        </w:tc>
        <w:tc>
          <w:tcPr>
            <w:tcW w:w="1758" w:type="pct"/>
            <w:gridSpan w:val="5"/>
            <w:vAlign w:val="center"/>
          </w:tcPr>
          <w:p w14:paraId="76A31E8C">
            <w:pPr>
              <w:pStyle w:val="100"/>
              <w:bidi w:val="0"/>
              <w:rPr>
                <w:rFonts w:hint="eastAsia"/>
                <w:sz w:val="21"/>
                <w:szCs w:val="21"/>
                <w:lang w:val="en-US" w:eastAsia="zh-CN"/>
              </w:rPr>
            </w:pPr>
          </w:p>
        </w:tc>
        <w:tc>
          <w:tcPr>
            <w:tcW w:w="1009" w:type="pct"/>
            <w:vAlign w:val="center"/>
          </w:tcPr>
          <w:p w14:paraId="396D88A7">
            <w:pPr>
              <w:pStyle w:val="100"/>
              <w:bidi w:val="0"/>
              <w:ind w:firstLine="0" w:firstLineChars="0"/>
              <w:rPr>
                <w:rFonts w:hint="default"/>
                <w:sz w:val="21"/>
                <w:szCs w:val="21"/>
                <w:lang w:val="en-US" w:eastAsia="zh-CN"/>
              </w:rPr>
            </w:pPr>
            <w:r>
              <w:rPr>
                <w:rFonts w:hint="eastAsia"/>
                <w:lang w:val="en-US" w:eastAsia="zh-CN"/>
              </w:rPr>
              <w:t>1.8683</w:t>
            </w:r>
          </w:p>
        </w:tc>
      </w:tr>
      <w:tr w14:paraId="5AEF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Merge w:val="continue"/>
            <w:vAlign w:val="center"/>
          </w:tcPr>
          <w:p w14:paraId="0F5772F4">
            <w:pPr>
              <w:pStyle w:val="100"/>
              <w:bidi w:val="0"/>
              <w:rPr>
                <w:sz w:val="21"/>
                <w:szCs w:val="21"/>
              </w:rPr>
            </w:pPr>
          </w:p>
        </w:tc>
        <w:tc>
          <w:tcPr>
            <w:tcW w:w="1791" w:type="pct"/>
            <w:gridSpan w:val="6"/>
            <w:vAlign w:val="center"/>
          </w:tcPr>
          <w:p w14:paraId="0408EED7">
            <w:pPr>
              <w:pStyle w:val="100"/>
              <w:bidi w:val="0"/>
              <w:rPr>
                <w:sz w:val="21"/>
                <w:szCs w:val="21"/>
              </w:rPr>
            </w:pPr>
            <w:r>
              <w:rPr>
                <w:sz w:val="21"/>
                <w:szCs w:val="21"/>
              </w:rPr>
              <w:t>合计</w:t>
            </w:r>
          </w:p>
        </w:tc>
        <w:tc>
          <w:tcPr>
            <w:tcW w:w="1758" w:type="pct"/>
            <w:gridSpan w:val="5"/>
            <w:vAlign w:val="center"/>
          </w:tcPr>
          <w:p w14:paraId="5D708249">
            <w:pPr>
              <w:pStyle w:val="100"/>
              <w:bidi w:val="0"/>
              <w:rPr>
                <w:sz w:val="21"/>
                <w:szCs w:val="21"/>
              </w:rPr>
            </w:pPr>
          </w:p>
        </w:tc>
        <w:tc>
          <w:tcPr>
            <w:tcW w:w="1009" w:type="pct"/>
            <w:vAlign w:val="center"/>
          </w:tcPr>
          <w:p w14:paraId="45645881">
            <w:pPr>
              <w:pStyle w:val="100"/>
              <w:bidi w:val="0"/>
              <w:rPr>
                <w:rFonts w:hint="default"/>
                <w:sz w:val="21"/>
                <w:szCs w:val="21"/>
                <w:lang w:val="en-US" w:eastAsia="zh-CN"/>
              </w:rPr>
            </w:pPr>
            <w:r>
              <w:rPr>
                <w:rFonts w:hint="eastAsia"/>
                <w:sz w:val="21"/>
                <w:szCs w:val="21"/>
                <w:lang w:val="en-US" w:eastAsia="zh-CN"/>
              </w:rPr>
              <w:t>1.9648</w:t>
            </w:r>
          </w:p>
        </w:tc>
      </w:tr>
      <w:tr w14:paraId="4738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40" w:type="pct"/>
            <w:gridSpan w:val="2"/>
            <w:vMerge w:val="continue"/>
            <w:vAlign w:val="center"/>
          </w:tcPr>
          <w:p w14:paraId="4EF42172">
            <w:pPr>
              <w:pStyle w:val="100"/>
              <w:bidi w:val="0"/>
              <w:rPr>
                <w:sz w:val="21"/>
                <w:szCs w:val="21"/>
              </w:rPr>
            </w:pPr>
          </w:p>
        </w:tc>
        <w:tc>
          <w:tcPr>
            <w:tcW w:w="4559" w:type="pct"/>
            <w:gridSpan w:val="12"/>
            <w:vAlign w:val="center"/>
          </w:tcPr>
          <w:p w14:paraId="258E3115">
            <w:pPr>
              <w:pStyle w:val="100"/>
              <w:bidi w:val="0"/>
              <w:rPr>
                <w:sz w:val="21"/>
                <w:szCs w:val="21"/>
              </w:rPr>
            </w:pPr>
            <w:r>
              <w:rPr>
                <w:sz w:val="21"/>
                <w:szCs w:val="21"/>
              </w:rPr>
              <w:t>土地复垦率：100%</w:t>
            </w:r>
          </w:p>
        </w:tc>
      </w:tr>
      <w:tr w14:paraId="7711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pct"/>
            <w:gridSpan w:val="2"/>
            <w:vAlign w:val="center"/>
          </w:tcPr>
          <w:p w14:paraId="7FEA3719">
            <w:pPr>
              <w:pStyle w:val="100"/>
              <w:bidi w:val="0"/>
              <w:rPr>
                <w:sz w:val="21"/>
                <w:szCs w:val="21"/>
              </w:rPr>
            </w:pPr>
            <w:r>
              <w:rPr>
                <w:sz w:val="21"/>
                <w:szCs w:val="21"/>
              </w:rPr>
              <w:t>工</w:t>
            </w:r>
          </w:p>
          <w:p w14:paraId="1CC83B09">
            <w:pPr>
              <w:pStyle w:val="100"/>
              <w:bidi w:val="0"/>
              <w:rPr>
                <w:sz w:val="21"/>
                <w:szCs w:val="21"/>
              </w:rPr>
            </w:pPr>
            <w:r>
              <w:rPr>
                <w:sz w:val="21"/>
                <w:szCs w:val="21"/>
              </w:rPr>
              <w:t>作</w:t>
            </w:r>
          </w:p>
          <w:p w14:paraId="38C55E54">
            <w:pPr>
              <w:pStyle w:val="100"/>
              <w:bidi w:val="0"/>
              <w:rPr>
                <w:sz w:val="21"/>
                <w:szCs w:val="21"/>
              </w:rPr>
            </w:pPr>
            <w:r>
              <w:rPr>
                <w:sz w:val="21"/>
                <w:szCs w:val="21"/>
              </w:rPr>
              <w:t>计</w:t>
            </w:r>
          </w:p>
          <w:p w14:paraId="1D60DC4B">
            <w:pPr>
              <w:pStyle w:val="100"/>
              <w:bidi w:val="0"/>
              <w:rPr>
                <w:sz w:val="21"/>
                <w:szCs w:val="21"/>
              </w:rPr>
            </w:pPr>
            <w:r>
              <w:rPr>
                <w:sz w:val="21"/>
                <w:szCs w:val="21"/>
              </w:rPr>
              <w:t>划</w:t>
            </w:r>
          </w:p>
          <w:p w14:paraId="70B24A9E">
            <w:pPr>
              <w:pStyle w:val="100"/>
              <w:bidi w:val="0"/>
              <w:rPr>
                <w:sz w:val="21"/>
                <w:szCs w:val="21"/>
              </w:rPr>
            </w:pPr>
            <w:r>
              <w:rPr>
                <w:sz w:val="21"/>
                <w:szCs w:val="21"/>
              </w:rPr>
              <w:t>及</w:t>
            </w:r>
          </w:p>
          <w:p w14:paraId="59B531B0">
            <w:pPr>
              <w:pStyle w:val="100"/>
              <w:bidi w:val="0"/>
              <w:rPr>
                <w:sz w:val="21"/>
                <w:szCs w:val="21"/>
              </w:rPr>
            </w:pPr>
            <w:r>
              <w:rPr>
                <w:sz w:val="21"/>
                <w:szCs w:val="21"/>
              </w:rPr>
              <w:t>主</w:t>
            </w:r>
          </w:p>
          <w:p w14:paraId="38EE959C">
            <w:pPr>
              <w:pStyle w:val="100"/>
              <w:bidi w:val="0"/>
              <w:rPr>
                <w:sz w:val="21"/>
                <w:szCs w:val="21"/>
              </w:rPr>
            </w:pPr>
            <w:r>
              <w:rPr>
                <w:sz w:val="21"/>
                <w:szCs w:val="21"/>
              </w:rPr>
              <w:t>要</w:t>
            </w:r>
          </w:p>
          <w:p w14:paraId="3D4B8C3F">
            <w:pPr>
              <w:pStyle w:val="100"/>
              <w:bidi w:val="0"/>
              <w:rPr>
                <w:sz w:val="21"/>
                <w:szCs w:val="21"/>
              </w:rPr>
            </w:pPr>
            <w:r>
              <w:rPr>
                <w:sz w:val="21"/>
                <w:szCs w:val="21"/>
              </w:rPr>
              <w:t>措</w:t>
            </w:r>
          </w:p>
          <w:p w14:paraId="61CA2C95">
            <w:pPr>
              <w:pStyle w:val="100"/>
              <w:bidi w:val="0"/>
              <w:rPr>
                <w:sz w:val="21"/>
                <w:szCs w:val="21"/>
              </w:rPr>
            </w:pPr>
            <w:r>
              <w:rPr>
                <w:sz w:val="21"/>
                <w:szCs w:val="21"/>
              </w:rPr>
              <w:t>施</w:t>
            </w:r>
          </w:p>
        </w:tc>
        <w:tc>
          <w:tcPr>
            <w:tcW w:w="4559" w:type="pct"/>
            <w:gridSpan w:val="12"/>
          </w:tcPr>
          <w:p w14:paraId="75DB16F8">
            <w:pPr>
              <w:bidi w:val="0"/>
              <w:rPr>
                <w:sz w:val="22"/>
                <w:szCs w:val="22"/>
              </w:rPr>
            </w:pPr>
            <w:r>
              <w:rPr>
                <w:rFonts w:hint="eastAsia"/>
                <w:sz w:val="22"/>
                <w:szCs w:val="22"/>
              </w:rPr>
              <w:t>1、工程技术措施</w:t>
            </w:r>
          </w:p>
          <w:p w14:paraId="35351019">
            <w:pPr>
              <w:bidi w:val="0"/>
              <w:rPr>
                <w:rFonts w:hint="eastAsia"/>
                <w:sz w:val="22"/>
                <w:szCs w:val="22"/>
              </w:rPr>
            </w:pPr>
            <w:r>
              <w:rPr>
                <w:rFonts w:hint="eastAsia"/>
                <w:sz w:val="22"/>
                <w:szCs w:val="22"/>
              </w:rPr>
              <w:t>（</w:t>
            </w:r>
            <w:r>
              <w:rPr>
                <w:rFonts w:hint="eastAsia"/>
                <w:sz w:val="22"/>
                <w:szCs w:val="22"/>
                <w:lang w:val="en-US" w:eastAsia="zh-CN"/>
              </w:rPr>
              <w:t>1</w:t>
            </w:r>
            <w:r>
              <w:rPr>
                <w:rFonts w:hint="eastAsia"/>
                <w:sz w:val="22"/>
                <w:szCs w:val="22"/>
              </w:rPr>
              <w:t>）土地平整</w:t>
            </w:r>
          </w:p>
          <w:p w14:paraId="1F83FC79">
            <w:pPr>
              <w:bidi w:val="0"/>
              <w:rPr>
                <w:rFonts w:hint="eastAsia" w:eastAsia="仿宋"/>
                <w:sz w:val="22"/>
                <w:szCs w:val="22"/>
                <w:lang w:val="en-US" w:eastAsia="zh-CN"/>
              </w:rPr>
            </w:pPr>
            <w:r>
              <w:rPr>
                <w:rFonts w:hint="eastAsia"/>
                <w:sz w:val="22"/>
                <w:szCs w:val="22"/>
              </w:rPr>
              <w:t>临时用地在项目建设前对场地进行平整与复垦工程土地平整是不同的层次、不同的目的要求。由于项目建设对土壤的</w:t>
            </w:r>
            <w:r>
              <w:rPr>
                <w:rFonts w:hint="eastAsia"/>
                <w:sz w:val="22"/>
                <w:szCs w:val="22"/>
                <w:lang w:val="en-US" w:eastAsia="zh-CN"/>
              </w:rPr>
              <w:t>挖损及</w:t>
            </w:r>
            <w:r>
              <w:rPr>
                <w:rFonts w:hint="eastAsia"/>
                <w:sz w:val="22"/>
                <w:szCs w:val="22"/>
              </w:rPr>
              <w:t>压占损毁，改变了地貌形态，地表重型机械的碾压地面形态又发生改变，为了提高复垦质量、</w:t>
            </w:r>
            <w:r>
              <w:rPr>
                <w:rFonts w:hint="eastAsia"/>
                <w:sz w:val="22"/>
                <w:szCs w:val="22"/>
                <w:lang w:val="en-US" w:eastAsia="zh-CN"/>
              </w:rPr>
              <w:t>需采取</w:t>
            </w:r>
            <w:r>
              <w:rPr>
                <w:rFonts w:hint="eastAsia"/>
                <w:sz w:val="22"/>
                <w:szCs w:val="22"/>
              </w:rPr>
              <w:t>土地平整</w:t>
            </w:r>
            <w:r>
              <w:rPr>
                <w:rFonts w:hint="eastAsia"/>
                <w:sz w:val="22"/>
                <w:szCs w:val="22"/>
                <w:lang w:val="en-US" w:eastAsia="zh-CN"/>
              </w:rPr>
              <w:t>措施。</w:t>
            </w:r>
          </w:p>
          <w:p w14:paraId="619459F3">
            <w:pPr>
              <w:bidi w:val="0"/>
              <w:rPr>
                <w:rFonts w:hint="eastAsia"/>
                <w:sz w:val="22"/>
                <w:szCs w:val="22"/>
              </w:rPr>
            </w:pPr>
            <w:r>
              <w:rPr>
                <w:rFonts w:hint="eastAsia"/>
                <w:sz w:val="22"/>
                <w:szCs w:val="22"/>
              </w:rPr>
              <w:t>以用地区域为一个平整单元，以平整单元内部土方挖填平衡为基础，对场地高低不平区域进行推平，采用74KW推土机平整土地，局部机械无法进入的边角采用人工推平，为后期表土回覆等创造条件。平均平整厚度</w:t>
            </w:r>
            <w:r>
              <w:rPr>
                <w:rFonts w:hint="eastAsia"/>
                <w:sz w:val="22"/>
                <w:szCs w:val="22"/>
                <w:lang w:val="en-US" w:eastAsia="zh-CN"/>
              </w:rPr>
              <w:t>20</w:t>
            </w:r>
            <w:r>
              <w:rPr>
                <w:rFonts w:hint="eastAsia"/>
                <w:sz w:val="22"/>
                <w:szCs w:val="22"/>
              </w:rPr>
              <w:t>cm，土地平整面积为</w:t>
            </w:r>
            <w:r>
              <w:rPr>
                <w:rFonts w:hint="eastAsia" w:cs="Times New Roman"/>
                <w:kern w:val="0"/>
                <w:sz w:val="22"/>
                <w:szCs w:val="22"/>
                <w:lang w:val="en-US" w:eastAsia="zh-CN"/>
              </w:rPr>
              <w:t>1.9648</w:t>
            </w:r>
            <w:r>
              <w:rPr>
                <w:rFonts w:hint="eastAsia" w:ascii="Times New Roman" w:hAnsi="Times New Roman" w:eastAsia="仿宋_GB2312" w:cs="Times New Roman"/>
                <w:sz w:val="24"/>
                <w:szCs w:val="24"/>
                <w:lang w:eastAsia="zh-CN"/>
              </w:rPr>
              <w:t>hm</w:t>
            </w:r>
            <w:r>
              <w:rPr>
                <w:rFonts w:hint="eastAsia" w:ascii="Times New Roman" w:hAnsi="Times New Roman" w:eastAsia="仿宋_GB2312" w:cs="Times New Roman"/>
                <w:sz w:val="24"/>
                <w:szCs w:val="24"/>
                <w:vertAlign w:val="superscript"/>
                <w:lang w:eastAsia="zh-CN"/>
              </w:rPr>
              <w:t>2</w:t>
            </w:r>
            <w:r>
              <w:rPr>
                <w:rFonts w:hint="eastAsia"/>
                <w:sz w:val="22"/>
                <w:szCs w:val="22"/>
              </w:rPr>
              <w:t>。</w:t>
            </w:r>
          </w:p>
          <w:p w14:paraId="579461E9">
            <w:pPr>
              <w:bidi w:val="0"/>
              <w:rPr>
                <w:sz w:val="22"/>
                <w:szCs w:val="22"/>
              </w:rPr>
            </w:pPr>
            <w:r>
              <w:rPr>
                <w:rFonts w:hint="eastAsia"/>
                <w:sz w:val="22"/>
                <w:szCs w:val="22"/>
                <w:lang w:val="en-US" w:eastAsia="zh-CN"/>
              </w:rPr>
              <w:t>2</w:t>
            </w:r>
            <w:r>
              <w:rPr>
                <w:rFonts w:hint="eastAsia"/>
                <w:sz w:val="22"/>
                <w:szCs w:val="22"/>
              </w:rPr>
              <w:t>、监测措施</w:t>
            </w:r>
          </w:p>
          <w:p w14:paraId="18745197">
            <w:pPr>
              <w:bidi w:val="0"/>
              <w:rPr>
                <w:sz w:val="22"/>
                <w:szCs w:val="22"/>
              </w:rPr>
            </w:pPr>
            <w:r>
              <w:rPr>
                <w:rFonts w:hint="eastAsia"/>
                <w:sz w:val="22"/>
                <w:szCs w:val="22"/>
              </w:rPr>
              <w:t>开展土地复垦监测，及时掌握土地损毁情况，是保证复垦效果的重要手段。土地复垦监测工程包括土地损毁监测和复垦效果监测，本方案复垦方向为</w:t>
            </w:r>
            <w:r>
              <w:rPr>
                <w:rFonts w:hint="eastAsia"/>
                <w:sz w:val="22"/>
                <w:szCs w:val="22"/>
                <w:lang w:val="en-US" w:eastAsia="zh-CN"/>
              </w:rPr>
              <w:t>原地类</w:t>
            </w:r>
            <w:r>
              <w:rPr>
                <w:sz w:val="22"/>
                <w:szCs w:val="22"/>
              </w:rPr>
              <w:t>。</w:t>
            </w:r>
          </w:p>
          <w:p w14:paraId="3EA6C239">
            <w:pPr>
              <w:pStyle w:val="100"/>
              <w:bidi w:val="0"/>
              <w:jc w:val="left"/>
              <w:rPr>
                <w:sz w:val="21"/>
                <w:szCs w:val="21"/>
              </w:rPr>
            </w:pPr>
            <w:r>
              <w:rPr>
                <w:sz w:val="21"/>
                <w:szCs w:val="21"/>
              </w:rPr>
              <w:t>二、土地复垦工程量</w:t>
            </w:r>
          </w:p>
          <w:tbl>
            <w:tblPr>
              <w:tblStyle w:val="88"/>
              <w:tblW w:w="4995" w:type="pct"/>
              <w:tblInd w:w="0" w:type="dxa"/>
              <w:tblLayout w:type="autofit"/>
              <w:tblCellMar>
                <w:top w:w="0" w:type="dxa"/>
                <w:left w:w="108" w:type="dxa"/>
                <w:bottom w:w="0" w:type="dxa"/>
                <w:right w:w="108" w:type="dxa"/>
              </w:tblCellMar>
            </w:tblPr>
            <w:tblGrid>
              <w:gridCol w:w="1129"/>
              <w:gridCol w:w="3397"/>
              <w:gridCol w:w="1793"/>
              <w:gridCol w:w="2094"/>
            </w:tblGrid>
            <w:tr w14:paraId="7AC84B01">
              <w:tblPrEx>
                <w:tblCellMar>
                  <w:top w:w="0" w:type="dxa"/>
                  <w:left w:w="108" w:type="dxa"/>
                  <w:bottom w:w="0" w:type="dxa"/>
                  <w:right w:w="108" w:type="dxa"/>
                </w:tblCellMar>
              </w:tblPrEx>
              <w:trPr>
                <w:trHeight w:val="270" w:hRule="atLeast"/>
                <w:tblHeader/>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70B7">
                  <w:pPr>
                    <w:pStyle w:val="100"/>
                    <w:bidi w:val="0"/>
                    <w:rPr>
                      <w:rFonts w:hint="eastAsia"/>
                      <w:sz w:val="21"/>
                      <w:szCs w:val="21"/>
                    </w:rPr>
                  </w:pPr>
                  <w:r>
                    <w:rPr>
                      <w:rFonts w:hint="eastAsia"/>
                      <w:sz w:val="21"/>
                      <w:szCs w:val="21"/>
                    </w:rPr>
                    <w:t>序号</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EEF9">
                  <w:pPr>
                    <w:pStyle w:val="100"/>
                    <w:bidi w:val="0"/>
                    <w:rPr>
                      <w:rFonts w:hint="eastAsia"/>
                      <w:sz w:val="21"/>
                      <w:szCs w:val="21"/>
                      <w:lang w:eastAsia="zh-CN"/>
                    </w:rPr>
                  </w:pPr>
                  <w:r>
                    <w:rPr>
                      <w:rFonts w:hint="eastAsia"/>
                      <w:sz w:val="21"/>
                      <w:szCs w:val="21"/>
                      <w:lang w:eastAsia="zh-CN"/>
                    </w:rPr>
                    <w:t>单项名称</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EE9D">
                  <w:pPr>
                    <w:pStyle w:val="100"/>
                    <w:bidi w:val="0"/>
                    <w:rPr>
                      <w:rFonts w:hint="eastAsia"/>
                      <w:sz w:val="21"/>
                      <w:szCs w:val="21"/>
                      <w:lang w:eastAsia="zh-CN"/>
                    </w:rPr>
                  </w:pPr>
                  <w:r>
                    <w:rPr>
                      <w:rFonts w:hint="eastAsia"/>
                      <w:sz w:val="21"/>
                      <w:szCs w:val="21"/>
                      <w:lang w:eastAsia="zh-CN"/>
                    </w:rPr>
                    <w:t>单位</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C9DA">
                  <w:pPr>
                    <w:pStyle w:val="100"/>
                    <w:bidi w:val="0"/>
                    <w:rPr>
                      <w:rFonts w:hint="eastAsia"/>
                      <w:sz w:val="21"/>
                      <w:szCs w:val="21"/>
                      <w:lang w:eastAsia="zh-CN"/>
                    </w:rPr>
                  </w:pPr>
                  <w:r>
                    <w:rPr>
                      <w:rFonts w:hint="eastAsia"/>
                      <w:sz w:val="21"/>
                      <w:szCs w:val="21"/>
                      <w:lang w:eastAsia="zh-CN"/>
                    </w:rPr>
                    <w:t>工程量</w:t>
                  </w:r>
                </w:p>
              </w:tc>
            </w:tr>
            <w:tr w14:paraId="12AD5340">
              <w:tblPrEx>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14782">
                  <w:pPr>
                    <w:pStyle w:val="100"/>
                    <w:bidi w:val="0"/>
                    <w:rPr>
                      <w:rFonts w:hint="eastAsia"/>
                      <w:sz w:val="21"/>
                      <w:szCs w:val="21"/>
                    </w:rPr>
                  </w:pPr>
                  <w:r>
                    <w:rPr>
                      <w:rFonts w:hint="eastAsia"/>
                      <w:sz w:val="21"/>
                      <w:szCs w:val="21"/>
                    </w:rPr>
                    <w:t>一</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A402">
                  <w:pPr>
                    <w:pStyle w:val="100"/>
                    <w:bidi w:val="0"/>
                    <w:rPr>
                      <w:rFonts w:hint="eastAsia"/>
                      <w:sz w:val="21"/>
                      <w:szCs w:val="21"/>
                      <w:lang w:eastAsia="zh-CN"/>
                    </w:rPr>
                  </w:pPr>
                  <w:r>
                    <w:rPr>
                      <w:rFonts w:hint="eastAsia"/>
                      <w:sz w:val="21"/>
                      <w:szCs w:val="21"/>
                      <w:lang w:eastAsia="zh-CN"/>
                    </w:rPr>
                    <w:t>项目区</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D909">
                  <w:pPr>
                    <w:pStyle w:val="100"/>
                    <w:bidi w:val="0"/>
                    <w:rPr>
                      <w:rFonts w:hint="eastAsia"/>
                      <w:sz w:val="21"/>
                      <w:szCs w:val="21"/>
                      <w:lang w:eastAsia="zh-CN"/>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A40B">
                  <w:pPr>
                    <w:pStyle w:val="100"/>
                    <w:bidi w:val="0"/>
                    <w:rPr>
                      <w:rFonts w:hint="eastAsia"/>
                      <w:sz w:val="21"/>
                      <w:szCs w:val="21"/>
                      <w:lang w:eastAsia="zh-CN"/>
                    </w:rPr>
                  </w:pPr>
                </w:p>
              </w:tc>
            </w:tr>
            <w:tr w14:paraId="6A318F56">
              <w:tblPrEx>
                <w:tblCellMar>
                  <w:top w:w="0" w:type="dxa"/>
                  <w:left w:w="108" w:type="dxa"/>
                  <w:bottom w:w="0" w:type="dxa"/>
                  <w:right w:w="108" w:type="dxa"/>
                </w:tblCellMar>
              </w:tblPrEx>
              <w:trPr>
                <w:trHeight w:val="247"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73F5">
                  <w:pPr>
                    <w:pStyle w:val="100"/>
                    <w:bidi w:val="0"/>
                    <w:rPr>
                      <w:rFonts w:hint="eastAsia"/>
                      <w:sz w:val="21"/>
                      <w:szCs w:val="21"/>
                      <w:lang w:eastAsia="zh-CN"/>
                    </w:rPr>
                  </w:pPr>
                  <w:r>
                    <w:rPr>
                      <w:rFonts w:hint="eastAsia"/>
                      <w:sz w:val="21"/>
                      <w:szCs w:val="21"/>
                      <w:lang w:val="en-US" w:eastAsia="zh-CN"/>
                    </w:rPr>
                    <w:t>1</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9524">
                  <w:pPr>
                    <w:pStyle w:val="100"/>
                    <w:bidi w:val="0"/>
                    <w:rPr>
                      <w:rFonts w:hint="eastAsia"/>
                      <w:sz w:val="21"/>
                      <w:szCs w:val="21"/>
                      <w:lang w:eastAsia="zh-CN"/>
                    </w:rPr>
                  </w:pPr>
                  <w:r>
                    <w:rPr>
                      <w:rFonts w:hint="eastAsia"/>
                      <w:sz w:val="21"/>
                      <w:szCs w:val="21"/>
                      <w:lang w:eastAsia="zh-CN"/>
                    </w:rPr>
                    <w:t>平整工程</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E1AA">
                  <w:pPr>
                    <w:pStyle w:val="100"/>
                    <w:bidi w:val="0"/>
                    <w:rPr>
                      <w:rFonts w:hint="eastAsia"/>
                      <w:sz w:val="21"/>
                      <w:szCs w:val="21"/>
                      <w:lang w:eastAsia="zh-CN"/>
                    </w:rPr>
                  </w:pP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FDF3">
                  <w:pPr>
                    <w:pStyle w:val="100"/>
                    <w:bidi w:val="0"/>
                    <w:rPr>
                      <w:rFonts w:hint="eastAsia"/>
                      <w:sz w:val="21"/>
                      <w:szCs w:val="21"/>
                      <w:lang w:eastAsia="zh-CN"/>
                    </w:rPr>
                  </w:pPr>
                </w:p>
              </w:tc>
            </w:tr>
            <w:tr w14:paraId="1B1D8D2F">
              <w:tblPrEx>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654E">
                  <w:pPr>
                    <w:pStyle w:val="100"/>
                    <w:bidi w:val="0"/>
                    <w:rPr>
                      <w:rFonts w:hint="eastAsia"/>
                      <w:sz w:val="21"/>
                      <w:szCs w:val="21"/>
                    </w:rPr>
                  </w:pPr>
                  <w:r>
                    <w:rPr>
                      <w:rFonts w:hint="eastAsia"/>
                      <w:sz w:val="21"/>
                      <w:szCs w:val="21"/>
                      <w:lang w:val="en-US" w:eastAsia="zh-CN"/>
                    </w:rPr>
                    <w:t>1</w:t>
                  </w:r>
                  <w:r>
                    <w:rPr>
                      <w:rFonts w:hint="eastAsia"/>
                      <w:sz w:val="21"/>
                      <w:szCs w:val="21"/>
                    </w:rPr>
                    <w:t>.1</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D5D4">
                  <w:pPr>
                    <w:pStyle w:val="100"/>
                    <w:bidi w:val="0"/>
                    <w:rPr>
                      <w:rFonts w:hint="eastAsia"/>
                      <w:sz w:val="21"/>
                      <w:szCs w:val="21"/>
                      <w:lang w:eastAsia="zh-CN"/>
                    </w:rPr>
                  </w:pPr>
                  <w:r>
                    <w:rPr>
                      <w:rFonts w:hint="eastAsia"/>
                      <w:sz w:val="21"/>
                      <w:szCs w:val="21"/>
                      <w:lang w:eastAsia="zh-CN"/>
                    </w:rPr>
                    <w:t>土地平整</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5F88">
                  <w:pPr>
                    <w:pStyle w:val="100"/>
                    <w:bidi w:val="0"/>
                    <w:rPr>
                      <w:rFonts w:hint="eastAsia"/>
                      <w:sz w:val="21"/>
                      <w:szCs w:val="21"/>
                      <w:lang w:eastAsia="zh-CN"/>
                    </w:rPr>
                  </w:pPr>
                  <w:r>
                    <w:rPr>
                      <w:rFonts w:hint="eastAsia"/>
                      <w:sz w:val="21"/>
                      <w:szCs w:val="21"/>
                      <w:lang w:val="en-US" w:eastAsia="zh-CN"/>
                    </w:rPr>
                    <w:t>100</w:t>
                  </w:r>
                  <w:r>
                    <w:rPr>
                      <w:rFonts w:hint="eastAsia"/>
                      <w:sz w:val="21"/>
                      <w:szCs w:val="21"/>
                      <w:lang w:eastAsia="zh-CN"/>
                    </w:rPr>
                    <w:t>m</w:t>
                  </w:r>
                  <w:r>
                    <w:rPr>
                      <w:rFonts w:hint="eastAsia"/>
                      <w:sz w:val="21"/>
                      <w:szCs w:val="21"/>
                      <w:vertAlign w:val="superscript"/>
                      <w:lang w:val="en-US" w:eastAsia="zh-CN"/>
                    </w:rPr>
                    <w:t>3</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EC21B2">
                  <w:pPr>
                    <w:pStyle w:val="100"/>
                    <w:bidi w:val="0"/>
                    <w:rPr>
                      <w:rFonts w:hint="default"/>
                      <w:sz w:val="21"/>
                      <w:szCs w:val="21"/>
                      <w:lang w:val="en-US" w:eastAsia="zh-CN"/>
                    </w:rPr>
                  </w:pPr>
                  <w:r>
                    <w:rPr>
                      <w:rFonts w:hint="eastAsia"/>
                      <w:sz w:val="21"/>
                      <w:szCs w:val="21"/>
                      <w:lang w:val="en-US" w:eastAsia="zh-CN"/>
                    </w:rPr>
                    <w:t>39.296</w:t>
                  </w:r>
                </w:p>
              </w:tc>
            </w:tr>
            <w:tr w14:paraId="1504161C">
              <w:tblPrEx>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3717">
                  <w:pPr>
                    <w:pStyle w:val="100"/>
                    <w:bidi w:val="0"/>
                    <w:rPr>
                      <w:rFonts w:hint="default"/>
                      <w:sz w:val="21"/>
                      <w:szCs w:val="21"/>
                      <w:lang w:val="en-US" w:eastAsia="zh-CN"/>
                    </w:rPr>
                  </w:pPr>
                  <w:r>
                    <w:rPr>
                      <w:rFonts w:hint="eastAsia"/>
                      <w:sz w:val="21"/>
                      <w:szCs w:val="21"/>
                      <w:lang w:val="en-US" w:eastAsia="zh-CN"/>
                    </w:rPr>
                    <w:t>2</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19B67">
                  <w:pPr>
                    <w:pStyle w:val="100"/>
                    <w:bidi w:val="0"/>
                    <w:rPr>
                      <w:rFonts w:hint="default"/>
                      <w:sz w:val="21"/>
                      <w:szCs w:val="21"/>
                      <w:lang w:val="en-US" w:eastAsia="zh-CN"/>
                    </w:rPr>
                  </w:pPr>
                  <w:r>
                    <w:rPr>
                      <w:rFonts w:hint="eastAsia"/>
                      <w:sz w:val="21"/>
                      <w:szCs w:val="21"/>
                      <w:lang w:val="en-US" w:eastAsia="zh-CN"/>
                    </w:rPr>
                    <w:t>监测工程</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3897">
                  <w:pPr>
                    <w:pStyle w:val="100"/>
                    <w:bidi w:val="0"/>
                    <w:rPr>
                      <w:rFonts w:hint="default"/>
                      <w:sz w:val="21"/>
                      <w:szCs w:val="21"/>
                      <w:lang w:val="en-US" w:eastAsia="zh-CN"/>
                    </w:rPr>
                  </w:pPr>
                  <w:r>
                    <w:rPr>
                      <w:rFonts w:hint="eastAsia"/>
                      <w:sz w:val="21"/>
                      <w:szCs w:val="21"/>
                      <w:lang w:val="en-US" w:eastAsia="zh-CN"/>
                    </w:rPr>
                    <w:t>点</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6C95">
                  <w:pPr>
                    <w:pStyle w:val="100"/>
                    <w:bidi w:val="0"/>
                    <w:rPr>
                      <w:rFonts w:hint="eastAsia"/>
                      <w:sz w:val="21"/>
                      <w:szCs w:val="21"/>
                      <w:lang w:val="en-US" w:eastAsia="zh-CN"/>
                    </w:rPr>
                  </w:pPr>
                </w:p>
              </w:tc>
            </w:tr>
            <w:tr w14:paraId="6041F37F">
              <w:tblPrEx>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9FCA">
                  <w:pPr>
                    <w:pStyle w:val="100"/>
                    <w:bidi w:val="0"/>
                    <w:rPr>
                      <w:rFonts w:hint="default"/>
                      <w:sz w:val="21"/>
                      <w:szCs w:val="21"/>
                      <w:lang w:val="en-US" w:eastAsia="zh-CN"/>
                    </w:rPr>
                  </w:pPr>
                  <w:r>
                    <w:rPr>
                      <w:rFonts w:hint="eastAsia"/>
                      <w:sz w:val="21"/>
                      <w:szCs w:val="21"/>
                      <w:lang w:val="en-US" w:eastAsia="zh-CN"/>
                    </w:rPr>
                    <w:t>2.1</w:t>
                  </w:r>
                </w:p>
              </w:tc>
              <w:tc>
                <w:tcPr>
                  <w:tcW w:w="2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F37A">
                  <w:pPr>
                    <w:pStyle w:val="100"/>
                    <w:bidi w:val="0"/>
                    <w:rPr>
                      <w:rFonts w:hint="eastAsia"/>
                      <w:sz w:val="21"/>
                      <w:szCs w:val="21"/>
                      <w:lang w:val="en-US" w:eastAsia="zh-CN"/>
                    </w:rPr>
                  </w:pPr>
                  <w:r>
                    <w:rPr>
                      <w:rFonts w:hint="eastAsia"/>
                      <w:sz w:val="21"/>
                      <w:szCs w:val="21"/>
                      <w:lang w:val="en-US" w:eastAsia="zh-CN"/>
                    </w:rPr>
                    <w:t>损毁情况监测</w:t>
                  </w:r>
                </w:p>
              </w:tc>
              <w:tc>
                <w:tcPr>
                  <w:tcW w:w="10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D2C4">
                  <w:pPr>
                    <w:pStyle w:val="100"/>
                    <w:bidi w:val="0"/>
                    <w:rPr>
                      <w:rFonts w:hint="eastAsia"/>
                      <w:sz w:val="21"/>
                      <w:szCs w:val="21"/>
                      <w:lang w:val="en-US" w:eastAsia="zh-CN"/>
                    </w:rPr>
                  </w:pPr>
                  <w:r>
                    <w:rPr>
                      <w:rFonts w:hint="eastAsia"/>
                      <w:sz w:val="21"/>
                      <w:szCs w:val="21"/>
                      <w:lang w:val="en-US" w:eastAsia="zh-CN"/>
                    </w:rPr>
                    <w:t>点</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0B2E">
                  <w:pPr>
                    <w:pStyle w:val="100"/>
                    <w:bidi w:val="0"/>
                    <w:rPr>
                      <w:rFonts w:hint="default"/>
                      <w:sz w:val="21"/>
                      <w:szCs w:val="21"/>
                      <w:lang w:val="en-US" w:eastAsia="zh-CN"/>
                    </w:rPr>
                  </w:pPr>
                  <w:r>
                    <w:rPr>
                      <w:rFonts w:hint="eastAsia"/>
                      <w:sz w:val="21"/>
                      <w:szCs w:val="21"/>
                      <w:lang w:val="en-US" w:eastAsia="zh-CN"/>
                    </w:rPr>
                    <w:t>8</w:t>
                  </w:r>
                </w:p>
              </w:tc>
            </w:tr>
          </w:tbl>
          <w:p w14:paraId="0115B9F1">
            <w:pPr>
              <w:bidi w:val="0"/>
              <w:rPr>
                <w:sz w:val="22"/>
                <w:szCs w:val="22"/>
              </w:rPr>
            </w:pPr>
            <w:r>
              <w:rPr>
                <w:sz w:val="22"/>
                <w:szCs w:val="22"/>
              </w:rPr>
              <w:t>三、土地复垦工作计划安排</w:t>
            </w:r>
          </w:p>
          <w:p w14:paraId="679E0EAA">
            <w:pPr>
              <w:bidi w:val="0"/>
              <w:rPr>
                <w:sz w:val="22"/>
                <w:szCs w:val="22"/>
              </w:rPr>
            </w:pPr>
            <w:r>
              <w:rPr>
                <w:rFonts w:hint="eastAsia"/>
                <w:sz w:val="22"/>
                <w:szCs w:val="22"/>
              </w:rPr>
              <w:t>本方案将</w:t>
            </w:r>
            <w:r>
              <w:rPr>
                <w:rFonts w:hint="eastAsia"/>
                <w:sz w:val="22"/>
                <w:szCs w:val="22"/>
                <w:lang w:eastAsia="zh-CN"/>
              </w:rPr>
              <w:t>2025年1月</w:t>
            </w:r>
            <w:r>
              <w:rPr>
                <w:rFonts w:hint="eastAsia"/>
                <w:sz w:val="22"/>
                <w:szCs w:val="22"/>
              </w:rPr>
              <w:t>定为土地复垦起始，至</w:t>
            </w:r>
            <w:r>
              <w:rPr>
                <w:rFonts w:hint="eastAsia"/>
                <w:sz w:val="22"/>
                <w:szCs w:val="22"/>
                <w:lang w:eastAsia="zh-CN"/>
              </w:rPr>
              <w:t>202</w:t>
            </w:r>
            <w:r>
              <w:rPr>
                <w:rFonts w:hint="eastAsia"/>
                <w:sz w:val="22"/>
                <w:szCs w:val="22"/>
                <w:lang w:val="en-US" w:eastAsia="zh-CN"/>
              </w:rPr>
              <w:t>7</w:t>
            </w:r>
            <w:r>
              <w:rPr>
                <w:rFonts w:hint="eastAsia"/>
                <w:sz w:val="22"/>
                <w:szCs w:val="22"/>
                <w:lang w:eastAsia="zh-CN"/>
              </w:rPr>
              <w:t>年</w:t>
            </w:r>
            <w:r>
              <w:rPr>
                <w:rFonts w:hint="eastAsia"/>
                <w:sz w:val="22"/>
                <w:szCs w:val="22"/>
                <w:lang w:val="en-US" w:eastAsia="zh-CN"/>
              </w:rPr>
              <w:t>12</w:t>
            </w:r>
            <w:r>
              <w:rPr>
                <w:rFonts w:hint="eastAsia"/>
                <w:sz w:val="22"/>
                <w:szCs w:val="22"/>
                <w:lang w:eastAsia="zh-CN"/>
              </w:rPr>
              <w:t>月</w:t>
            </w:r>
            <w:r>
              <w:rPr>
                <w:rFonts w:hint="eastAsia"/>
                <w:sz w:val="22"/>
                <w:szCs w:val="22"/>
              </w:rPr>
              <w:t>复垦完毕，服务年限共</w:t>
            </w:r>
            <w:r>
              <w:rPr>
                <w:rFonts w:hint="eastAsia"/>
                <w:sz w:val="22"/>
                <w:szCs w:val="22"/>
                <w:lang w:val="en-US" w:eastAsia="zh-CN"/>
              </w:rPr>
              <w:t>3</w:t>
            </w:r>
            <w:r>
              <w:rPr>
                <w:rFonts w:hint="eastAsia"/>
                <w:sz w:val="22"/>
                <w:szCs w:val="22"/>
              </w:rPr>
              <w:t>年。根据项目损毁土地用地类型、生产工艺流程和建设特点等对本项目复垦工程进行安排，由于本方案</w:t>
            </w:r>
            <w:r>
              <w:rPr>
                <w:rFonts w:hint="eastAsia"/>
                <w:sz w:val="22"/>
                <w:szCs w:val="22"/>
                <w:lang w:val="en-US" w:eastAsia="zh-CN"/>
              </w:rPr>
              <w:t>需</w:t>
            </w:r>
            <w:r>
              <w:rPr>
                <w:rFonts w:hint="eastAsia"/>
                <w:sz w:val="22"/>
                <w:szCs w:val="22"/>
              </w:rPr>
              <w:t>设置管护期，因此划分</w:t>
            </w:r>
            <w:r>
              <w:rPr>
                <w:rFonts w:hint="eastAsia"/>
                <w:sz w:val="22"/>
                <w:szCs w:val="22"/>
                <w:lang w:val="en-US" w:eastAsia="zh-CN"/>
              </w:rPr>
              <w:t>2</w:t>
            </w:r>
            <w:r>
              <w:rPr>
                <w:rFonts w:hint="eastAsia"/>
                <w:sz w:val="22"/>
                <w:szCs w:val="22"/>
              </w:rPr>
              <w:t>个阶段，具体如下：</w:t>
            </w:r>
          </w:p>
          <w:p w14:paraId="440C424F">
            <w:pPr>
              <w:bidi w:val="0"/>
              <w:rPr>
                <w:sz w:val="22"/>
                <w:szCs w:val="22"/>
              </w:rPr>
            </w:pPr>
            <w:r>
              <w:rPr>
                <w:rFonts w:hint="eastAsia"/>
                <w:sz w:val="22"/>
                <w:szCs w:val="22"/>
                <w:lang w:eastAsia="zh-CN"/>
              </w:rPr>
              <w:t>2025年1月</w:t>
            </w:r>
            <w:r>
              <w:rPr>
                <w:rFonts w:hint="eastAsia"/>
                <w:sz w:val="22"/>
                <w:szCs w:val="22"/>
              </w:rPr>
              <w:t>-</w:t>
            </w:r>
            <w:r>
              <w:rPr>
                <w:rFonts w:hint="eastAsia"/>
                <w:sz w:val="22"/>
                <w:szCs w:val="22"/>
                <w:lang w:eastAsia="zh-CN"/>
              </w:rPr>
              <w:t>2026年12月</w:t>
            </w:r>
            <w:r>
              <w:rPr>
                <w:rFonts w:hint="eastAsia"/>
                <w:sz w:val="22"/>
                <w:szCs w:val="22"/>
              </w:rPr>
              <w:t>：对项目建设临时土地的损毁监测，设置</w:t>
            </w:r>
            <w:r>
              <w:rPr>
                <w:rFonts w:hint="eastAsia"/>
                <w:sz w:val="22"/>
                <w:szCs w:val="22"/>
                <w:lang w:val="en-US" w:eastAsia="zh-CN"/>
              </w:rPr>
              <w:t>2</w:t>
            </w:r>
            <w:r>
              <w:rPr>
                <w:rFonts w:hint="eastAsia"/>
                <w:sz w:val="22"/>
                <w:szCs w:val="22"/>
              </w:rPr>
              <w:t>处监测点，</w:t>
            </w:r>
            <w:r>
              <w:rPr>
                <w:rFonts w:hint="eastAsia"/>
                <w:sz w:val="22"/>
                <w:szCs w:val="22"/>
                <w:lang w:val="en-US" w:eastAsia="zh-CN"/>
              </w:rPr>
              <w:t>监测频率为项目建设期每年2次</w:t>
            </w:r>
            <w:r>
              <w:rPr>
                <w:sz w:val="22"/>
                <w:szCs w:val="22"/>
              </w:rPr>
              <w:t>，监测期限为</w:t>
            </w:r>
            <w:r>
              <w:rPr>
                <w:rFonts w:hint="eastAsia"/>
                <w:sz w:val="22"/>
                <w:szCs w:val="22"/>
                <w:lang w:val="en-US" w:eastAsia="zh-CN"/>
              </w:rPr>
              <w:t>项目建设期2</w:t>
            </w:r>
            <w:r>
              <w:rPr>
                <w:rFonts w:hint="eastAsia"/>
                <w:sz w:val="22"/>
                <w:szCs w:val="22"/>
              </w:rPr>
              <w:t>年。</w:t>
            </w:r>
          </w:p>
          <w:p w14:paraId="0F769DB4">
            <w:pPr>
              <w:bidi w:val="0"/>
              <w:rPr>
                <w:rFonts w:hint="eastAsia"/>
                <w:sz w:val="22"/>
                <w:szCs w:val="22"/>
              </w:rPr>
            </w:pPr>
            <w:r>
              <w:rPr>
                <w:rFonts w:hint="eastAsia"/>
                <w:color w:val="auto"/>
                <w:sz w:val="22"/>
                <w:szCs w:val="22"/>
                <w:lang w:eastAsia="zh-CN"/>
              </w:rPr>
              <w:t>202</w:t>
            </w:r>
            <w:r>
              <w:rPr>
                <w:rFonts w:hint="eastAsia"/>
                <w:color w:val="auto"/>
                <w:sz w:val="22"/>
                <w:szCs w:val="22"/>
                <w:lang w:val="en-US" w:eastAsia="zh-CN"/>
              </w:rPr>
              <w:t>7</w:t>
            </w:r>
            <w:r>
              <w:rPr>
                <w:rFonts w:hint="eastAsia"/>
                <w:color w:val="auto"/>
                <w:sz w:val="22"/>
                <w:szCs w:val="22"/>
                <w:lang w:eastAsia="zh-CN"/>
              </w:rPr>
              <w:t>年</w:t>
            </w:r>
            <w:r>
              <w:rPr>
                <w:rFonts w:hint="eastAsia"/>
                <w:color w:val="auto"/>
                <w:sz w:val="22"/>
                <w:szCs w:val="22"/>
                <w:lang w:val="en-US" w:eastAsia="zh-CN"/>
              </w:rPr>
              <w:t>1</w:t>
            </w:r>
            <w:r>
              <w:rPr>
                <w:rFonts w:hint="eastAsia"/>
                <w:color w:val="auto"/>
                <w:sz w:val="22"/>
                <w:szCs w:val="22"/>
                <w:lang w:eastAsia="zh-CN"/>
              </w:rPr>
              <w:t>月</w:t>
            </w:r>
            <w:r>
              <w:rPr>
                <w:rFonts w:hint="eastAsia"/>
                <w:color w:val="auto"/>
                <w:sz w:val="22"/>
                <w:szCs w:val="22"/>
              </w:rPr>
              <w:t>-</w:t>
            </w:r>
            <w:r>
              <w:rPr>
                <w:rFonts w:hint="eastAsia"/>
                <w:color w:val="auto"/>
                <w:sz w:val="22"/>
                <w:szCs w:val="22"/>
                <w:lang w:eastAsia="zh-CN"/>
              </w:rPr>
              <w:t>202</w:t>
            </w:r>
            <w:r>
              <w:rPr>
                <w:rFonts w:hint="eastAsia"/>
                <w:color w:val="auto"/>
                <w:sz w:val="22"/>
                <w:szCs w:val="22"/>
                <w:lang w:val="en-US" w:eastAsia="zh-CN"/>
              </w:rPr>
              <w:t>7</w:t>
            </w:r>
            <w:r>
              <w:rPr>
                <w:rFonts w:hint="eastAsia"/>
                <w:color w:val="auto"/>
                <w:sz w:val="22"/>
                <w:szCs w:val="22"/>
                <w:lang w:eastAsia="zh-CN"/>
              </w:rPr>
              <w:t>年</w:t>
            </w:r>
            <w:r>
              <w:rPr>
                <w:rFonts w:hint="eastAsia"/>
                <w:color w:val="auto"/>
                <w:sz w:val="22"/>
                <w:szCs w:val="22"/>
                <w:lang w:val="en-US" w:eastAsia="zh-CN"/>
              </w:rPr>
              <w:t>12</w:t>
            </w:r>
            <w:r>
              <w:rPr>
                <w:rFonts w:hint="eastAsia"/>
                <w:color w:val="auto"/>
                <w:sz w:val="22"/>
                <w:szCs w:val="22"/>
                <w:lang w:eastAsia="zh-CN"/>
              </w:rPr>
              <w:t>月</w:t>
            </w:r>
            <w:r>
              <w:rPr>
                <w:rFonts w:hint="eastAsia"/>
                <w:color w:val="auto"/>
                <w:sz w:val="22"/>
                <w:szCs w:val="22"/>
              </w:rPr>
              <w:t>：</w:t>
            </w:r>
            <w:r>
              <w:rPr>
                <w:rFonts w:hint="eastAsia"/>
                <w:sz w:val="22"/>
                <w:szCs w:val="22"/>
              </w:rPr>
              <w:t>主要对项目建设临时损毁的土地采取工程措施进行复垦。</w:t>
            </w:r>
          </w:p>
          <w:p w14:paraId="4EFA2F5A">
            <w:pPr>
              <w:bidi w:val="0"/>
              <w:rPr>
                <w:sz w:val="22"/>
                <w:szCs w:val="22"/>
              </w:rPr>
            </w:pPr>
            <w:r>
              <w:rPr>
                <w:sz w:val="22"/>
                <w:szCs w:val="22"/>
              </w:rPr>
              <w:t>四、土地复垦保障措施</w:t>
            </w:r>
          </w:p>
          <w:p w14:paraId="45BF3333">
            <w:pPr>
              <w:bidi w:val="0"/>
              <w:rPr>
                <w:sz w:val="22"/>
                <w:szCs w:val="22"/>
              </w:rPr>
            </w:pPr>
            <w:r>
              <w:rPr>
                <w:sz w:val="22"/>
                <w:szCs w:val="22"/>
              </w:rPr>
              <w:t>a）加强对复垦后土地的管理，严格执行本复垦方案。</w:t>
            </w:r>
          </w:p>
          <w:p w14:paraId="0FE45F50">
            <w:pPr>
              <w:bidi w:val="0"/>
              <w:rPr>
                <w:sz w:val="22"/>
                <w:szCs w:val="22"/>
              </w:rPr>
            </w:pPr>
            <w:r>
              <w:rPr>
                <w:sz w:val="22"/>
                <w:szCs w:val="22"/>
              </w:rPr>
              <w:t>b）按照方案确定的年度复垦方案逐地块落实，对土地开发复垦实行统一管理。</w:t>
            </w:r>
          </w:p>
          <w:p w14:paraId="7362B394">
            <w:pPr>
              <w:bidi w:val="0"/>
              <w:rPr>
                <w:sz w:val="22"/>
                <w:szCs w:val="22"/>
              </w:rPr>
            </w:pPr>
            <w:r>
              <w:rPr>
                <w:sz w:val="22"/>
                <w:szCs w:val="22"/>
              </w:rPr>
              <w:t>c）保护土地复垦单位的利益，调动土地复垦的积极性。</w:t>
            </w:r>
          </w:p>
          <w:p w14:paraId="27AC7131">
            <w:pPr>
              <w:bidi w:val="0"/>
              <w:rPr>
                <w:sz w:val="22"/>
                <w:szCs w:val="22"/>
              </w:rPr>
            </w:pPr>
            <w:r>
              <w:rPr>
                <w:sz w:val="22"/>
                <w:szCs w:val="22"/>
              </w:rPr>
              <w:t>d）坚持全面规划，综合治理，要治理一片见效一片，不搞半截子工程。在工程建设中严格实行招标制，按照公开、公正、公平的原则，择优选择工程队伍以确保工程质量，降低工程成本，加快工程进度。</w:t>
            </w:r>
          </w:p>
          <w:p w14:paraId="1E7BE886">
            <w:pPr>
              <w:bidi w:val="0"/>
              <w:rPr>
                <w:sz w:val="22"/>
                <w:szCs w:val="22"/>
              </w:rPr>
            </w:pPr>
            <w:r>
              <w:rPr>
                <w:sz w:val="22"/>
                <w:szCs w:val="22"/>
              </w:rPr>
              <w:t>e）对施工单位组织学习、宣传工作，提高工程建设者的土地复垦自觉行动意识。同时应配备土地复垦专业人员，以解决措施实施过程中的技术问题，接受当地主管部门的监督检查。</w:t>
            </w:r>
          </w:p>
          <w:p w14:paraId="683022A5">
            <w:pPr>
              <w:bidi w:val="0"/>
              <w:rPr>
                <w:sz w:val="22"/>
                <w:szCs w:val="22"/>
              </w:rPr>
            </w:pPr>
            <w:r>
              <w:rPr>
                <w:sz w:val="22"/>
                <w:szCs w:val="22"/>
              </w:rPr>
              <w:t>五、技术保证措施</w:t>
            </w:r>
          </w:p>
          <w:p w14:paraId="08D1DD2E">
            <w:pPr>
              <w:bidi w:val="0"/>
              <w:rPr>
                <w:sz w:val="22"/>
                <w:szCs w:val="22"/>
              </w:rPr>
            </w:pPr>
            <w:r>
              <w:rPr>
                <w:sz w:val="22"/>
                <w:szCs w:val="22"/>
              </w:rPr>
              <w:t>针对项目区内土地复垦的方法，经济、合理、可行、达到合理高效利用土地的标准。项目一经批准，项目实施单位必须严格按总体规划执行，并确保资金、人员、机械、技术服务到位，设立专门办公室，具体负责复垦工程的规划指导、监督、检查、组织协调和工程实施，并对其实行目标管理，确保规划设计目标的实现。</w:t>
            </w:r>
          </w:p>
          <w:p w14:paraId="22CBDC82">
            <w:pPr>
              <w:bidi w:val="0"/>
              <w:rPr>
                <w:sz w:val="22"/>
                <w:szCs w:val="22"/>
              </w:rPr>
            </w:pPr>
            <w:r>
              <w:rPr>
                <w:sz w:val="22"/>
                <w:szCs w:val="22"/>
              </w:rPr>
              <w:t>为便于土地复垦方案实施和管理，应将土地复垦方案设计资料及图表、年度施工进度、年度经费使用等技术经济指标、效益指标以及检查验收的全部文件、报告、图表等资料归档，为土地复垦措施施工和土地复垦的管理提供充分的依据。</w:t>
            </w:r>
          </w:p>
          <w:p w14:paraId="5F75D57E">
            <w:pPr>
              <w:bidi w:val="0"/>
              <w:rPr>
                <w:sz w:val="22"/>
                <w:szCs w:val="22"/>
              </w:rPr>
            </w:pPr>
            <w:r>
              <w:rPr>
                <w:sz w:val="22"/>
                <w:szCs w:val="22"/>
              </w:rPr>
              <w:t>六、资金来源和管理使用办法</w:t>
            </w:r>
          </w:p>
          <w:p w14:paraId="4CE30028">
            <w:pPr>
              <w:bidi w:val="0"/>
              <w:rPr>
                <w:sz w:val="22"/>
                <w:szCs w:val="22"/>
              </w:rPr>
            </w:pPr>
            <w:r>
              <w:rPr>
                <w:sz w:val="22"/>
                <w:szCs w:val="22"/>
              </w:rPr>
              <w:t>工程建设中的各项土地复垦措施所需资金均来源于工程建设投资中，列入工程建设的总体安排和年度计划中，按方案有计划、有</w:t>
            </w:r>
            <w:r>
              <w:rPr>
                <w:rFonts w:hint="eastAsia"/>
                <w:sz w:val="22"/>
                <w:szCs w:val="22"/>
                <w:lang w:eastAsia="zh-CN"/>
              </w:rPr>
              <w:t>组织地实施</w:t>
            </w:r>
            <w:r>
              <w:rPr>
                <w:sz w:val="22"/>
                <w:szCs w:val="22"/>
              </w:rPr>
              <w:t>。</w:t>
            </w:r>
          </w:p>
          <w:p w14:paraId="53384A2A">
            <w:pPr>
              <w:bidi w:val="0"/>
              <w:rPr>
                <w:szCs w:val="21"/>
              </w:rPr>
            </w:pPr>
            <w:r>
              <w:rPr>
                <w:sz w:val="22"/>
                <w:szCs w:val="22"/>
              </w:rPr>
              <w:t>土地复垦实施过程中要完善土地复垦资金管理办法，确保复垦资金足额到位安全有效；设立专门</w:t>
            </w:r>
            <w:r>
              <w:rPr>
                <w:rFonts w:hint="eastAsia"/>
                <w:sz w:val="22"/>
                <w:szCs w:val="22"/>
                <w:lang w:eastAsia="zh-CN"/>
              </w:rPr>
              <w:t>账户</w:t>
            </w:r>
            <w:r>
              <w:rPr>
                <w:sz w:val="22"/>
                <w:szCs w:val="22"/>
              </w:rPr>
              <w:t>，专款专用。国家和自治区补贴资金、政策性减免资金要统一管理，各有关部门政策性减免资金必须存入财政专户，统一调动，确保资金全部用于土地复垦工程之中。审计部门要定期和不定期地对资金的运作进行审计监督，确保方案顺利实施。</w:t>
            </w:r>
          </w:p>
        </w:tc>
      </w:tr>
      <w:tr w14:paraId="61D2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restart"/>
            <w:vAlign w:val="center"/>
          </w:tcPr>
          <w:p w14:paraId="7254C683">
            <w:pPr>
              <w:pStyle w:val="100"/>
              <w:bidi w:val="0"/>
              <w:rPr>
                <w:sz w:val="21"/>
                <w:szCs w:val="21"/>
              </w:rPr>
            </w:pPr>
            <w:r>
              <w:rPr>
                <w:sz w:val="21"/>
                <w:szCs w:val="21"/>
              </w:rPr>
              <w:t>投资估算</w:t>
            </w:r>
          </w:p>
        </w:tc>
        <w:tc>
          <w:tcPr>
            <w:tcW w:w="224" w:type="pct"/>
            <w:gridSpan w:val="2"/>
            <w:vAlign w:val="center"/>
          </w:tcPr>
          <w:p w14:paraId="53CC9C2E">
            <w:pPr>
              <w:pStyle w:val="100"/>
              <w:bidi w:val="0"/>
              <w:jc w:val="left"/>
              <w:rPr>
                <w:sz w:val="21"/>
                <w:szCs w:val="21"/>
              </w:rPr>
            </w:pPr>
            <w:r>
              <w:rPr>
                <w:sz w:val="21"/>
                <w:szCs w:val="21"/>
              </w:rPr>
              <w:t>测</w:t>
            </w:r>
          </w:p>
          <w:p w14:paraId="3FBCC56B">
            <w:pPr>
              <w:pStyle w:val="100"/>
              <w:bidi w:val="0"/>
              <w:jc w:val="left"/>
              <w:rPr>
                <w:sz w:val="21"/>
                <w:szCs w:val="21"/>
              </w:rPr>
            </w:pPr>
            <w:r>
              <w:rPr>
                <w:sz w:val="21"/>
                <w:szCs w:val="21"/>
              </w:rPr>
              <w:t>算</w:t>
            </w:r>
          </w:p>
          <w:p w14:paraId="11CAF2FC">
            <w:pPr>
              <w:pStyle w:val="100"/>
              <w:bidi w:val="0"/>
              <w:jc w:val="left"/>
              <w:rPr>
                <w:sz w:val="21"/>
                <w:szCs w:val="21"/>
              </w:rPr>
            </w:pPr>
            <w:r>
              <w:rPr>
                <w:sz w:val="21"/>
                <w:szCs w:val="21"/>
              </w:rPr>
              <w:t>依</w:t>
            </w:r>
          </w:p>
          <w:p w14:paraId="63CBD47B">
            <w:pPr>
              <w:pStyle w:val="100"/>
              <w:bidi w:val="0"/>
              <w:jc w:val="left"/>
              <w:rPr>
                <w:sz w:val="21"/>
                <w:szCs w:val="21"/>
              </w:rPr>
            </w:pPr>
            <w:r>
              <w:rPr>
                <w:sz w:val="21"/>
                <w:szCs w:val="21"/>
              </w:rPr>
              <w:t>据</w:t>
            </w:r>
          </w:p>
        </w:tc>
        <w:tc>
          <w:tcPr>
            <w:tcW w:w="4550" w:type="pct"/>
            <w:gridSpan w:val="11"/>
          </w:tcPr>
          <w:p w14:paraId="251A76C1">
            <w:pPr>
              <w:bidi w:val="0"/>
              <w:rPr>
                <w:sz w:val="22"/>
                <w:szCs w:val="22"/>
              </w:rPr>
            </w:pPr>
            <w:r>
              <w:rPr>
                <w:sz w:val="22"/>
                <w:szCs w:val="22"/>
              </w:rPr>
              <w:t>a）《土地复垦方案编制规程》（TD/T1031.1–2011）；</w:t>
            </w:r>
          </w:p>
          <w:p w14:paraId="4F0BC0A2">
            <w:pPr>
              <w:bidi w:val="0"/>
              <w:rPr>
                <w:sz w:val="22"/>
                <w:szCs w:val="22"/>
              </w:rPr>
            </w:pPr>
            <w:r>
              <w:rPr>
                <w:sz w:val="22"/>
                <w:szCs w:val="22"/>
              </w:rPr>
              <w:t>b） 国土资源部土地整理中心《土地复垦方案编制实务》（2011年）；</w:t>
            </w:r>
          </w:p>
          <w:p w14:paraId="4A9E1B7D">
            <w:pPr>
              <w:bidi w:val="0"/>
              <w:rPr>
                <w:sz w:val="22"/>
                <w:szCs w:val="22"/>
              </w:rPr>
            </w:pPr>
            <w:r>
              <w:rPr>
                <w:sz w:val="22"/>
                <w:szCs w:val="22"/>
              </w:rPr>
              <w:t>c）《土地开发整理项目规划设计规范》（TD/T1012–2000）；</w:t>
            </w:r>
          </w:p>
          <w:p w14:paraId="39A392D1">
            <w:pPr>
              <w:bidi w:val="0"/>
              <w:rPr>
                <w:sz w:val="22"/>
                <w:szCs w:val="22"/>
              </w:rPr>
            </w:pPr>
            <w:r>
              <w:rPr>
                <w:sz w:val="22"/>
                <w:szCs w:val="22"/>
              </w:rPr>
              <w:t>d）《财政部、国土资源部关于印发土地开发整理项目预算定额标准的通知》 财综〔2011〕128号；</w:t>
            </w:r>
          </w:p>
          <w:p w14:paraId="4DF29ECF">
            <w:pPr>
              <w:bidi w:val="0"/>
              <w:rPr>
                <w:sz w:val="22"/>
                <w:szCs w:val="22"/>
              </w:rPr>
            </w:pPr>
            <w:r>
              <w:rPr>
                <w:sz w:val="22"/>
                <w:szCs w:val="22"/>
              </w:rPr>
              <w:t>e）《土地开发整理项目预算定额标准》（2012版）</w:t>
            </w:r>
          </w:p>
          <w:p w14:paraId="6EA0B3AB">
            <w:pPr>
              <w:bidi w:val="0"/>
              <w:rPr>
                <w:sz w:val="22"/>
                <w:szCs w:val="22"/>
              </w:rPr>
            </w:pPr>
            <w:r>
              <w:rPr>
                <w:sz w:val="22"/>
                <w:szCs w:val="22"/>
              </w:rPr>
              <w:t>f）《建设工程监理与相关服务收费管理规定》发改价格〔2007〕670号；</w:t>
            </w:r>
          </w:p>
          <w:p w14:paraId="258A05E1">
            <w:pPr>
              <w:bidi w:val="0"/>
              <w:rPr>
                <w:sz w:val="22"/>
                <w:szCs w:val="22"/>
              </w:rPr>
            </w:pPr>
            <w:r>
              <w:rPr>
                <w:sz w:val="22"/>
                <w:szCs w:val="22"/>
              </w:rPr>
              <w:t>g）水利部《开发建设项目水土保持工程概（估）算编制规定》（2003年）；</w:t>
            </w:r>
          </w:p>
          <w:p w14:paraId="79D21174">
            <w:pPr>
              <w:bidi w:val="0"/>
              <w:rPr>
                <w:sz w:val="22"/>
                <w:szCs w:val="22"/>
              </w:rPr>
            </w:pPr>
            <w:r>
              <w:rPr>
                <w:sz w:val="22"/>
                <w:szCs w:val="22"/>
              </w:rPr>
              <w:t>h）《水土保持工程概算定额》水利部水总〔2003〕67号；</w:t>
            </w:r>
          </w:p>
          <w:p w14:paraId="04AA39E3">
            <w:pPr>
              <w:bidi w:val="0"/>
              <w:rPr>
                <w:sz w:val="22"/>
                <w:szCs w:val="22"/>
              </w:rPr>
            </w:pPr>
            <w:r>
              <w:rPr>
                <w:sz w:val="22"/>
                <w:szCs w:val="22"/>
              </w:rPr>
              <w:t>i）《关于加强基本建设大中型项目概算中“价差预备费”管理的有关通知》（计投资﹝1999﹞1340号）；</w:t>
            </w:r>
          </w:p>
          <w:p w14:paraId="36D03E34">
            <w:pPr>
              <w:bidi w:val="0"/>
              <w:rPr>
                <w:sz w:val="22"/>
                <w:szCs w:val="22"/>
              </w:rPr>
            </w:pPr>
            <w:r>
              <w:rPr>
                <w:sz w:val="22"/>
                <w:szCs w:val="22"/>
              </w:rPr>
              <w:t>j）《关于调整我区建设工程计价依据增值税税率的通知》（新建标〔2019〕4号）；</w:t>
            </w:r>
          </w:p>
          <w:p w14:paraId="682F7AFE">
            <w:pPr>
              <w:bidi w:val="0"/>
              <w:rPr>
                <w:sz w:val="22"/>
                <w:szCs w:val="22"/>
              </w:rPr>
            </w:pPr>
            <w:r>
              <w:rPr>
                <w:sz w:val="22"/>
                <w:szCs w:val="22"/>
              </w:rPr>
              <w:t>k）《新疆水利水电工程设计概（估）预算编制规定》新水建管〔2005〕108号；</w:t>
            </w:r>
          </w:p>
          <w:p w14:paraId="6600FB9F">
            <w:pPr>
              <w:bidi w:val="0"/>
              <w:rPr>
                <w:sz w:val="22"/>
                <w:szCs w:val="22"/>
              </w:rPr>
            </w:pPr>
            <w:r>
              <w:rPr>
                <w:sz w:val="22"/>
                <w:szCs w:val="22"/>
              </w:rPr>
              <w:t>l）《新疆维吾尔自治区公路工程基本建设项目概算预算编制办法补充规定》（新交造价）〔2008〕2 号）；</w:t>
            </w:r>
          </w:p>
          <w:p w14:paraId="6F095433">
            <w:pPr>
              <w:bidi w:val="0"/>
              <w:rPr>
                <w:sz w:val="22"/>
                <w:szCs w:val="22"/>
              </w:rPr>
            </w:pPr>
            <w:r>
              <w:rPr>
                <w:sz w:val="22"/>
                <w:szCs w:val="22"/>
              </w:rPr>
              <w:t>m）新疆维吾尔自治区工程造价信息网发布材料价格信息以及市场价格。</w:t>
            </w:r>
          </w:p>
        </w:tc>
      </w:tr>
      <w:tr w14:paraId="1D1C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30684967">
            <w:pPr>
              <w:pStyle w:val="100"/>
              <w:bidi w:val="0"/>
              <w:rPr>
                <w:sz w:val="21"/>
                <w:szCs w:val="21"/>
              </w:rPr>
            </w:pPr>
          </w:p>
        </w:tc>
        <w:tc>
          <w:tcPr>
            <w:tcW w:w="224" w:type="pct"/>
            <w:gridSpan w:val="2"/>
            <w:vMerge w:val="restart"/>
            <w:vAlign w:val="center"/>
          </w:tcPr>
          <w:p w14:paraId="6C7D0FA9">
            <w:pPr>
              <w:pStyle w:val="100"/>
              <w:bidi w:val="0"/>
              <w:rPr>
                <w:sz w:val="21"/>
                <w:szCs w:val="21"/>
              </w:rPr>
            </w:pPr>
            <w:r>
              <w:rPr>
                <w:sz w:val="21"/>
                <w:szCs w:val="21"/>
              </w:rPr>
              <w:t>费用构成</w:t>
            </w:r>
          </w:p>
        </w:tc>
        <w:tc>
          <w:tcPr>
            <w:tcW w:w="995" w:type="pct"/>
            <w:gridSpan w:val="3"/>
            <w:vMerge w:val="restart"/>
            <w:vAlign w:val="center"/>
          </w:tcPr>
          <w:p w14:paraId="37AF6A91">
            <w:pPr>
              <w:pStyle w:val="100"/>
              <w:bidi w:val="0"/>
              <w:rPr>
                <w:sz w:val="21"/>
                <w:szCs w:val="21"/>
              </w:rPr>
            </w:pPr>
            <w:r>
              <w:rPr>
                <w:rFonts w:hint="eastAsia"/>
                <w:sz w:val="21"/>
                <w:szCs w:val="21"/>
              </w:rPr>
              <w:t>序号</w:t>
            </w:r>
          </w:p>
        </w:tc>
        <w:tc>
          <w:tcPr>
            <w:tcW w:w="1305" w:type="pct"/>
            <w:gridSpan w:val="3"/>
            <w:vMerge w:val="restart"/>
            <w:vAlign w:val="center"/>
          </w:tcPr>
          <w:p w14:paraId="73656C1D">
            <w:pPr>
              <w:pStyle w:val="100"/>
              <w:bidi w:val="0"/>
              <w:rPr>
                <w:sz w:val="21"/>
                <w:szCs w:val="21"/>
              </w:rPr>
            </w:pPr>
            <w:r>
              <w:rPr>
                <w:rFonts w:hint="eastAsia"/>
                <w:sz w:val="21"/>
                <w:szCs w:val="21"/>
              </w:rPr>
              <w:t>工程或费用名称</w:t>
            </w:r>
          </w:p>
        </w:tc>
        <w:tc>
          <w:tcPr>
            <w:tcW w:w="1185" w:type="pct"/>
            <w:gridSpan w:val="3"/>
            <w:vAlign w:val="center"/>
          </w:tcPr>
          <w:p w14:paraId="3D9E084E">
            <w:pPr>
              <w:pStyle w:val="100"/>
              <w:bidi w:val="0"/>
              <w:rPr>
                <w:sz w:val="21"/>
                <w:szCs w:val="21"/>
              </w:rPr>
            </w:pPr>
            <w:r>
              <w:rPr>
                <w:rFonts w:hint="eastAsia"/>
                <w:sz w:val="21"/>
                <w:szCs w:val="21"/>
              </w:rPr>
              <w:t>预算费用</w:t>
            </w:r>
          </w:p>
        </w:tc>
        <w:tc>
          <w:tcPr>
            <w:tcW w:w="1063" w:type="pct"/>
            <w:gridSpan w:val="2"/>
            <w:vAlign w:val="center"/>
          </w:tcPr>
          <w:p w14:paraId="1425D12D">
            <w:pPr>
              <w:pStyle w:val="100"/>
              <w:bidi w:val="0"/>
              <w:rPr>
                <w:sz w:val="21"/>
                <w:szCs w:val="21"/>
              </w:rPr>
            </w:pPr>
            <w:r>
              <w:rPr>
                <w:rFonts w:hint="eastAsia"/>
                <w:sz w:val="21"/>
                <w:szCs w:val="21"/>
              </w:rPr>
              <w:t>费率</w:t>
            </w:r>
          </w:p>
        </w:tc>
      </w:tr>
      <w:tr w14:paraId="7E71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7C95BC7A">
            <w:pPr>
              <w:pStyle w:val="100"/>
              <w:bidi w:val="0"/>
              <w:rPr>
                <w:sz w:val="21"/>
                <w:szCs w:val="21"/>
              </w:rPr>
            </w:pPr>
          </w:p>
        </w:tc>
        <w:tc>
          <w:tcPr>
            <w:tcW w:w="224" w:type="pct"/>
            <w:gridSpan w:val="2"/>
            <w:vMerge w:val="continue"/>
            <w:vAlign w:val="center"/>
          </w:tcPr>
          <w:p w14:paraId="29DCB31F">
            <w:pPr>
              <w:pStyle w:val="100"/>
              <w:bidi w:val="0"/>
              <w:rPr>
                <w:sz w:val="21"/>
                <w:szCs w:val="21"/>
              </w:rPr>
            </w:pPr>
          </w:p>
        </w:tc>
        <w:tc>
          <w:tcPr>
            <w:tcW w:w="995" w:type="pct"/>
            <w:gridSpan w:val="3"/>
            <w:vMerge w:val="continue"/>
            <w:vAlign w:val="center"/>
          </w:tcPr>
          <w:p w14:paraId="05F34FDA">
            <w:pPr>
              <w:pStyle w:val="100"/>
              <w:bidi w:val="0"/>
              <w:rPr>
                <w:sz w:val="21"/>
                <w:szCs w:val="21"/>
              </w:rPr>
            </w:pPr>
          </w:p>
        </w:tc>
        <w:tc>
          <w:tcPr>
            <w:tcW w:w="1305" w:type="pct"/>
            <w:gridSpan w:val="3"/>
            <w:vMerge w:val="continue"/>
            <w:vAlign w:val="center"/>
          </w:tcPr>
          <w:p w14:paraId="46CF7B1A">
            <w:pPr>
              <w:pStyle w:val="100"/>
              <w:bidi w:val="0"/>
              <w:rPr>
                <w:sz w:val="21"/>
                <w:szCs w:val="21"/>
              </w:rPr>
            </w:pPr>
          </w:p>
        </w:tc>
        <w:tc>
          <w:tcPr>
            <w:tcW w:w="1185" w:type="pct"/>
            <w:gridSpan w:val="3"/>
            <w:vAlign w:val="center"/>
          </w:tcPr>
          <w:p w14:paraId="4A5CB0F4">
            <w:pPr>
              <w:pStyle w:val="100"/>
              <w:bidi w:val="0"/>
              <w:rPr>
                <w:sz w:val="21"/>
                <w:szCs w:val="21"/>
              </w:rPr>
            </w:pPr>
            <w:r>
              <w:rPr>
                <w:rFonts w:hint="eastAsia"/>
                <w:sz w:val="21"/>
                <w:szCs w:val="21"/>
              </w:rPr>
              <w:t>万元</w:t>
            </w:r>
          </w:p>
        </w:tc>
        <w:tc>
          <w:tcPr>
            <w:tcW w:w="1063" w:type="pct"/>
            <w:gridSpan w:val="2"/>
            <w:vAlign w:val="center"/>
          </w:tcPr>
          <w:p w14:paraId="59E95288">
            <w:pPr>
              <w:pStyle w:val="100"/>
              <w:bidi w:val="0"/>
              <w:rPr>
                <w:sz w:val="21"/>
                <w:szCs w:val="21"/>
              </w:rPr>
            </w:pPr>
            <w:r>
              <w:rPr>
                <w:sz w:val="21"/>
                <w:szCs w:val="21"/>
              </w:rPr>
              <w:t>%</w:t>
            </w:r>
          </w:p>
        </w:tc>
      </w:tr>
      <w:tr w14:paraId="1D5D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0A643EDE">
            <w:pPr>
              <w:pStyle w:val="100"/>
              <w:bidi w:val="0"/>
              <w:rPr>
                <w:sz w:val="21"/>
                <w:szCs w:val="21"/>
              </w:rPr>
            </w:pPr>
          </w:p>
        </w:tc>
        <w:tc>
          <w:tcPr>
            <w:tcW w:w="224" w:type="pct"/>
            <w:gridSpan w:val="2"/>
            <w:vMerge w:val="continue"/>
            <w:vAlign w:val="center"/>
          </w:tcPr>
          <w:p w14:paraId="465D8F74">
            <w:pPr>
              <w:pStyle w:val="100"/>
              <w:bidi w:val="0"/>
              <w:rPr>
                <w:sz w:val="21"/>
                <w:szCs w:val="21"/>
              </w:rPr>
            </w:pPr>
          </w:p>
        </w:tc>
        <w:tc>
          <w:tcPr>
            <w:tcW w:w="995" w:type="pct"/>
            <w:gridSpan w:val="3"/>
            <w:vAlign w:val="center"/>
          </w:tcPr>
          <w:p w14:paraId="53842023">
            <w:pPr>
              <w:pStyle w:val="100"/>
              <w:bidi w:val="0"/>
              <w:rPr>
                <w:sz w:val="21"/>
                <w:szCs w:val="21"/>
              </w:rPr>
            </w:pPr>
            <w:r>
              <w:rPr>
                <w:sz w:val="21"/>
                <w:szCs w:val="21"/>
              </w:rPr>
              <w:t>一</w:t>
            </w:r>
          </w:p>
        </w:tc>
        <w:tc>
          <w:tcPr>
            <w:tcW w:w="1305" w:type="pct"/>
            <w:gridSpan w:val="3"/>
            <w:vAlign w:val="center"/>
          </w:tcPr>
          <w:p w14:paraId="3B9C501D">
            <w:pPr>
              <w:pStyle w:val="100"/>
              <w:bidi w:val="0"/>
              <w:rPr>
                <w:sz w:val="21"/>
                <w:szCs w:val="21"/>
              </w:rPr>
            </w:pPr>
            <w:r>
              <w:rPr>
                <w:sz w:val="21"/>
                <w:szCs w:val="21"/>
              </w:rPr>
              <w:t>工程施工费</w:t>
            </w:r>
          </w:p>
        </w:tc>
        <w:tc>
          <w:tcPr>
            <w:tcW w:w="1185" w:type="pct"/>
            <w:gridSpan w:val="3"/>
            <w:vAlign w:val="center"/>
          </w:tcPr>
          <w:p w14:paraId="3E87D544">
            <w:pPr>
              <w:pStyle w:val="100"/>
              <w:bidi w:val="0"/>
              <w:rPr>
                <w:rFonts w:hint="default"/>
                <w:lang w:val="en-US"/>
              </w:rPr>
            </w:pPr>
            <w:r>
              <w:rPr>
                <w:rFonts w:hint="default"/>
                <w:lang w:val="en-US" w:eastAsia="zh-CN"/>
              </w:rPr>
              <w:t xml:space="preserve">2.7774 </w:t>
            </w:r>
          </w:p>
        </w:tc>
        <w:tc>
          <w:tcPr>
            <w:tcW w:w="1063" w:type="pct"/>
            <w:gridSpan w:val="2"/>
            <w:vAlign w:val="center"/>
          </w:tcPr>
          <w:p w14:paraId="4612F1FC">
            <w:pPr>
              <w:pStyle w:val="100"/>
              <w:bidi w:val="0"/>
              <w:rPr>
                <w:rFonts w:hint="default"/>
                <w:lang w:val="en-US"/>
              </w:rPr>
            </w:pPr>
            <w:r>
              <w:rPr>
                <w:rFonts w:hint="default"/>
                <w:lang w:val="en-US" w:eastAsia="zh-CN"/>
              </w:rPr>
              <w:t>77.49</w:t>
            </w:r>
          </w:p>
        </w:tc>
      </w:tr>
      <w:tr w14:paraId="0F1E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6D622F6F">
            <w:pPr>
              <w:pStyle w:val="100"/>
              <w:bidi w:val="0"/>
              <w:rPr>
                <w:sz w:val="21"/>
                <w:szCs w:val="21"/>
              </w:rPr>
            </w:pPr>
          </w:p>
        </w:tc>
        <w:tc>
          <w:tcPr>
            <w:tcW w:w="224" w:type="pct"/>
            <w:gridSpan w:val="2"/>
            <w:vMerge w:val="continue"/>
            <w:vAlign w:val="center"/>
          </w:tcPr>
          <w:p w14:paraId="12720373">
            <w:pPr>
              <w:pStyle w:val="100"/>
              <w:bidi w:val="0"/>
              <w:rPr>
                <w:sz w:val="21"/>
                <w:szCs w:val="21"/>
              </w:rPr>
            </w:pPr>
          </w:p>
        </w:tc>
        <w:tc>
          <w:tcPr>
            <w:tcW w:w="995" w:type="pct"/>
            <w:gridSpan w:val="3"/>
            <w:vAlign w:val="center"/>
          </w:tcPr>
          <w:p w14:paraId="7D80617C">
            <w:pPr>
              <w:pStyle w:val="100"/>
              <w:bidi w:val="0"/>
              <w:rPr>
                <w:sz w:val="21"/>
                <w:szCs w:val="21"/>
              </w:rPr>
            </w:pPr>
            <w:r>
              <w:rPr>
                <w:sz w:val="21"/>
                <w:szCs w:val="21"/>
              </w:rPr>
              <w:t>二</w:t>
            </w:r>
          </w:p>
        </w:tc>
        <w:tc>
          <w:tcPr>
            <w:tcW w:w="1305" w:type="pct"/>
            <w:gridSpan w:val="3"/>
            <w:vAlign w:val="center"/>
          </w:tcPr>
          <w:p w14:paraId="50E37B64">
            <w:pPr>
              <w:pStyle w:val="100"/>
              <w:bidi w:val="0"/>
              <w:rPr>
                <w:sz w:val="21"/>
                <w:szCs w:val="21"/>
              </w:rPr>
            </w:pPr>
            <w:r>
              <w:rPr>
                <w:sz w:val="21"/>
                <w:szCs w:val="21"/>
              </w:rPr>
              <w:t>设备费</w:t>
            </w:r>
          </w:p>
        </w:tc>
        <w:tc>
          <w:tcPr>
            <w:tcW w:w="1185" w:type="pct"/>
            <w:gridSpan w:val="3"/>
            <w:vAlign w:val="center"/>
          </w:tcPr>
          <w:p w14:paraId="2DC4D378">
            <w:pPr>
              <w:pStyle w:val="100"/>
              <w:bidi w:val="0"/>
            </w:pPr>
            <w:r>
              <w:rPr>
                <w:rFonts w:hint="default"/>
                <w:lang w:val="en-US" w:eastAsia="zh-CN"/>
              </w:rPr>
              <w:t xml:space="preserve">0.3918 </w:t>
            </w:r>
          </w:p>
        </w:tc>
        <w:tc>
          <w:tcPr>
            <w:tcW w:w="1063" w:type="pct"/>
            <w:gridSpan w:val="2"/>
            <w:vAlign w:val="center"/>
          </w:tcPr>
          <w:p w14:paraId="144CF14C">
            <w:pPr>
              <w:pStyle w:val="100"/>
              <w:bidi w:val="0"/>
            </w:pPr>
            <w:r>
              <w:rPr>
                <w:rFonts w:hint="default"/>
                <w:lang w:val="en-US" w:eastAsia="zh-CN"/>
              </w:rPr>
              <w:t>10.93</w:t>
            </w:r>
          </w:p>
        </w:tc>
      </w:tr>
      <w:tr w14:paraId="7EB9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0789611F">
            <w:pPr>
              <w:pStyle w:val="100"/>
              <w:bidi w:val="0"/>
              <w:rPr>
                <w:sz w:val="21"/>
                <w:szCs w:val="21"/>
              </w:rPr>
            </w:pPr>
          </w:p>
        </w:tc>
        <w:tc>
          <w:tcPr>
            <w:tcW w:w="224" w:type="pct"/>
            <w:gridSpan w:val="2"/>
            <w:vMerge w:val="continue"/>
            <w:vAlign w:val="center"/>
          </w:tcPr>
          <w:p w14:paraId="1A551BED">
            <w:pPr>
              <w:pStyle w:val="100"/>
              <w:bidi w:val="0"/>
              <w:rPr>
                <w:sz w:val="21"/>
                <w:szCs w:val="21"/>
              </w:rPr>
            </w:pPr>
          </w:p>
        </w:tc>
        <w:tc>
          <w:tcPr>
            <w:tcW w:w="995" w:type="pct"/>
            <w:gridSpan w:val="3"/>
            <w:vAlign w:val="center"/>
          </w:tcPr>
          <w:p w14:paraId="70AAFA6D">
            <w:pPr>
              <w:pStyle w:val="100"/>
              <w:bidi w:val="0"/>
              <w:rPr>
                <w:sz w:val="21"/>
                <w:szCs w:val="21"/>
              </w:rPr>
            </w:pPr>
            <w:r>
              <w:rPr>
                <w:sz w:val="21"/>
                <w:szCs w:val="21"/>
              </w:rPr>
              <w:t>三</w:t>
            </w:r>
          </w:p>
        </w:tc>
        <w:tc>
          <w:tcPr>
            <w:tcW w:w="1305" w:type="pct"/>
            <w:gridSpan w:val="3"/>
            <w:vAlign w:val="center"/>
          </w:tcPr>
          <w:p w14:paraId="01A913D4">
            <w:pPr>
              <w:pStyle w:val="100"/>
              <w:bidi w:val="0"/>
              <w:rPr>
                <w:sz w:val="21"/>
                <w:szCs w:val="21"/>
              </w:rPr>
            </w:pPr>
            <w:r>
              <w:rPr>
                <w:sz w:val="21"/>
                <w:szCs w:val="21"/>
              </w:rPr>
              <w:t>其他费用</w:t>
            </w:r>
          </w:p>
        </w:tc>
        <w:tc>
          <w:tcPr>
            <w:tcW w:w="1185" w:type="pct"/>
            <w:gridSpan w:val="3"/>
            <w:vAlign w:val="center"/>
          </w:tcPr>
          <w:p w14:paraId="72CFC380">
            <w:pPr>
              <w:pStyle w:val="100"/>
              <w:bidi w:val="0"/>
              <w:rPr>
                <w:rFonts w:hint="default"/>
                <w:lang w:val="en-US"/>
              </w:rPr>
            </w:pPr>
            <w:r>
              <w:rPr>
                <w:rFonts w:hint="default"/>
                <w:lang w:val="en-US" w:eastAsia="zh-CN"/>
              </w:rPr>
              <w:t xml:space="preserve">0.3200 </w:t>
            </w:r>
          </w:p>
        </w:tc>
        <w:tc>
          <w:tcPr>
            <w:tcW w:w="1063" w:type="pct"/>
            <w:gridSpan w:val="2"/>
            <w:vAlign w:val="center"/>
          </w:tcPr>
          <w:p w14:paraId="113C2A76">
            <w:pPr>
              <w:pStyle w:val="100"/>
              <w:bidi w:val="0"/>
              <w:rPr>
                <w:rFonts w:hint="default"/>
                <w:lang w:val="en-US"/>
              </w:rPr>
            </w:pPr>
            <w:r>
              <w:rPr>
                <w:rFonts w:hint="default"/>
                <w:lang w:val="en-US" w:eastAsia="zh-CN"/>
              </w:rPr>
              <w:t>8.93</w:t>
            </w:r>
          </w:p>
        </w:tc>
      </w:tr>
      <w:tr w14:paraId="19DE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50088B6E">
            <w:pPr>
              <w:pStyle w:val="100"/>
              <w:bidi w:val="0"/>
              <w:rPr>
                <w:sz w:val="21"/>
                <w:szCs w:val="21"/>
              </w:rPr>
            </w:pPr>
          </w:p>
        </w:tc>
        <w:tc>
          <w:tcPr>
            <w:tcW w:w="224" w:type="pct"/>
            <w:gridSpan w:val="2"/>
            <w:vMerge w:val="continue"/>
            <w:vAlign w:val="center"/>
          </w:tcPr>
          <w:p w14:paraId="4208D703">
            <w:pPr>
              <w:pStyle w:val="100"/>
              <w:bidi w:val="0"/>
              <w:rPr>
                <w:sz w:val="21"/>
                <w:szCs w:val="21"/>
              </w:rPr>
            </w:pPr>
          </w:p>
        </w:tc>
        <w:tc>
          <w:tcPr>
            <w:tcW w:w="995" w:type="pct"/>
            <w:gridSpan w:val="3"/>
            <w:vAlign w:val="center"/>
          </w:tcPr>
          <w:p w14:paraId="1BE3B3F0">
            <w:pPr>
              <w:pStyle w:val="100"/>
              <w:bidi w:val="0"/>
              <w:rPr>
                <w:sz w:val="21"/>
                <w:szCs w:val="21"/>
              </w:rPr>
            </w:pPr>
            <w:r>
              <w:rPr>
                <w:sz w:val="21"/>
                <w:szCs w:val="21"/>
              </w:rPr>
              <w:t>四</w:t>
            </w:r>
          </w:p>
        </w:tc>
        <w:tc>
          <w:tcPr>
            <w:tcW w:w="1305" w:type="pct"/>
            <w:gridSpan w:val="3"/>
            <w:vAlign w:val="center"/>
          </w:tcPr>
          <w:p w14:paraId="785BCF77">
            <w:pPr>
              <w:pStyle w:val="100"/>
              <w:bidi w:val="0"/>
              <w:rPr>
                <w:sz w:val="21"/>
                <w:szCs w:val="21"/>
              </w:rPr>
            </w:pPr>
            <w:r>
              <w:rPr>
                <w:sz w:val="21"/>
                <w:szCs w:val="21"/>
              </w:rPr>
              <w:t>监测与管护费</w:t>
            </w:r>
          </w:p>
        </w:tc>
        <w:tc>
          <w:tcPr>
            <w:tcW w:w="1185" w:type="pct"/>
            <w:gridSpan w:val="3"/>
            <w:vAlign w:val="center"/>
          </w:tcPr>
          <w:p w14:paraId="3EAA5991">
            <w:pPr>
              <w:pStyle w:val="100"/>
              <w:bidi w:val="0"/>
            </w:pPr>
            <w:r>
              <w:rPr>
                <w:rFonts w:hint="default"/>
                <w:lang w:val="en-US" w:eastAsia="zh-CN"/>
              </w:rPr>
              <w:t xml:space="preserve">0.3200 </w:t>
            </w:r>
          </w:p>
        </w:tc>
        <w:tc>
          <w:tcPr>
            <w:tcW w:w="1063" w:type="pct"/>
            <w:gridSpan w:val="2"/>
            <w:vAlign w:val="center"/>
          </w:tcPr>
          <w:p w14:paraId="26DE62AE">
            <w:pPr>
              <w:pStyle w:val="100"/>
              <w:bidi w:val="0"/>
              <w:rPr>
                <w:rFonts w:hint="default"/>
                <w:lang w:val="en-US"/>
              </w:rPr>
            </w:pPr>
            <w:r>
              <w:rPr>
                <w:rFonts w:hint="default"/>
                <w:lang w:val="en-US" w:eastAsia="zh-CN"/>
              </w:rPr>
              <w:t>8.93</w:t>
            </w:r>
          </w:p>
        </w:tc>
      </w:tr>
      <w:tr w14:paraId="01BE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71985329">
            <w:pPr>
              <w:pStyle w:val="100"/>
              <w:bidi w:val="0"/>
              <w:rPr>
                <w:sz w:val="21"/>
                <w:szCs w:val="21"/>
              </w:rPr>
            </w:pPr>
          </w:p>
        </w:tc>
        <w:tc>
          <w:tcPr>
            <w:tcW w:w="224" w:type="pct"/>
            <w:gridSpan w:val="2"/>
            <w:vMerge w:val="continue"/>
            <w:vAlign w:val="center"/>
          </w:tcPr>
          <w:p w14:paraId="61B7AC8B">
            <w:pPr>
              <w:pStyle w:val="100"/>
              <w:bidi w:val="0"/>
              <w:rPr>
                <w:sz w:val="21"/>
                <w:szCs w:val="21"/>
              </w:rPr>
            </w:pPr>
          </w:p>
        </w:tc>
        <w:tc>
          <w:tcPr>
            <w:tcW w:w="995" w:type="pct"/>
            <w:gridSpan w:val="3"/>
            <w:vAlign w:val="center"/>
          </w:tcPr>
          <w:p w14:paraId="31E5B075">
            <w:pPr>
              <w:pStyle w:val="100"/>
              <w:bidi w:val="0"/>
              <w:rPr>
                <w:sz w:val="21"/>
                <w:szCs w:val="21"/>
              </w:rPr>
            </w:pPr>
            <w:r>
              <w:rPr>
                <w:sz w:val="21"/>
                <w:szCs w:val="21"/>
              </w:rPr>
              <w:t>（一）</w:t>
            </w:r>
          </w:p>
        </w:tc>
        <w:tc>
          <w:tcPr>
            <w:tcW w:w="1305" w:type="pct"/>
            <w:gridSpan w:val="3"/>
            <w:vAlign w:val="center"/>
          </w:tcPr>
          <w:p w14:paraId="77DBB93A">
            <w:pPr>
              <w:pStyle w:val="100"/>
              <w:bidi w:val="0"/>
              <w:rPr>
                <w:sz w:val="21"/>
                <w:szCs w:val="21"/>
              </w:rPr>
            </w:pPr>
            <w:r>
              <w:rPr>
                <w:sz w:val="21"/>
                <w:szCs w:val="21"/>
              </w:rPr>
              <w:t>复垦监测费</w:t>
            </w:r>
          </w:p>
        </w:tc>
        <w:tc>
          <w:tcPr>
            <w:tcW w:w="1185" w:type="pct"/>
            <w:gridSpan w:val="3"/>
            <w:vAlign w:val="center"/>
          </w:tcPr>
          <w:p w14:paraId="72DF2E1A">
            <w:pPr>
              <w:pStyle w:val="100"/>
              <w:bidi w:val="0"/>
            </w:pPr>
            <w:r>
              <w:rPr>
                <w:rFonts w:hint="default"/>
                <w:lang w:val="en-US" w:eastAsia="zh-CN"/>
              </w:rPr>
              <w:t xml:space="preserve">0.0000 </w:t>
            </w:r>
          </w:p>
        </w:tc>
        <w:tc>
          <w:tcPr>
            <w:tcW w:w="1063" w:type="pct"/>
            <w:gridSpan w:val="2"/>
            <w:vAlign w:val="center"/>
          </w:tcPr>
          <w:p w14:paraId="6FFF886B">
            <w:pPr>
              <w:pStyle w:val="100"/>
              <w:bidi w:val="0"/>
              <w:rPr>
                <w:rFonts w:hint="default"/>
                <w:lang w:val="en-US"/>
              </w:rPr>
            </w:pPr>
            <w:r>
              <w:rPr>
                <w:rFonts w:hint="default"/>
                <w:lang w:val="en-US" w:eastAsia="zh-CN"/>
              </w:rPr>
              <w:t>0.00</w:t>
            </w:r>
          </w:p>
        </w:tc>
      </w:tr>
      <w:tr w14:paraId="5DDD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52D7E08D">
            <w:pPr>
              <w:pStyle w:val="100"/>
              <w:bidi w:val="0"/>
              <w:rPr>
                <w:sz w:val="21"/>
                <w:szCs w:val="21"/>
              </w:rPr>
            </w:pPr>
          </w:p>
        </w:tc>
        <w:tc>
          <w:tcPr>
            <w:tcW w:w="224" w:type="pct"/>
            <w:gridSpan w:val="2"/>
            <w:vMerge w:val="continue"/>
            <w:vAlign w:val="center"/>
          </w:tcPr>
          <w:p w14:paraId="7E34496C">
            <w:pPr>
              <w:pStyle w:val="100"/>
              <w:bidi w:val="0"/>
              <w:rPr>
                <w:sz w:val="21"/>
                <w:szCs w:val="21"/>
              </w:rPr>
            </w:pPr>
          </w:p>
        </w:tc>
        <w:tc>
          <w:tcPr>
            <w:tcW w:w="995" w:type="pct"/>
            <w:gridSpan w:val="3"/>
            <w:vAlign w:val="center"/>
          </w:tcPr>
          <w:p w14:paraId="0845C6CF">
            <w:pPr>
              <w:pStyle w:val="100"/>
              <w:bidi w:val="0"/>
              <w:rPr>
                <w:sz w:val="21"/>
                <w:szCs w:val="21"/>
              </w:rPr>
            </w:pPr>
            <w:r>
              <w:rPr>
                <w:sz w:val="21"/>
                <w:szCs w:val="21"/>
              </w:rPr>
              <w:t>（二）</w:t>
            </w:r>
          </w:p>
        </w:tc>
        <w:tc>
          <w:tcPr>
            <w:tcW w:w="1305" w:type="pct"/>
            <w:gridSpan w:val="3"/>
            <w:vAlign w:val="center"/>
          </w:tcPr>
          <w:p w14:paraId="711F34A1">
            <w:pPr>
              <w:pStyle w:val="100"/>
              <w:bidi w:val="0"/>
              <w:rPr>
                <w:sz w:val="21"/>
                <w:szCs w:val="21"/>
              </w:rPr>
            </w:pPr>
            <w:r>
              <w:rPr>
                <w:sz w:val="21"/>
                <w:szCs w:val="21"/>
              </w:rPr>
              <w:t>管护费</w:t>
            </w:r>
          </w:p>
        </w:tc>
        <w:tc>
          <w:tcPr>
            <w:tcW w:w="1185" w:type="pct"/>
            <w:gridSpan w:val="3"/>
            <w:vAlign w:val="center"/>
          </w:tcPr>
          <w:p w14:paraId="0AA7D3E7">
            <w:pPr>
              <w:pStyle w:val="100"/>
              <w:bidi w:val="0"/>
            </w:pPr>
            <w:r>
              <w:rPr>
                <w:rFonts w:hint="default"/>
                <w:lang w:val="en-US" w:eastAsia="zh-CN"/>
              </w:rPr>
              <w:t xml:space="preserve">0.0951 </w:t>
            </w:r>
          </w:p>
        </w:tc>
        <w:tc>
          <w:tcPr>
            <w:tcW w:w="1063" w:type="pct"/>
            <w:gridSpan w:val="2"/>
            <w:vAlign w:val="center"/>
          </w:tcPr>
          <w:p w14:paraId="35103A3E">
            <w:pPr>
              <w:pStyle w:val="100"/>
              <w:bidi w:val="0"/>
            </w:pPr>
            <w:r>
              <w:rPr>
                <w:rFonts w:hint="default"/>
                <w:lang w:val="en-US" w:eastAsia="zh-CN"/>
              </w:rPr>
              <w:t>2.65</w:t>
            </w:r>
          </w:p>
        </w:tc>
      </w:tr>
      <w:tr w14:paraId="1AFD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0A0382F7">
            <w:pPr>
              <w:pStyle w:val="100"/>
              <w:bidi w:val="0"/>
              <w:rPr>
                <w:sz w:val="21"/>
                <w:szCs w:val="21"/>
              </w:rPr>
            </w:pPr>
          </w:p>
        </w:tc>
        <w:tc>
          <w:tcPr>
            <w:tcW w:w="224" w:type="pct"/>
            <w:gridSpan w:val="2"/>
            <w:vMerge w:val="continue"/>
            <w:vAlign w:val="center"/>
          </w:tcPr>
          <w:p w14:paraId="6A320BA7">
            <w:pPr>
              <w:pStyle w:val="100"/>
              <w:bidi w:val="0"/>
              <w:rPr>
                <w:sz w:val="21"/>
                <w:szCs w:val="21"/>
              </w:rPr>
            </w:pPr>
          </w:p>
        </w:tc>
        <w:tc>
          <w:tcPr>
            <w:tcW w:w="995" w:type="pct"/>
            <w:gridSpan w:val="3"/>
            <w:vAlign w:val="center"/>
          </w:tcPr>
          <w:p w14:paraId="3D54EB12">
            <w:pPr>
              <w:pStyle w:val="100"/>
              <w:bidi w:val="0"/>
              <w:rPr>
                <w:sz w:val="21"/>
                <w:szCs w:val="21"/>
              </w:rPr>
            </w:pPr>
            <w:r>
              <w:rPr>
                <w:sz w:val="21"/>
                <w:szCs w:val="21"/>
              </w:rPr>
              <w:t>五</w:t>
            </w:r>
          </w:p>
        </w:tc>
        <w:tc>
          <w:tcPr>
            <w:tcW w:w="1305" w:type="pct"/>
            <w:gridSpan w:val="3"/>
            <w:vAlign w:val="center"/>
          </w:tcPr>
          <w:p w14:paraId="7D2D420C">
            <w:pPr>
              <w:pStyle w:val="100"/>
              <w:bidi w:val="0"/>
              <w:rPr>
                <w:sz w:val="21"/>
                <w:szCs w:val="21"/>
              </w:rPr>
            </w:pPr>
            <w:r>
              <w:rPr>
                <w:sz w:val="21"/>
                <w:szCs w:val="21"/>
              </w:rPr>
              <w:t>预备费</w:t>
            </w:r>
          </w:p>
        </w:tc>
        <w:tc>
          <w:tcPr>
            <w:tcW w:w="1185" w:type="pct"/>
            <w:gridSpan w:val="3"/>
            <w:vAlign w:val="center"/>
          </w:tcPr>
          <w:p w14:paraId="05DD0ECE">
            <w:pPr>
              <w:pStyle w:val="100"/>
              <w:bidi w:val="0"/>
              <w:rPr>
                <w:rFonts w:hint="default"/>
                <w:lang w:val="en-US"/>
              </w:rPr>
            </w:pPr>
            <w:r>
              <w:rPr>
                <w:rFonts w:hint="default"/>
                <w:lang w:val="en-US" w:eastAsia="zh-CN"/>
              </w:rPr>
              <w:t xml:space="preserve">0.0951 </w:t>
            </w:r>
          </w:p>
        </w:tc>
        <w:tc>
          <w:tcPr>
            <w:tcW w:w="1063" w:type="pct"/>
            <w:gridSpan w:val="2"/>
            <w:vAlign w:val="center"/>
          </w:tcPr>
          <w:p w14:paraId="66D8E337">
            <w:pPr>
              <w:pStyle w:val="100"/>
              <w:bidi w:val="0"/>
              <w:rPr>
                <w:rFonts w:hint="default"/>
                <w:lang w:val="en-US"/>
              </w:rPr>
            </w:pPr>
            <w:r>
              <w:rPr>
                <w:rFonts w:hint="default"/>
                <w:lang w:val="en-US" w:eastAsia="zh-CN"/>
              </w:rPr>
              <w:t>2.65</w:t>
            </w:r>
          </w:p>
        </w:tc>
      </w:tr>
      <w:tr w14:paraId="56F5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6E8BBB2C">
            <w:pPr>
              <w:pStyle w:val="100"/>
              <w:bidi w:val="0"/>
              <w:rPr>
                <w:sz w:val="21"/>
                <w:szCs w:val="21"/>
              </w:rPr>
            </w:pPr>
          </w:p>
        </w:tc>
        <w:tc>
          <w:tcPr>
            <w:tcW w:w="224" w:type="pct"/>
            <w:gridSpan w:val="2"/>
            <w:vMerge w:val="continue"/>
            <w:vAlign w:val="center"/>
          </w:tcPr>
          <w:p w14:paraId="5A64812C">
            <w:pPr>
              <w:pStyle w:val="100"/>
              <w:bidi w:val="0"/>
              <w:rPr>
                <w:sz w:val="21"/>
                <w:szCs w:val="21"/>
              </w:rPr>
            </w:pPr>
          </w:p>
        </w:tc>
        <w:tc>
          <w:tcPr>
            <w:tcW w:w="995" w:type="pct"/>
            <w:gridSpan w:val="3"/>
            <w:vAlign w:val="center"/>
          </w:tcPr>
          <w:p w14:paraId="03C240BF">
            <w:pPr>
              <w:pStyle w:val="100"/>
              <w:bidi w:val="0"/>
              <w:rPr>
                <w:sz w:val="21"/>
                <w:szCs w:val="21"/>
              </w:rPr>
            </w:pPr>
            <w:r>
              <w:rPr>
                <w:sz w:val="21"/>
                <w:szCs w:val="21"/>
              </w:rPr>
              <w:t>（一）</w:t>
            </w:r>
          </w:p>
        </w:tc>
        <w:tc>
          <w:tcPr>
            <w:tcW w:w="1305" w:type="pct"/>
            <w:gridSpan w:val="3"/>
            <w:vAlign w:val="center"/>
          </w:tcPr>
          <w:p w14:paraId="0CC3D903">
            <w:pPr>
              <w:pStyle w:val="100"/>
              <w:bidi w:val="0"/>
              <w:rPr>
                <w:sz w:val="21"/>
                <w:szCs w:val="21"/>
              </w:rPr>
            </w:pPr>
            <w:r>
              <w:rPr>
                <w:sz w:val="21"/>
                <w:szCs w:val="21"/>
              </w:rPr>
              <w:t>基本预备费</w:t>
            </w:r>
          </w:p>
        </w:tc>
        <w:tc>
          <w:tcPr>
            <w:tcW w:w="1185" w:type="pct"/>
            <w:gridSpan w:val="3"/>
            <w:vAlign w:val="center"/>
          </w:tcPr>
          <w:p w14:paraId="470295F8">
            <w:pPr>
              <w:pStyle w:val="100"/>
              <w:bidi w:val="0"/>
              <w:rPr>
                <w:rFonts w:hint="default"/>
                <w:lang w:val="en-US"/>
              </w:rPr>
            </w:pPr>
            <w:r>
              <w:rPr>
                <w:rFonts w:hint="default"/>
                <w:lang w:val="en-US" w:eastAsia="zh-CN"/>
              </w:rPr>
              <w:t xml:space="preserve">0.0000 </w:t>
            </w:r>
          </w:p>
        </w:tc>
        <w:tc>
          <w:tcPr>
            <w:tcW w:w="1063" w:type="pct"/>
            <w:gridSpan w:val="2"/>
            <w:vAlign w:val="center"/>
          </w:tcPr>
          <w:p w14:paraId="7ACCFE0E">
            <w:pPr>
              <w:pStyle w:val="100"/>
              <w:bidi w:val="0"/>
              <w:rPr>
                <w:rFonts w:hint="default"/>
                <w:lang w:val="en-US"/>
              </w:rPr>
            </w:pPr>
            <w:r>
              <w:rPr>
                <w:rFonts w:hint="default"/>
                <w:lang w:val="en-US" w:eastAsia="zh-CN"/>
              </w:rPr>
              <w:t>0.00</w:t>
            </w:r>
          </w:p>
        </w:tc>
      </w:tr>
      <w:tr w14:paraId="0038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0750607C">
            <w:pPr>
              <w:pStyle w:val="100"/>
              <w:bidi w:val="0"/>
              <w:rPr>
                <w:sz w:val="21"/>
                <w:szCs w:val="21"/>
              </w:rPr>
            </w:pPr>
          </w:p>
        </w:tc>
        <w:tc>
          <w:tcPr>
            <w:tcW w:w="224" w:type="pct"/>
            <w:gridSpan w:val="2"/>
            <w:vMerge w:val="continue"/>
            <w:vAlign w:val="center"/>
          </w:tcPr>
          <w:p w14:paraId="6EE9D1A7">
            <w:pPr>
              <w:pStyle w:val="100"/>
              <w:bidi w:val="0"/>
              <w:rPr>
                <w:sz w:val="21"/>
                <w:szCs w:val="21"/>
              </w:rPr>
            </w:pPr>
          </w:p>
        </w:tc>
        <w:tc>
          <w:tcPr>
            <w:tcW w:w="995" w:type="pct"/>
            <w:gridSpan w:val="3"/>
            <w:vAlign w:val="center"/>
          </w:tcPr>
          <w:p w14:paraId="62041F3C">
            <w:pPr>
              <w:pStyle w:val="100"/>
              <w:bidi w:val="0"/>
              <w:rPr>
                <w:sz w:val="21"/>
                <w:szCs w:val="21"/>
              </w:rPr>
            </w:pPr>
            <w:r>
              <w:rPr>
                <w:sz w:val="21"/>
                <w:szCs w:val="21"/>
              </w:rPr>
              <w:t>（二）</w:t>
            </w:r>
          </w:p>
        </w:tc>
        <w:tc>
          <w:tcPr>
            <w:tcW w:w="1305" w:type="pct"/>
            <w:gridSpan w:val="3"/>
            <w:vAlign w:val="center"/>
          </w:tcPr>
          <w:p w14:paraId="123458AC">
            <w:pPr>
              <w:pStyle w:val="100"/>
              <w:bidi w:val="0"/>
              <w:rPr>
                <w:sz w:val="21"/>
                <w:szCs w:val="21"/>
              </w:rPr>
            </w:pPr>
            <w:r>
              <w:rPr>
                <w:sz w:val="21"/>
                <w:szCs w:val="21"/>
              </w:rPr>
              <w:t>价差预备费</w:t>
            </w:r>
          </w:p>
        </w:tc>
        <w:tc>
          <w:tcPr>
            <w:tcW w:w="1185" w:type="pct"/>
            <w:gridSpan w:val="3"/>
            <w:vAlign w:val="center"/>
          </w:tcPr>
          <w:p w14:paraId="6F29D0A5">
            <w:pPr>
              <w:pStyle w:val="100"/>
              <w:bidi w:val="0"/>
            </w:pPr>
            <w:r>
              <w:rPr>
                <w:rFonts w:hint="default"/>
                <w:lang w:val="en-US" w:eastAsia="zh-CN"/>
              </w:rPr>
              <w:t xml:space="preserve">0.0000 </w:t>
            </w:r>
          </w:p>
        </w:tc>
        <w:tc>
          <w:tcPr>
            <w:tcW w:w="1063" w:type="pct"/>
            <w:gridSpan w:val="2"/>
            <w:vAlign w:val="center"/>
          </w:tcPr>
          <w:p w14:paraId="01EE9F41">
            <w:pPr>
              <w:pStyle w:val="100"/>
              <w:bidi w:val="0"/>
            </w:pPr>
            <w:r>
              <w:rPr>
                <w:rFonts w:hint="default"/>
                <w:lang w:val="en-US" w:eastAsia="zh-CN"/>
              </w:rPr>
              <w:t>0.00</w:t>
            </w:r>
          </w:p>
        </w:tc>
      </w:tr>
      <w:tr w14:paraId="6E96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6FEFC479">
            <w:pPr>
              <w:pStyle w:val="100"/>
              <w:bidi w:val="0"/>
              <w:rPr>
                <w:sz w:val="21"/>
                <w:szCs w:val="21"/>
              </w:rPr>
            </w:pPr>
          </w:p>
        </w:tc>
        <w:tc>
          <w:tcPr>
            <w:tcW w:w="224" w:type="pct"/>
            <w:gridSpan w:val="2"/>
            <w:vMerge w:val="continue"/>
            <w:vAlign w:val="center"/>
          </w:tcPr>
          <w:p w14:paraId="3B185DC7">
            <w:pPr>
              <w:pStyle w:val="100"/>
              <w:bidi w:val="0"/>
              <w:rPr>
                <w:sz w:val="21"/>
                <w:szCs w:val="21"/>
              </w:rPr>
            </w:pPr>
          </w:p>
        </w:tc>
        <w:tc>
          <w:tcPr>
            <w:tcW w:w="995" w:type="pct"/>
            <w:gridSpan w:val="3"/>
            <w:vAlign w:val="center"/>
          </w:tcPr>
          <w:p w14:paraId="286E8B7A">
            <w:pPr>
              <w:pStyle w:val="100"/>
              <w:bidi w:val="0"/>
              <w:rPr>
                <w:sz w:val="21"/>
                <w:szCs w:val="21"/>
              </w:rPr>
            </w:pPr>
            <w:r>
              <w:rPr>
                <w:sz w:val="21"/>
                <w:szCs w:val="21"/>
              </w:rPr>
              <w:t>（三）</w:t>
            </w:r>
          </w:p>
        </w:tc>
        <w:tc>
          <w:tcPr>
            <w:tcW w:w="1305" w:type="pct"/>
            <w:gridSpan w:val="3"/>
            <w:vAlign w:val="center"/>
          </w:tcPr>
          <w:p w14:paraId="348E6357">
            <w:pPr>
              <w:pStyle w:val="100"/>
              <w:bidi w:val="0"/>
              <w:rPr>
                <w:sz w:val="21"/>
                <w:szCs w:val="21"/>
              </w:rPr>
            </w:pPr>
            <w:r>
              <w:rPr>
                <w:sz w:val="21"/>
                <w:szCs w:val="21"/>
              </w:rPr>
              <w:t>风险金</w:t>
            </w:r>
          </w:p>
        </w:tc>
        <w:tc>
          <w:tcPr>
            <w:tcW w:w="1185" w:type="pct"/>
            <w:gridSpan w:val="3"/>
            <w:vAlign w:val="center"/>
          </w:tcPr>
          <w:p w14:paraId="2775CF74">
            <w:pPr>
              <w:pStyle w:val="100"/>
              <w:bidi w:val="0"/>
            </w:pPr>
            <w:r>
              <w:rPr>
                <w:rFonts w:hint="default"/>
                <w:lang w:val="en-US" w:eastAsia="zh-CN"/>
              </w:rPr>
              <w:t xml:space="preserve">3.5844 </w:t>
            </w:r>
          </w:p>
        </w:tc>
        <w:tc>
          <w:tcPr>
            <w:tcW w:w="1063" w:type="pct"/>
            <w:gridSpan w:val="2"/>
            <w:vAlign w:val="center"/>
          </w:tcPr>
          <w:p w14:paraId="7FF0CE20">
            <w:pPr>
              <w:pStyle w:val="100"/>
              <w:bidi w:val="0"/>
            </w:pPr>
            <w:r>
              <w:rPr>
                <w:rFonts w:hint="default"/>
                <w:lang w:val="en-US" w:eastAsia="zh-CN"/>
              </w:rPr>
              <w:t>100.00</w:t>
            </w:r>
          </w:p>
        </w:tc>
      </w:tr>
      <w:tr w14:paraId="3C74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7918CE4F">
            <w:pPr>
              <w:pStyle w:val="100"/>
              <w:bidi w:val="0"/>
              <w:rPr>
                <w:sz w:val="21"/>
                <w:szCs w:val="21"/>
              </w:rPr>
            </w:pPr>
          </w:p>
        </w:tc>
        <w:tc>
          <w:tcPr>
            <w:tcW w:w="224" w:type="pct"/>
            <w:gridSpan w:val="2"/>
            <w:vMerge w:val="continue"/>
            <w:vAlign w:val="center"/>
          </w:tcPr>
          <w:p w14:paraId="6CAB6C66">
            <w:pPr>
              <w:pStyle w:val="100"/>
              <w:bidi w:val="0"/>
              <w:rPr>
                <w:sz w:val="21"/>
                <w:szCs w:val="21"/>
              </w:rPr>
            </w:pPr>
          </w:p>
        </w:tc>
        <w:tc>
          <w:tcPr>
            <w:tcW w:w="995" w:type="pct"/>
            <w:gridSpan w:val="3"/>
            <w:vAlign w:val="center"/>
          </w:tcPr>
          <w:p w14:paraId="5593F27F">
            <w:pPr>
              <w:pStyle w:val="100"/>
              <w:bidi w:val="0"/>
              <w:rPr>
                <w:sz w:val="21"/>
                <w:szCs w:val="21"/>
              </w:rPr>
            </w:pPr>
            <w:r>
              <w:rPr>
                <w:sz w:val="21"/>
                <w:szCs w:val="21"/>
              </w:rPr>
              <w:t>六</w:t>
            </w:r>
          </w:p>
        </w:tc>
        <w:tc>
          <w:tcPr>
            <w:tcW w:w="1305" w:type="pct"/>
            <w:gridSpan w:val="3"/>
            <w:vAlign w:val="center"/>
          </w:tcPr>
          <w:p w14:paraId="5214FB51">
            <w:pPr>
              <w:pStyle w:val="100"/>
              <w:bidi w:val="0"/>
              <w:rPr>
                <w:sz w:val="21"/>
                <w:szCs w:val="21"/>
              </w:rPr>
            </w:pPr>
            <w:r>
              <w:rPr>
                <w:sz w:val="21"/>
                <w:szCs w:val="21"/>
              </w:rPr>
              <w:t>静态总投资</w:t>
            </w:r>
          </w:p>
        </w:tc>
        <w:tc>
          <w:tcPr>
            <w:tcW w:w="1185" w:type="pct"/>
            <w:gridSpan w:val="3"/>
            <w:vAlign w:val="center"/>
          </w:tcPr>
          <w:p w14:paraId="44029823">
            <w:pPr>
              <w:pStyle w:val="100"/>
              <w:bidi w:val="0"/>
              <w:rPr>
                <w:rFonts w:hint="default"/>
                <w:lang w:val="en-US"/>
              </w:rPr>
            </w:pPr>
            <w:r>
              <w:rPr>
                <w:rFonts w:hint="default"/>
                <w:lang w:val="en-US" w:eastAsia="zh-CN"/>
              </w:rPr>
              <w:t xml:space="preserve">3.5844 </w:t>
            </w:r>
          </w:p>
        </w:tc>
        <w:tc>
          <w:tcPr>
            <w:tcW w:w="1063" w:type="pct"/>
            <w:gridSpan w:val="2"/>
            <w:vAlign w:val="center"/>
          </w:tcPr>
          <w:p w14:paraId="1C6A3CE9">
            <w:pPr>
              <w:pStyle w:val="100"/>
              <w:bidi w:val="0"/>
            </w:pPr>
            <w:r>
              <w:rPr>
                <w:rFonts w:hint="default"/>
                <w:lang w:val="en-US" w:eastAsia="zh-CN"/>
              </w:rPr>
              <w:t>100.00</w:t>
            </w:r>
          </w:p>
        </w:tc>
      </w:tr>
      <w:tr w14:paraId="7A29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 w:type="pct"/>
            <w:vMerge w:val="continue"/>
            <w:vAlign w:val="center"/>
          </w:tcPr>
          <w:p w14:paraId="52A97FD5">
            <w:pPr>
              <w:pStyle w:val="100"/>
              <w:bidi w:val="0"/>
              <w:rPr>
                <w:sz w:val="21"/>
                <w:szCs w:val="21"/>
              </w:rPr>
            </w:pPr>
          </w:p>
        </w:tc>
        <w:tc>
          <w:tcPr>
            <w:tcW w:w="224" w:type="pct"/>
            <w:gridSpan w:val="2"/>
            <w:vMerge w:val="continue"/>
            <w:vAlign w:val="center"/>
          </w:tcPr>
          <w:p w14:paraId="6DE18C22">
            <w:pPr>
              <w:pStyle w:val="100"/>
              <w:bidi w:val="0"/>
              <w:rPr>
                <w:sz w:val="21"/>
                <w:szCs w:val="21"/>
              </w:rPr>
            </w:pPr>
          </w:p>
        </w:tc>
        <w:tc>
          <w:tcPr>
            <w:tcW w:w="995" w:type="pct"/>
            <w:gridSpan w:val="3"/>
            <w:vAlign w:val="center"/>
          </w:tcPr>
          <w:p w14:paraId="12030E7A">
            <w:pPr>
              <w:pStyle w:val="100"/>
              <w:bidi w:val="0"/>
              <w:rPr>
                <w:sz w:val="21"/>
                <w:szCs w:val="21"/>
              </w:rPr>
            </w:pPr>
            <w:r>
              <w:rPr>
                <w:sz w:val="21"/>
                <w:szCs w:val="21"/>
              </w:rPr>
              <w:t>七</w:t>
            </w:r>
          </w:p>
        </w:tc>
        <w:tc>
          <w:tcPr>
            <w:tcW w:w="1305" w:type="pct"/>
            <w:gridSpan w:val="3"/>
            <w:vAlign w:val="center"/>
          </w:tcPr>
          <w:p w14:paraId="1639A8C8">
            <w:pPr>
              <w:pStyle w:val="100"/>
              <w:bidi w:val="0"/>
              <w:rPr>
                <w:sz w:val="21"/>
                <w:szCs w:val="21"/>
              </w:rPr>
            </w:pPr>
            <w:r>
              <w:rPr>
                <w:sz w:val="21"/>
                <w:szCs w:val="21"/>
              </w:rPr>
              <w:t>动态总投资</w:t>
            </w:r>
          </w:p>
        </w:tc>
        <w:tc>
          <w:tcPr>
            <w:tcW w:w="1185" w:type="pct"/>
            <w:gridSpan w:val="3"/>
            <w:vAlign w:val="center"/>
          </w:tcPr>
          <w:p w14:paraId="4721C0C0">
            <w:pPr>
              <w:pStyle w:val="100"/>
              <w:bidi w:val="0"/>
              <w:rPr>
                <w:rFonts w:hint="default"/>
                <w:lang w:val="en-US"/>
              </w:rPr>
            </w:pPr>
            <w:r>
              <w:rPr>
                <w:rFonts w:hint="default"/>
                <w:lang w:val="en-US" w:eastAsia="zh-CN"/>
              </w:rPr>
              <w:t xml:space="preserve">2.7774 </w:t>
            </w:r>
          </w:p>
        </w:tc>
        <w:tc>
          <w:tcPr>
            <w:tcW w:w="1063" w:type="pct"/>
            <w:gridSpan w:val="2"/>
            <w:vAlign w:val="center"/>
          </w:tcPr>
          <w:p w14:paraId="1706ACFD">
            <w:pPr>
              <w:pStyle w:val="100"/>
              <w:bidi w:val="0"/>
            </w:pPr>
            <w:r>
              <w:rPr>
                <w:rFonts w:hint="default"/>
                <w:lang w:val="en-US" w:eastAsia="zh-CN"/>
              </w:rPr>
              <w:t>77.49</w:t>
            </w:r>
          </w:p>
        </w:tc>
      </w:tr>
    </w:tbl>
    <w:p w14:paraId="24B59AD3">
      <w:pPr>
        <w:tabs>
          <w:tab w:val="left" w:pos="645"/>
        </w:tabs>
        <w:spacing w:line="360" w:lineRule="auto"/>
        <w:ind w:left="-324" w:leftChars="-135" w:right="-374" w:rightChars="-156" w:firstLine="480" w:firstLineChars="200"/>
        <w:rPr>
          <w:rFonts w:ascii="Times New Roman" w:hAnsi="Times New Roman" w:eastAsia="仿宋_GB2312" w:cs="Times New Roman"/>
          <w:color w:val="000000"/>
          <w:sz w:val="24"/>
          <w:szCs w:val="21"/>
        </w:rPr>
      </w:pPr>
      <w:r>
        <w:rPr>
          <w:rFonts w:ascii="Times New Roman" w:hAnsi="Times New Roman" w:eastAsia="仿宋_GB2312" w:cs="Times New Roman"/>
          <w:color w:val="000000"/>
          <w:sz w:val="24"/>
          <w:szCs w:val="21"/>
        </w:rPr>
        <w:t>填表人：</w:t>
      </w:r>
      <w:r>
        <w:rPr>
          <w:rFonts w:hint="eastAsia" w:cs="Times New Roman"/>
          <w:color w:val="000000"/>
          <w:sz w:val="24"/>
          <w:szCs w:val="21"/>
          <w:lang w:val="en-US" w:eastAsia="zh-CN"/>
        </w:rPr>
        <w:t>石亚平</w:t>
      </w:r>
      <w:r>
        <w:rPr>
          <w:rFonts w:ascii="Times New Roman" w:hAnsi="Times New Roman" w:eastAsia="仿宋_GB2312" w:cs="Times New Roman"/>
          <w:color w:val="000000"/>
          <w:sz w:val="24"/>
          <w:szCs w:val="21"/>
        </w:rPr>
        <w:t xml:space="preserve">                                      填表日期：202</w:t>
      </w:r>
      <w:r>
        <w:rPr>
          <w:rFonts w:hint="eastAsia" w:cs="Times New Roman"/>
          <w:color w:val="000000"/>
          <w:sz w:val="24"/>
          <w:szCs w:val="21"/>
          <w:lang w:val="en-US" w:eastAsia="zh-CN"/>
        </w:rPr>
        <w:t>5</w:t>
      </w:r>
      <w:r>
        <w:rPr>
          <w:rFonts w:ascii="Times New Roman" w:hAnsi="Times New Roman" w:eastAsia="仿宋_GB2312" w:cs="Times New Roman"/>
          <w:color w:val="000000"/>
          <w:sz w:val="24"/>
          <w:szCs w:val="21"/>
        </w:rPr>
        <w:t>年</w:t>
      </w:r>
      <w:r>
        <w:rPr>
          <w:rFonts w:hint="eastAsia" w:cs="Times New Roman"/>
          <w:color w:val="000000"/>
          <w:sz w:val="24"/>
          <w:szCs w:val="21"/>
          <w:lang w:val="en-US" w:eastAsia="zh-CN"/>
        </w:rPr>
        <w:t>1</w:t>
      </w:r>
      <w:r>
        <w:rPr>
          <w:rFonts w:ascii="Times New Roman" w:hAnsi="Times New Roman" w:eastAsia="仿宋_GB2312" w:cs="Times New Roman"/>
          <w:color w:val="000000"/>
          <w:sz w:val="24"/>
          <w:szCs w:val="21"/>
        </w:rPr>
        <w:t xml:space="preserve">月 </w:t>
      </w:r>
    </w:p>
    <w:p w14:paraId="7AB8D4D1">
      <w:pPr>
        <w:tabs>
          <w:tab w:val="left" w:pos="645"/>
        </w:tabs>
        <w:spacing w:line="360" w:lineRule="auto"/>
        <w:ind w:left="-324" w:leftChars="-135" w:right="-374" w:rightChars="-156" w:firstLine="482" w:firstLineChars="200"/>
        <w:jc w:val="left"/>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填 表 说 明：</w:t>
      </w:r>
    </w:p>
    <w:p w14:paraId="19F6D3CA">
      <w:pPr>
        <w:tabs>
          <w:tab w:val="left" w:pos="645"/>
        </w:tabs>
        <w:ind w:left="-365" w:leftChars="-152" w:right="-374" w:rightChars="-156" w:firstLine="480" w:firstLineChars="200"/>
        <w:jc w:val="lef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1、有关指标解释、编制原则、编制依据、主要计量单位等同报告书要求。</w:t>
      </w:r>
    </w:p>
    <w:p w14:paraId="7160B4EC">
      <w:pPr>
        <w:tabs>
          <w:tab w:val="left" w:pos="645"/>
        </w:tabs>
        <w:ind w:left="-365" w:leftChars="-152" w:right="-374" w:rightChars="-156" w:firstLine="480" w:firstLineChars="200"/>
        <w:jc w:val="lef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2、表内关系：</w:t>
      </w:r>
    </w:p>
    <w:p w14:paraId="1A509E21">
      <w:pPr>
        <w:tabs>
          <w:tab w:val="left" w:pos="645"/>
        </w:tabs>
        <w:ind w:left="-365" w:leftChars="-152" w:right="-374" w:rightChars="-156" w:firstLine="480" w:firstLineChars="200"/>
        <w:jc w:val="lef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（1）复垦区面积=永久性用地面积+损毁土地面积=复垦区土地利用现状合计。</w:t>
      </w:r>
    </w:p>
    <w:p w14:paraId="2926CB47">
      <w:pPr>
        <w:tabs>
          <w:tab w:val="left" w:pos="645"/>
        </w:tabs>
        <w:ind w:left="-365" w:leftChars="-152" w:right="-374" w:rightChars="-156" w:firstLine="480" w:firstLineChars="200"/>
        <w:jc w:val="left"/>
        <w:rPr>
          <w:rFonts w:ascii="Times New Roman" w:hAnsi="Times New Roman" w:eastAsia="黑体" w:cs="Times New Roman"/>
          <w:color w:val="000000"/>
          <w:sz w:val="28"/>
          <w:szCs w:val="24"/>
        </w:rPr>
      </w:pPr>
      <w:r>
        <w:rPr>
          <w:rFonts w:ascii="Times New Roman" w:hAnsi="Times New Roman" w:eastAsia="仿宋_GB2312" w:cs="Times New Roman"/>
          <w:bCs/>
          <w:color w:val="000000"/>
          <w:sz w:val="24"/>
          <w:szCs w:val="24"/>
        </w:rPr>
        <w:t>（2）损毁土地面积=复垦责任范围内土地损毁类型合计≥复垦面积合计。</w:t>
      </w:r>
    </w:p>
    <w:sectPr>
      <w:footerReference r:id="rId21" w:type="default"/>
      <w:pgSz w:w="11906" w:h="16838"/>
      <w:pgMar w:top="1701" w:right="1418" w:bottom="1418" w:left="1418" w:header="1304" w:footer="1021" w:gutter="0"/>
      <w:pgNumType w:fmt="decimal"/>
      <w:cols w:space="720" w:num="1"/>
      <w:docGrid w:linePitch="326" w:charSpace="0"/>
    </w:sectPr>
  </w:body>
</w:document>
</file>

<file path=word/customizations.xml><?xml version="1.0" encoding="utf-8"?>
<wne:tcg xmlns:r="http://schemas.openxmlformats.org/officeDocument/2006/relationships" xmlns:wne="http://schemas.microsoft.com/office/word/2006/wordml">
  <wne:keymaps>
    <wne:keymap wne:kcmPrimary="0226">
      <wne:acd wne:acdName="acd0"/>
    </wne:keymap>
    <wne:keymap wne:kcmPrimary="0228">
      <wne:acd wne:acdName="acd1"/>
    </wne:keymap>
  </wne:keymaps>
  <wne:acds>
    <wne:acd wne:argValue="AgA3AGiILU6HZVdb" wne:acdName="acd0" wne:fciIndexBasedOn="0065"/>
    <wne:acd wne:argValue="AQAAACI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0" w:usb3="00000000" w:csb0="00100000" w:csb1="00000000"/>
  </w:font>
  <w:font w:name="Gungsuh">
    <w:altName w:val="Malgun Gothic"/>
    <w:panose1 w:val="00000000000000000000"/>
    <w:charset w:val="81"/>
    <w:family w:val="roman"/>
    <w:pitch w:val="default"/>
    <w:sig w:usb0="00000000" w:usb1="00000000" w:usb2="00000030" w:usb3="00000000" w:csb0="0008009F" w:csb1="00000000"/>
  </w:font>
  <w:font w:name="Angsana New">
    <w:altName w:val="Microsoft Sans Serif"/>
    <w:panose1 w:val="02020603050405020304"/>
    <w:charset w:val="DE"/>
    <w:family w:val="roman"/>
    <w:pitch w:val="default"/>
    <w:sig w:usb0="00000000" w:usb1="00000000" w:usb2="00000000" w:usb3="00000000" w:csb0="00010000" w:csb1="00000000"/>
  </w:font>
  <w:font w:name="楷体_GB2312">
    <w:panose1 w:val="02010609030101010101"/>
    <w:charset w:val="86"/>
    <w:family w:val="modern"/>
    <w:pitch w:val="default"/>
    <w:sig w:usb0="00000001" w:usb1="080E0000" w:usb2="00000000" w:usb3="00000000" w:csb0="00040000" w:csb1="00000000"/>
  </w:font>
  <w:font w:name="TIME">
    <w:altName w:val="Times New Roman"/>
    <w:panose1 w:val="00000000000000000000"/>
    <w:charset w:val="00"/>
    <w:family w:val="roman"/>
    <w:pitch w:val="default"/>
    <w:sig w:usb0="00000000" w:usb1="00000000" w:usb2="00000000" w:usb3="00000000" w:csb0="00000001" w:csb1="00000000"/>
  </w:font>
  <w:font w:name="宋体-18030">
    <w:altName w:val="微软雅黑"/>
    <w:panose1 w:val="00000000000000000000"/>
    <w:charset w:val="86"/>
    <w:family w:val="modern"/>
    <w:pitch w:val="default"/>
    <w:sig w:usb0="00000000" w:usb1="00000000" w:usb2="000A005E"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CordiaUPC">
    <w:altName w:val="Segoe Print"/>
    <w:panose1 w:val="00000000000000000000"/>
    <w:charset w:val="00"/>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楷体简体">
    <w:panose1 w:val="02000000000000000000"/>
    <w:charset w:val="86"/>
    <w:family w:val="script"/>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Verdana">
    <w:panose1 w:val="020B0604030504040204"/>
    <w:charset w:val="00"/>
    <w:family w:val="swiss"/>
    <w:pitch w:val="default"/>
    <w:sig w:usb0="A00006FF" w:usb1="4000205B" w:usb2="00000010" w:usb3="00000000" w:csb0="2000019F" w:csb1="00000000"/>
  </w:font>
  <w:font w:name="方正书宋简体">
    <w:panose1 w:val="02000000000000000000"/>
    <w:charset w:val="86"/>
    <w:family w:val="auto"/>
    <w:pitch w:val="default"/>
    <w:sig w:usb0="A00002BF" w:usb1="184F6CFA" w:usb2="00000012" w:usb3="00000000" w:csb0="00040001" w:csb1="00000000"/>
  </w:font>
  <w:font w:name="Georgia">
    <w:panose1 w:val="02040502050405020303"/>
    <w:charset w:val="00"/>
    <w:family w:val="roman"/>
    <w:pitch w:val="default"/>
    <w:sig w:usb0="000002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Microsoft Sans Serif">
    <w:panose1 w:val="020B0604020202020204"/>
    <w:charset w:val="00"/>
    <w:family w:val="auto"/>
    <w:pitch w:val="default"/>
    <w:sig w:usb0="E5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C61E2">
    <w:pPr>
      <w:pStyle w:val="5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7F10E">
    <w:pPr>
      <w:pStyle w:val="55"/>
      <w:framePr w:wrap="around" w:vAnchor="text" w:hAnchor="margin" w:xAlign="center" w:y="1"/>
      <w:ind w:firstLine="360"/>
      <w:rPr>
        <w:rStyle w:val="94"/>
      </w:rPr>
    </w:pPr>
    <w:r>
      <w:fldChar w:fldCharType="begin"/>
    </w:r>
    <w:r>
      <w:rPr>
        <w:rStyle w:val="94"/>
      </w:rPr>
      <w:instrText xml:space="preserve">PAGE  </w:instrText>
    </w:r>
    <w:r>
      <w:fldChar w:fldCharType="separate"/>
    </w:r>
    <w:r>
      <w:rPr>
        <w:rStyle w:val="94"/>
      </w:rPr>
      <w:t>140</w:t>
    </w:r>
    <w:r>
      <w:fldChar w:fldCharType="end"/>
    </w:r>
  </w:p>
  <w:p w14:paraId="0E5F4B27">
    <w:pPr>
      <w:pStyle w:val="537"/>
      <w:ind w:firstLine="360"/>
      <w:jc w:val="center"/>
      <w:rPr>
        <w:rFonts w:ascii="Times New Roman" w:hAnsi="Times New Roman"/>
        <w:sz w:val="18"/>
        <w:szCs w:val="18"/>
      </w:rPr>
    </w:pPr>
  </w:p>
  <w:p w14:paraId="54C2E5CD">
    <w:pPr>
      <w:pStyle w:val="55"/>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98A2">
    <w:pPr>
      <w:pStyle w:val="55"/>
      <w:ind w:right="108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FFE5D">
                          <w:pPr>
                            <w:pStyle w:val="5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6EFFE5D">
                    <w:pPr>
                      <w:pStyle w:val="5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4035">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53EED">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2F748">
    <w:pPr>
      <w:pStyle w:val="55"/>
      <w:ind w:right="108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3EB1D">
    <w:pPr>
      <w:pStyle w:val="55"/>
      <w:framePr w:wrap="around" w:vAnchor="text" w:hAnchor="margin" w:xAlign="center" w:y="1"/>
      <w:ind w:firstLine="360"/>
      <w:rPr>
        <w:rStyle w:val="94"/>
      </w:rPr>
    </w:pPr>
    <w:r>
      <w:fldChar w:fldCharType="begin"/>
    </w:r>
    <w:r>
      <w:rPr>
        <w:rStyle w:val="94"/>
      </w:rPr>
      <w:instrText xml:space="preserve">PAGE  </w:instrText>
    </w:r>
    <w:r>
      <w:fldChar w:fldCharType="separate"/>
    </w:r>
    <w:r>
      <w:rPr>
        <w:rStyle w:val="94"/>
      </w:rPr>
      <w:t>2</w:t>
    </w:r>
    <w:r>
      <w:fldChar w:fldCharType="end"/>
    </w:r>
  </w:p>
  <w:p w14:paraId="44F65577">
    <w:pPr>
      <w:pStyle w:val="537"/>
      <w:ind w:firstLine="360"/>
      <w:jc w:val="center"/>
      <w:rPr>
        <w:rFonts w:ascii="Times New Roman" w:hAnsi="Times New Roman"/>
        <w:color w:val="auto"/>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E8530">
    <w:pPr>
      <w:pStyle w:val="5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2EF0C">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392EF0C">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A697">
    <w:pPr>
      <w:ind w:firstLine="48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07EEA">
                          <w:pPr>
                            <w:pStyle w:val="5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E107EEA">
                    <w:pPr>
                      <w:pStyle w:val="5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0F7B4">
    <w:pPr>
      <w:pStyle w:val="537"/>
      <w:ind w:firstLine="360"/>
      <w:jc w:val="center"/>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Pr>
        <w:rFonts w:ascii="Times New Roman" w:hAnsi="Times New Roman"/>
        <w:sz w:val="18"/>
        <w:szCs w:val="18"/>
      </w:rPr>
      <w:t>128</w:t>
    </w:r>
    <w:r>
      <w:rPr>
        <w:rFonts w:ascii="Times New Roman" w:hAnsi="Times New Roman"/>
        <w:sz w:val="18"/>
        <w:szCs w:val="18"/>
      </w:rPr>
      <w:fldChar w:fldCharType="end"/>
    </w:r>
  </w:p>
  <w:p w14:paraId="0AC05178">
    <w:pPr>
      <w:pStyle w:val="5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5CF4C">
    <w:pPr>
      <w:pStyle w:val="55"/>
      <w:ind w:right="108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D2636">
                          <w:pPr>
                            <w:pStyle w:val="5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23D2636">
                    <w:pPr>
                      <w:pStyle w:val="5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72FD">
    <w:pPr>
      <w:pStyle w:val="5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FA81">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1458B">
    <w:pPr>
      <w:pStyle w:val="57"/>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0F17">
    <w:pPr>
      <w:pStyle w:val="57"/>
      <w:keepNext w:val="0"/>
      <w:keepLines w:val="0"/>
      <w:pageBreakBefore w:val="0"/>
      <w:widowControl w:val="0"/>
      <w:pBdr>
        <w:bottom w:val="thinThickSmallGap" w:color="auto" w:sz="24" w:space="1"/>
      </w:pBdr>
      <w:kinsoku/>
      <w:wordWrap/>
      <w:overflowPunct/>
      <w:topLinePunct w:val="0"/>
      <w:bidi w:val="0"/>
      <w:adjustRightInd/>
      <w:snapToGrid w:val="0"/>
      <w:spacing w:line="240" w:lineRule="atLeast"/>
      <w:ind w:left="0" w:leftChars="0" w:firstLine="0" w:firstLineChars="0"/>
      <w:jc w:val="center"/>
      <w:textAlignment w:val="auto"/>
      <w:rPr>
        <w:b/>
        <w:i/>
      </w:rPr>
    </w:pPr>
    <w:r>
      <w:rPr>
        <w:rFonts w:hint="eastAsia"/>
        <w:b/>
        <w:bCs/>
        <w:i/>
        <w:lang w:eastAsia="zh-CN"/>
      </w:rPr>
      <w:t>中国石油吐哈油田三塘湖采油管理区马T101H井场等两口井压裂施工项目临时用地</w:t>
    </w:r>
    <w:r>
      <w:rPr>
        <w:rFonts w:hint="eastAsia"/>
        <w:b/>
        <w:bCs/>
        <w:i/>
        <w:lang w:val="en-US" w:eastAsia="zh-CN"/>
      </w:rPr>
      <w:t>土地</w:t>
    </w:r>
    <w:r>
      <w:rPr>
        <w:rFonts w:hint="eastAsia"/>
        <w:b/>
        <w:bCs/>
        <w:i/>
      </w:rPr>
      <w:t>复垦方案报告书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FEE7B">
    <w:pPr>
      <w:pStyle w:val="57"/>
      <w:pBdr>
        <w:bottom w:val="thinThickSmallGap" w:color="auto" w:sz="24" w:space="1"/>
      </w:pBdr>
      <w:ind w:firstLine="361"/>
      <w:jc w:val="right"/>
      <w:rPr>
        <w:b/>
        <w:i/>
      </w:rPr>
    </w:pPr>
    <w:r>
      <w:rPr>
        <w:rFonts w:hint="eastAsia"/>
        <w:b/>
        <w:bCs/>
        <w:i/>
      </w:rPr>
      <w:t>中国石油天然气股份有限公司吐哈油田分公司201</w:t>
    </w:r>
    <w:r>
      <w:rPr>
        <w:b/>
        <w:bCs/>
        <w:i/>
      </w:rPr>
      <w:t>9</w:t>
    </w:r>
    <w:r>
      <w:rPr>
        <w:rFonts w:hint="eastAsia"/>
        <w:b/>
        <w:bCs/>
        <w:i/>
      </w:rPr>
      <w:t>年滚动开发建设项目土地复垦方案报告书</w:t>
    </w:r>
  </w:p>
  <w:p w14:paraId="56488614">
    <w:pPr>
      <w:pStyle w:val="5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5D63">
    <w:pPr>
      <w:pStyle w:val="57"/>
      <w:pBdr>
        <w:bottom w:val="thinThickSmallGap" w:color="auto" w:sz="24" w:space="1"/>
      </w:pBdr>
      <w:tabs>
        <w:tab w:val="right" w:pos="9000"/>
        <w:tab w:val="clear" w:pos="8306"/>
      </w:tabs>
      <w:ind w:right="70" w:firstLine="360"/>
      <w:rPr>
        <w:i/>
      </w:rPr>
    </w:pPr>
    <w:r>
      <w:rPr>
        <w:rFonts w:hint="eastAsia"/>
        <w:i/>
      </w:rPr>
      <w:t>新建铁路新疆红柳河至淖毛湖铁路土地复垦方案报告书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0">
    <w:nsid w:val="03BC675D"/>
    <w:multiLevelType w:val="multilevel"/>
    <w:tmpl w:val="03BC675D"/>
    <w:lvl w:ilvl="0" w:tentative="0">
      <w:start w:val="1"/>
      <w:numFmt w:val="lowerLetter"/>
      <w:lvlText w:val="%1)"/>
      <w:lvlJc w:val="left"/>
      <w:pPr>
        <w:ind w:left="988" w:hanging="420"/>
      </w:p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1">
    <w:nsid w:val="07A15CD6"/>
    <w:multiLevelType w:val="multilevel"/>
    <w:tmpl w:val="07A15CD6"/>
    <w:lvl w:ilvl="0" w:tentative="0">
      <w:start w:val="4"/>
      <w:numFmt w:val="decimal"/>
      <w:lvlText w:val="%1"/>
      <w:lvlJc w:val="left"/>
      <w:pPr>
        <w:tabs>
          <w:tab w:val="left" w:pos="840"/>
        </w:tabs>
        <w:ind w:left="840" w:hanging="840"/>
      </w:pPr>
      <w:rPr>
        <w:rFonts w:hint="default"/>
      </w:rPr>
    </w:lvl>
    <w:lvl w:ilvl="1" w:tentative="0">
      <w:start w:val="3"/>
      <w:numFmt w:val="decimal"/>
      <w:pStyle w:val="453"/>
      <w:lvlText w:val="%1.%2"/>
      <w:lvlJc w:val="left"/>
      <w:pPr>
        <w:tabs>
          <w:tab w:val="left" w:pos="840"/>
        </w:tabs>
        <w:ind w:left="840" w:hanging="840"/>
      </w:pPr>
      <w:rPr>
        <w:rFonts w:hint="eastAsia"/>
        <w:sz w:val="30"/>
        <w:szCs w:val="30"/>
      </w:rPr>
    </w:lvl>
    <w:lvl w:ilvl="2" w:tentative="0">
      <w:start w:val="2"/>
      <w:numFmt w:val="decimal"/>
      <w:lvlText w:val="%1.%2.%3"/>
      <w:lvlJc w:val="left"/>
      <w:pPr>
        <w:tabs>
          <w:tab w:val="left" w:pos="840"/>
        </w:tabs>
        <w:ind w:left="840" w:hanging="84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2">
    <w:nsid w:val="4F302902"/>
    <w:multiLevelType w:val="multilevel"/>
    <w:tmpl w:val="4F302902"/>
    <w:lvl w:ilvl="0" w:tentative="0">
      <w:start w:val="1"/>
      <w:numFmt w:val="none"/>
      <w:pStyle w:val="462"/>
      <w:lvlText w:val="表"/>
      <w:lvlJc w:val="left"/>
      <w:pPr>
        <w:tabs>
          <w:tab w:val="left" w:pos="7732"/>
        </w:tabs>
        <w:ind w:left="7372"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C8C361A"/>
    <w:multiLevelType w:val="multilevel"/>
    <w:tmpl w:val="5C8C361A"/>
    <w:lvl w:ilvl="0" w:tentative="0">
      <w:start w:val="1"/>
      <w:numFmt w:val="lowerLetter"/>
      <w:lvlText w:val="%1、"/>
      <w:lvlJc w:val="left"/>
      <w:pPr>
        <w:tabs>
          <w:tab w:val="left" w:pos="1145"/>
        </w:tabs>
        <w:ind w:left="1145" w:hanging="720"/>
      </w:pPr>
      <w:rPr>
        <w:rFonts w:hint="eastAsia"/>
      </w:rPr>
    </w:lvl>
    <w:lvl w:ilvl="1" w:tentative="0">
      <w:start w:val="1"/>
      <w:numFmt w:val="lowerLetter"/>
      <w:lvlText w:val="%2)"/>
      <w:lvlJc w:val="left"/>
      <w:pPr>
        <w:tabs>
          <w:tab w:val="left" w:pos="1265"/>
        </w:tabs>
        <w:ind w:left="1265" w:hanging="420"/>
      </w:pPr>
    </w:lvl>
    <w:lvl w:ilvl="2" w:tentative="0">
      <w:start w:val="1"/>
      <w:numFmt w:val="lowerRoman"/>
      <w:pStyle w:val="689"/>
      <w:lvlText w:val="%3."/>
      <w:lvlJc w:val="right"/>
      <w:pPr>
        <w:tabs>
          <w:tab w:val="left" w:pos="1685"/>
        </w:tabs>
        <w:ind w:left="1685" w:hanging="420"/>
      </w:pPr>
    </w:lvl>
    <w:lvl w:ilvl="3" w:tentative="0">
      <w:start w:val="1"/>
      <w:numFmt w:val="decimal"/>
      <w:lvlText w:val="%4."/>
      <w:lvlJc w:val="left"/>
      <w:pPr>
        <w:tabs>
          <w:tab w:val="left" w:pos="2105"/>
        </w:tabs>
        <w:ind w:left="2105" w:hanging="420"/>
      </w:pPr>
    </w:lvl>
    <w:lvl w:ilvl="4" w:tentative="0">
      <w:start w:val="1"/>
      <w:numFmt w:val="lowerLetter"/>
      <w:lvlText w:val="%5)"/>
      <w:lvlJc w:val="left"/>
      <w:pPr>
        <w:tabs>
          <w:tab w:val="left" w:pos="2525"/>
        </w:tabs>
        <w:ind w:left="2525" w:hanging="420"/>
      </w:pPr>
    </w:lvl>
    <w:lvl w:ilvl="5" w:tentative="0">
      <w:start w:val="1"/>
      <w:numFmt w:val="lowerRoman"/>
      <w:lvlText w:val="%6."/>
      <w:lvlJc w:val="right"/>
      <w:pPr>
        <w:tabs>
          <w:tab w:val="left" w:pos="2945"/>
        </w:tabs>
        <w:ind w:left="2945" w:hanging="420"/>
      </w:pPr>
    </w:lvl>
    <w:lvl w:ilvl="6" w:tentative="0">
      <w:start w:val="1"/>
      <w:numFmt w:val="decimal"/>
      <w:lvlText w:val="%7."/>
      <w:lvlJc w:val="left"/>
      <w:pPr>
        <w:tabs>
          <w:tab w:val="left" w:pos="3365"/>
        </w:tabs>
        <w:ind w:left="3365" w:hanging="420"/>
      </w:pPr>
    </w:lvl>
    <w:lvl w:ilvl="7" w:tentative="0">
      <w:start w:val="1"/>
      <w:numFmt w:val="lowerLetter"/>
      <w:lvlText w:val="%8)"/>
      <w:lvlJc w:val="left"/>
      <w:pPr>
        <w:tabs>
          <w:tab w:val="left" w:pos="3785"/>
        </w:tabs>
        <w:ind w:left="3785" w:hanging="420"/>
      </w:pPr>
    </w:lvl>
    <w:lvl w:ilvl="8" w:tentative="0">
      <w:start w:val="1"/>
      <w:numFmt w:val="lowerRoman"/>
      <w:lvlText w:val="%9."/>
      <w:lvlJc w:val="right"/>
      <w:pPr>
        <w:tabs>
          <w:tab w:val="left" w:pos="4205"/>
        </w:tabs>
        <w:ind w:left="4205" w:hanging="420"/>
      </w:pPr>
    </w:lvl>
  </w:abstractNum>
  <w:abstractNum w:abstractNumId="14">
    <w:nsid w:val="64B54113"/>
    <w:multiLevelType w:val="multilevel"/>
    <w:tmpl w:val="64B54113"/>
    <w:lvl w:ilvl="0" w:tentative="0">
      <w:start w:val="1"/>
      <w:numFmt w:val="decimal"/>
      <w:pStyle w:val="56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2"/>
  </w:num>
  <w:num w:numId="13">
    <w:abstractNumId w:val="1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Q1MDVmOWI0M2FkNDNiMzIzOTQxMjcwMTYyOGMifQ=="/>
  </w:docVars>
  <w:rsids>
    <w:rsidRoot w:val="001F3B24"/>
    <w:rsid w:val="00000331"/>
    <w:rsid w:val="00000C23"/>
    <w:rsid w:val="00012D60"/>
    <w:rsid w:val="00014025"/>
    <w:rsid w:val="000164AD"/>
    <w:rsid w:val="00016B24"/>
    <w:rsid w:val="000227B7"/>
    <w:rsid w:val="000249D5"/>
    <w:rsid w:val="000273BA"/>
    <w:rsid w:val="0003309F"/>
    <w:rsid w:val="0003332A"/>
    <w:rsid w:val="00035E31"/>
    <w:rsid w:val="00040769"/>
    <w:rsid w:val="00046219"/>
    <w:rsid w:val="00046267"/>
    <w:rsid w:val="00046E64"/>
    <w:rsid w:val="000473C7"/>
    <w:rsid w:val="00052692"/>
    <w:rsid w:val="00053811"/>
    <w:rsid w:val="00054D0F"/>
    <w:rsid w:val="00055449"/>
    <w:rsid w:val="00064AB8"/>
    <w:rsid w:val="0006534D"/>
    <w:rsid w:val="000658AC"/>
    <w:rsid w:val="00072B21"/>
    <w:rsid w:val="00077284"/>
    <w:rsid w:val="000852E6"/>
    <w:rsid w:val="000865FF"/>
    <w:rsid w:val="00087DC7"/>
    <w:rsid w:val="00090C81"/>
    <w:rsid w:val="00092E01"/>
    <w:rsid w:val="000B1A52"/>
    <w:rsid w:val="000B39F1"/>
    <w:rsid w:val="000B46F2"/>
    <w:rsid w:val="000B72A2"/>
    <w:rsid w:val="000B7E54"/>
    <w:rsid w:val="000C573A"/>
    <w:rsid w:val="000D10FC"/>
    <w:rsid w:val="000D210A"/>
    <w:rsid w:val="000D225A"/>
    <w:rsid w:val="000D7F8F"/>
    <w:rsid w:val="000E206C"/>
    <w:rsid w:val="000E5B1B"/>
    <w:rsid w:val="000F1428"/>
    <w:rsid w:val="000F3489"/>
    <w:rsid w:val="000F7E1C"/>
    <w:rsid w:val="00101563"/>
    <w:rsid w:val="00105B2E"/>
    <w:rsid w:val="00105B7F"/>
    <w:rsid w:val="0010625E"/>
    <w:rsid w:val="00107D49"/>
    <w:rsid w:val="00112143"/>
    <w:rsid w:val="00122CAD"/>
    <w:rsid w:val="001251F7"/>
    <w:rsid w:val="001267F6"/>
    <w:rsid w:val="00127A23"/>
    <w:rsid w:val="0013023F"/>
    <w:rsid w:val="00134FD1"/>
    <w:rsid w:val="001358B2"/>
    <w:rsid w:val="00136485"/>
    <w:rsid w:val="0013766D"/>
    <w:rsid w:val="00143859"/>
    <w:rsid w:val="00144EDD"/>
    <w:rsid w:val="00157FC4"/>
    <w:rsid w:val="00162366"/>
    <w:rsid w:val="0016430F"/>
    <w:rsid w:val="00170628"/>
    <w:rsid w:val="00174748"/>
    <w:rsid w:val="001809DD"/>
    <w:rsid w:val="0018487B"/>
    <w:rsid w:val="001857B1"/>
    <w:rsid w:val="001873D7"/>
    <w:rsid w:val="00190BD7"/>
    <w:rsid w:val="00190DAC"/>
    <w:rsid w:val="00191A4A"/>
    <w:rsid w:val="00197477"/>
    <w:rsid w:val="001A613C"/>
    <w:rsid w:val="001A628F"/>
    <w:rsid w:val="001B190D"/>
    <w:rsid w:val="001B410F"/>
    <w:rsid w:val="001C311A"/>
    <w:rsid w:val="001C4A24"/>
    <w:rsid w:val="001C777E"/>
    <w:rsid w:val="001D0AB2"/>
    <w:rsid w:val="001E36F7"/>
    <w:rsid w:val="001E527E"/>
    <w:rsid w:val="001E7856"/>
    <w:rsid w:val="001F1509"/>
    <w:rsid w:val="001F3B24"/>
    <w:rsid w:val="001F656D"/>
    <w:rsid w:val="00200426"/>
    <w:rsid w:val="00206668"/>
    <w:rsid w:val="00206678"/>
    <w:rsid w:val="002122A2"/>
    <w:rsid w:val="002205A7"/>
    <w:rsid w:val="00224DE8"/>
    <w:rsid w:val="00225F28"/>
    <w:rsid w:val="00234C0E"/>
    <w:rsid w:val="0023577B"/>
    <w:rsid w:val="00236D03"/>
    <w:rsid w:val="002374AD"/>
    <w:rsid w:val="00237708"/>
    <w:rsid w:val="002427D4"/>
    <w:rsid w:val="00244032"/>
    <w:rsid w:val="00244080"/>
    <w:rsid w:val="002451B7"/>
    <w:rsid w:val="0024554C"/>
    <w:rsid w:val="00246D56"/>
    <w:rsid w:val="002470D4"/>
    <w:rsid w:val="00250A86"/>
    <w:rsid w:val="00251DC1"/>
    <w:rsid w:val="00254EE8"/>
    <w:rsid w:val="002561B8"/>
    <w:rsid w:val="00261906"/>
    <w:rsid w:val="002642E6"/>
    <w:rsid w:val="00272119"/>
    <w:rsid w:val="0027489E"/>
    <w:rsid w:val="002769AB"/>
    <w:rsid w:val="00284C4D"/>
    <w:rsid w:val="002868B8"/>
    <w:rsid w:val="00290F47"/>
    <w:rsid w:val="002933BB"/>
    <w:rsid w:val="002A18E8"/>
    <w:rsid w:val="002A650B"/>
    <w:rsid w:val="002A6FDA"/>
    <w:rsid w:val="002B20D0"/>
    <w:rsid w:val="002B2FCC"/>
    <w:rsid w:val="002B55BF"/>
    <w:rsid w:val="002B6A24"/>
    <w:rsid w:val="002C1693"/>
    <w:rsid w:val="002C1AC9"/>
    <w:rsid w:val="002C37A0"/>
    <w:rsid w:val="002C3C58"/>
    <w:rsid w:val="002C57ED"/>
    <w:rsid w:val="002C7E1B"/>
    <w:rsid w:val="002C7E6D"/>
    <w:rsid w:val="002D1CFF"/>
    <w:rsid w:val="002D494F"/>
    <w:rsid w:val="002D5DFD"/>
    <w:rsid w:val="002D685A"/>
    <w:rsid w:val="002D7276"/>
    <w:rsid w:val="002E29C7"/>
    <w:rsid w:val="002E2C9C"/>
    <w:rsid w:val="002E30B6"/>
    <w:rsid w:val="002E4362"/>
    <w:rsid w:val="002E4D11"/>
    <w:rsid w:val="002F186D"/>
    <w:rsid w:val="002F3663"/>
    <w:rsid w:val="002F4C3D"/>
    <w:rsid w:val="002F625A"/>
    <w:rsid w:val="002F7C73"/>
    <w:rsid w:val="003005E7"/>
    <w:rsid w:val="00317FB8"/>
    <w:rsid w:val="003211DA"/>
    <w:rsid w:val="00333A2A"/>
    <w:rsid w:val="0033604A"/>
    <w:rsid w:val="00337D6E"/>
    <w:rsid w:val="00345143"/>
    <w:rsid w:val="003472A1"/>
    <w:rsid w:val="0035261B"/>
    <w:rsid w:val="00367516"/>
    <w:rsid w:val="00376922"/>
    <w:rsid w:val="003806BA"/>
    <w:rsid w:val="00385771"/>
    <w:rsid w:val="00386361"/>
    <w:rsid w:val="003917FD"/>
    <w:rsid w:val="00394BAB"/>
    <w:rsid w:val="003A1BE4"/>
    <w:rsid w:val="003A2944"/>
    <w:rsid w:val="003D0613"/>
    <w:rsid w:val="003D1269"/>
    <w:rsid w:val="003D297B"/>
    <w:rsid w:val="003D7C2D"/>
    <w:rsid w:val="003E2C91"/>
    <w:rsid w:val="003E5FDF"/>
    <w:rsid w:val="003E66A5"/>
    <w:rsid w:val="003F058A"/>
    <w:rsid w:val="003F3219"/>
    <w:rsid w:val="003F7263"/>
    <w:rsid w:val="004029CE"/>
    <w:rsid w:val="00402F9D"/>
    <w:rsid w:val="00411C40"/>
    <w:rsid w:val="00411CED"/>
    <w:rsid w:val="004134B2"/>
    <w:rsid w:val="00413B39"/>
    <w:rsid w:val="00414239"/>
    <w:rsid w:val="00414863"/>
    <w:rsid w:val="00416F28"/>
    <w:rsid w:val="00417796"/>
    <w:rsid w:val="004278AF"/>
    <w:rsid w:val="004302BC"/>
    <w:rsid w:val="004309F9"/>
    <w:rsid w:val="004375A5"/>
    <w:rsid w:val="00437F23"/>
    <w:rsid w:val="004415EA"/>
    <w:rsid w:val="00444E9F"/>
    <w:rsid w:val="0044613D"/>
    <w:rsid w:val="0046708B"/>
    <w:rsid w:val="00473EAF"/>
    <w:rsid w:val="00475356"/>
    <w:rsid w:val="004805D6"/>
    <w:rsid w:val="00486BD4"/>
    <w:rsid w:val="00487668"/>
    <w:rsid w:val="00493ACA"/>
    <w:rsid w:val="00494C72"/>
    <w:rsid w:val="004A3E41"/>
    <w:rsid w:val="004A6B94"/>
    <w:rsid w:val="004B1DE2"/>
    <w:rsid w:val="004B3E78"/>
    <w:rsid w:val="004B729C"/>
    <w:rsid w:val="004C0395"/>
    <w:rsid w:val="004C1039"/>
    <w:rsid w:val="004C5738"/>
    <w:rsid w:val="004D12DE"/>
    <w:rsid w:val="004D5C6A"/>
    <w:rsid w:val="004D5ED6"/>
    <w:rsid w:val="004D6300"/>
    <w:rsid w:val="004E2EB9"/>
    <w:rsid w:val="00500EB3"/>
    <w:rsid w:val="00501579"/>
    <w:rsid w:val="00502AE3"/>
    <w:rsid w:val="00506EE6"/>
    <w:rsid w:val="00510166"/>
    <w:rsid w:val="0051075A"/>
    <w:rsid w:val="00512396"/>
    <w:rsid w:val="005124C6"/>
    <w:rsid w:val="00512FD7"/>
    <w:rsid w:val="00520AA1"/>
    <w:rsid w:val="00520E2F"/>
    <w:rsid w:val="0052340F"/>
    <w:rsid w:val="00530F1E"/>
    <w:rsid w:val="0053398A"/>
    <w:rsid w:val="00535147"/>
    <w:rsid w:val="00536D9C"/>
    <w:rsid w:val="005646BE"/>
    <w:rsid w:val="00567D44"/>
    <w:rsid w:val="005751B4"/>
    <w:rsid w:val="00575E6C"/>
    <w:rsid w:val="005769A5"/>
    <w:rsid w:val="0057723E"/>
    <w:rsid w:val="00584C89"/>
    <w:rsid w:val="00586FEC"/>
    <w:rsid w:val="005A0224"/>
    <w:rsid w:val="005A24FC"/>
    <w:rsid w:val="005A406F"/>
    <w:rsid w:val="005B2A7B"/>
    <w:rsid w:val="005B3EA9"/>
    <w:rsid w:val="005B4F34"/>
    <w:rsid w:val="005B55C2"/>
    <w:rsid w:val="005B5BCB"/>
    <w:rsid w:val="005B5C60"/>
    <w:rsid w:val="005B5D81"/>
    <w:rsid w:val="005C7C6D"/>
    <w:rsid w:val="005D1D1D"/>
    <w:rsid w:val="005D2E64"/>
    <w:rsid w:val="005D3A1B"/>
    <w:rsid w:val="005E0C0A"/>
    <w:rsid w:val="005E4F28"/>
    <w:rsid w:val="005F0852"/>
    <w:rsid w:val="005F198B"/>
    <w:rsid w:val="005F7CDB"/>
    <w:rsid w:val="00602B39"/>
    <w:rsid w:val="00605636"/>
    <w:rsid w:val="00612091"/>
    <w:rsid w:val="006141C5"/>
    <w:rsid w:val="006157F9"/>
    <w:rsid w:val="006200FD"/>
    <w:rsid w:val="00620361"/>
    <w:rsid w:val="006206AD"/>
    <w:rsid w:val="00625276"/>
    <w:rsid w:val="00634493"/>
    <w:rsid w:val="00637E87"/>
    <w:rsid w:val="00643017"/>
    <w:rsid w:val="00643158"/>
    <w:rsid w:val="00643516"/>
    <w:rsid w:val="00645646"/>
    <w:rsid w:val="0065419D"/>
    <w:rsid w:val="006640B3"/>
    <w:rsid w:val="00664FA1"/>
    <w:rsid w:val="00671DB7"/>
    <w:rsid w:val="00672832"/>
    <w:rsid w:val="006733B0"/>
    <w:rsid w:val="00675529"/>
    <w:rsid w:val="006921B4"/>
    <w:rsid w:val="006A7B41"/>
    <w:rsid w:val="006A7FB1"/>
    <w:rsid w:val="006B5DEA"/>
    <w:rsid w:val="006C0915"/>
    <w:rsid w:val="006D2CA9"/>
    <w:rsid w:val="006D4920"/>
    <w:rsid w:val="006D6863"/>
    <w:rsid w:val="006E0FAA"/>
    <w:rsid w:val="006E6461"/>
    <w:rsid w:val="007070B1"/>
    <w:rsid w:val="00707FE9"/>
    <w:rsid w:val="00710B23"/>
    <w:rsid w:val="00710BF0"/>
    <w:rsid w:val="0071359E"/>
    <w:rsid w:val="00714A84"/>
    <w:rsid w:val="007239EC"/>
    <w:rsid w:val="00723FE9"/>
    <w:rsid w:val="00727B4E"/>
    <w:rsid w:val="00731351"/>
    <w:rsid w:val="00736396"/>
    <w:rsid w:val="00742CB3"/>
    <w:rsid w:val="00744C46"/>
    <w:rsid w:val="00744C6C"/>
    <w:rsid w:val="00747226"/>
    <w:rsid w:val="00750031"/>
    <w:rsid w:val="007709B5"/>
    <w:rsid w:val="00786891"/>
    <w:rsid w:val="00792B6A"/>
    <w:rsid w:val="00793361"/>
    <w:rsid w:val="00793857"/>
    <w:rsid w:val="007969FF"/>
    <w:rsid w:val="007A3C80"/>
    <w:rsid w:val="007A439E"/>
    <w:rsid w:val="007A47D1"/>
    <w:rsid w:val="007A5597"/>
    <w:rsid w:val="007B36A3"/>
    <w:rsid w:val="007B529F"/>
    <w:rsid w:val="007C006E"/>
    <w:rsid w:val="007C5825"/>
    <w:rsid w:val="007C683B"/>
    <w:rsid w:val="007D0FF1"/>
    <w:rsid w:val="007D11A4"/>
    <w:rsid w:val="007D15DF"/>
    <w:rsid w:val="007D7854"/>
    <w:rsid w:val="007E034A"/>
    <w:rsid w:val="007F413F"/>
    <w:rsid w:val="007F75F8"/>
    <w:rsid w:val="008027AE"/>
    <w:rsid w:val="00805406"/>
    <w:rsid w:val="008115EA"/>
    <w:rsid w:val="00822622"/>
    <w:rsid w:val="00822887"/>
    <w:rsid w:val="00826221"/>
    <w:rsid w:val="00826E5F"/>
    <w:rsid w:val="0083107C"/>
    <w:rsid w:val="0083130B"/>
    <w:rsid w:val="00833555"/>
    <w:rsid w:val="0084046C"/>
    <w:rsid w:val="00840BD9"/>
    <w:rsid w:val="0084432F"/>
    <w:rsid w:val="00845B4F"/>
    <w:rsid w:val="008475AA"/>
    <w:rsid w:val="00853FA8"/>
    <w:rsid w:val="00854232"/>
    <w:rsid w:val="00860819"/>
    <w:rsid w:val="0087549E"/>
    <w:rsid w:val="00877785"/>
    <w:rsid w:val="00890007"/>
    <w:rsid w:val="00891981"/>
    <w:rsid w:val="00891C8B"/>
    <w:rsid w:val="008C01ED"/>
    <w:rsid w:val="008C03C8"/>
    <w:rsid w:val="008C2452"/>
    <w:rsid w:val="008C6B4C"/>
    <w:rsid w:val="008D367E"/>
    <w:rsid w:val="008D5412"/>
    <w:rsid w:val="008D5BAB"/>
    <w:rsid w:val="008D6022"/>
    <w:rsid w:val="008E1586"/>
    <w:rsid w:val="008F0F68"/>
    <w:rsid w:val="008F29F9"/>
    <w:rsid w:val="008F594A"/>
    <w:rsid w:val="008F5F8D"/>
    <w:rsid w:val="0090282E"/>
    <w:rsid w:val="00904283"/>
    <w:rsid w:val="00907F43"/>
    <w:rsid w:val="009125DC"/>
    <w:rsid w:val="009136F7"/>
    <w:rsid w:val="0091423B"/>
    <w:rsid w:val="009164EC"/>
    <w:rsid w:val="00921A0F"/>
    <w:rsid w:val="00923317"/>
    <w:rsid w:val="00926E7D"/>
    <w:rsid w:val="0093148D"/>
    <w:rsid w:val="009319CF"/>
    <w:rsid w:val="0093308E"/>
    <w:rsid w:val="00937F8A"/>
    <w:rsid w:val="00945B65"/>
    <w:rsid w:val="00951ACE"/>
    <w:rsid w:val="00953468"/>
    <w:rsid w:val="00953833"/>
    <w:rsid w:val="009544D9"/>
    <w:rsid w:val="00955447"/>
    <w:rsid w:val="00956BB8"/>
    <w:rsid w:val="00960C30"/>
    <w:rsid w:val="00965BD3"/>
    <w:rsid w:val="009700AE"/>
    <w:rsid w:val="00971B3B"/>
    <w:rsid w:val="00972C16"/>
    <w:rsid w:val="00973CA4"/>
    <w:rsid w:val="0097795D"/>
    <w:rsid w:val="0098190E"/>
    <w:rsid w:val="009823E5"/>
    <w:rsid w:val="00982741"/>
    <w:rsid w:val="00987760"/>
    <w:rsid w:val="00992971"/>
    <w:rsid w:val="00996691"/>
    <w:rsid w:val="00997899"/>
    <w:rsid w:val="009A102B"/>
    <w:rsid w:val="009A467C"/>
    <w:rsid w:val="009C0279"/>
    <w:rsid w:val="009C0CD0"/>
    <w:rsid w:val="009C337D"/>
    <w:rsid w:val="009C4F91"/>
    <w:rsid w:val="009C7E6B"/>
    <w:rsid w:val="009D0CCB"/>
    <w:rsid w:val="009D2994"/>
    <w:rsid w:val="009D445E"/>
    <w:rsid w:val="009D5EAE"/>
    <w:rsid w:val="009D7025"/>
    <w:rsid w:val="009D7A0E"/>
    <w:rsid w:val="009E279E"/>
    <w:rsid w:val="009E3D7A"/>
    <w:rsid w:val="009E5C2B"/>
    <w:rsid w:val="009F1F0E"/>
    <w:rsid w:val="00A00515"/>
    <w:rsid w:val="00A0299F"/>
    <w:rsid w:val="00A036E0"/>
    <w:rsid w:val="00A04029"/>
    <w:rsid w:val="00A047E5"/>
    <w:rsid w:val="00A10044"/>
    <w:rsid w:val="00A121EE"/>
    <w:rsid w:val="00A14241"/>
    <w:rsid w:val="00A16A1E"/>
    <w:rsid w:val="00A20BBA"/>
    <w:rsid w:val="00A23A4E"/>
    <w:rsid w:val="00A35127"/>
    <w:rsid w:val="00A37A46"/>
    <w:rsid w:val="00A37A9D"/>
    <w:rsid w:val="00A40CDA"/>
    <w:rsid w:val="00A41DCF"/>
    <w:rsid w:val="00A44CD6"/>
    <w:rsid w:val="00A53995"/>
    <w:rsid w:val="00A574F6"/>
    <w:rsid w:val="00A621DB"/>
    <w:rsid w:val="00A67A8F"/>
    <w:rsid w:val="00A74E08"/>
    <w:rsid w:val="00A81410"/>
    <w:rsid w:val="00A8456B"/>
    <w:rsid w:val="00AC23F5"/>
    <w:rsid w:val="00AC7218"/>
    <w:rsid w:val="00AD341A"/>
    <w:rsid w:val="00AE0DAD"/>
    <w:rsid w:val="00AE37DA"/>
    <w:rsid w:val="00AE6B1C"/>
    <w:rsid w:val="00AE7CAC"/>
    <w:rsid w:val="00AF61EF"/>
    <w:rsid w:val="00B00A0B"/>
    <w:rsid w:val="00B03C30"/>
    <w:rsid w:val="00B14E50"/>
    <w:rsid w:val="00B15583"/>
    <w:rsid w:val="00B15E9D"/>
    <w:rsid w:val="00B235F9"/>
    <w:rsid w:val="00B27066"/>
    <w:rsid w:val="00B319A7"/>
    <w:rsid w:val="00B32DFE"/>
    <w:rsid w:val="00B33083"/>
    <w:rsid w:val="00B3578E"/>
    <w:rsid w:val="00B374E6"/>
    <w:rsid w:val="00B44557"/>
    <w:rsid w:val="00B500FD"/>
    <w:rsid w:val="00B5221C"/>
    <w:rsid w:val="00B54B2C"/>
    <w:rsid w:val="00B56CCB"/>
    <w:rsid w:val="00B62107"/>
    <w:rsid w:val="00B63E28"/>
    <w:rsid w:val="00B66CF9"/>
    <w:rsid w:val="00B6731B"/>
    <w:rsid w:val="00B715AB"/>
    <w:rsid w:val="00B721B2"/>
    <w:rsid w:val="00B844E0"/>
    <w:rsid w:val="00B85204"/>
    <w:rsid w:val="00B86282"/>
    <w:rsid w:val="00B906DC"/>
    <w:rsid w:val="00B9627C"/>
    <w:rsid w:val="00B969E7"/>
    <w:rsid w:val="00BA543C"/>
    <w:rsid w:val="00BA5EA5"/>
    <w:rsid w:val="00BA6FAC"/>
    <w:rsid w:val="00BA7A0B"/>
    <w:rsid w:val="00BB196C"/>
    <w:rsid w:val="00BB2F2F"/>
    <w:rsid w:val="00BB6702"/>
    <w:rsid w:val="00BC0F77"/>
    <w:rsid w:val="00BC2BA2"/>
    <w:rsid w:val="00BC5C3C"/>
    <w:rsid w:val="00BC5F46"/>
    <w:rsid w:val="00BD27FB"/>
    <w:rsid w:val="00BD4065"/>
    <w:rsid w:val="00BD45A4"/>
    <w:rsid w:val="00BD4C65"/>
    <w:rsid w:val="00BE14A4"/>
    <w:rsid w:val="00BE7EF6"/>
    <w:rsid w:val="00BF30B0"/>
    <w:rsid w:val="00C013A5"/>
    <w:rsid w:val="00C01BB2"/>
    <w:rsid w:val="00C0699D"/>
    <w:rsid w:val="00C073EE"/>
    <w:rsid w:val="00C168D1"/>
    <w:rsid w:val="00C22AC7"/>
    <w:rsid w:val="00C32661"/>
    <w:rsid w:val="00C33303"/>
    <w:rsid w:val="00C339AF"/>
    <w:rsid w:val="00C374A2"/>
    <w:rsid w:val="00C556F3"/>
    <w:rsid w:val="00C57556"/>
    <w:rsid w:val="00C65078"/>
    <w:rsid w:val="00C72DCF"/>
    <w:rsid w:val="00C76F7F"/>
    <w:rsid w:val="00C77194"/>
    <w:rsid w:val="00C77DD3"/>
    <w:rsid w:val="00C77DD6"/>
    <w:rsid w:val="00C8134C"/>
    <w:rsid w:val="00C81E4D"/>
    <w:rsid w:val="00C845B4"/>
    <w:rsid w:val="00C85C46"/>
    <w:rsid w:val="00C938C2"/>
    <w:rsid w:val="00C95F1D"/>
    <w:rsid w:val="00C97A16"/>
    <w:rsid w:val="00CA3207"/>
    <w:rsid w:val="00CB61AF"/>
    <w:rsid w:val="00CB7653"/>
    <w:rsid w:val="00CD5592"/>
    <w:rsid w:val="00CD5AE1"/>
    <w:rsid w:val="00CE2735"/>
    <w:rsid w:val="00CF117C"/>
    <w:rsid w:val="00D0554E"/>
    <w:rsid w:val="00D063B1"/>
    <w:rsid w:val="00D136E9"/>
    <w:rsid w:val="00D26171"/>
    <w:rsid w:val="00D33A75"/>
    <w:rsid w:val="00D45A45"/>
    <w:rsid w:val="00D47049"/>
    <w:rsid w:val="00D504C3"/>
    <w:rsid w:val="00D51473"/>
    <w:rsid w:val="00D632C4"/>
    <w:rsid w:val="00D6609A"/>
    <w:rsid w:val="00D67E2A"/>
    <w:rsid w:val="00D7118F"/>
    <w:rsid w:val="00D735C6"/>
    <w:rsid w:val="00D807AB"/>
    <w:rsid w:val="00D87BBE"/>
    <w:rsid w:val="00D9012D"/>
    <w:rsid w:val="00D94E15"/>
    <w:rsid w:val="00DA20C0"/>
    <w:rsid w:val="00DB4013"/>
    <w:rsid w:val="00DC0776"/>
    <w:rsid w:val="00DC25E9"/>
    <w:rsid w:val="00DD0EAE"/>
    <w:rsid w:val="00DD1A76"/>
    <w:rsid w:val="00DE016E"/>
    <w:rsid w:val="00DE2BF7"/>
    <w:rsid w:val="00DE63ED"/>
    <w:rsid w:val="00DE7877"/>
    <w:rsid w:val="00DF3633"/>
    <w:rsid w:val="00E0127B"/>
    <w:rsid w:val="00E060E7"/>
    <w:rsid w:val="00E13E7C"/>
    <w:rsid w:val="00E1508D"/>
    <w:rsid w:val="00E17B18"/>
    <w:rsid w:val="00E21DBB"/>
    <w:rsid w:val="00E253A4"/>
    <w:rsid w:val="00E30198"/>
    <w:rsid w:val="00E32A3C"/>
    <w:rsid w:val="00E341C7"/>
    <w:rsid w:val="00E34D6A"/>
    <w:rsid w:val="00E36177"/>
    <w:rsid w:val="00E366DA"/>
    <w:rsid w:val="00E43D52"/>
    <w:rsid w:val="00E46E79"/>
    <w:rsid w:val="00E51962"/>
    <w:rsid w:val="00E54A65"/>
    <w:rsid w:val="00E5716B"/>
    <w:rsid w:val="00E63613"/>
    <w:rsid w:val="00E6788D"/>
    <w:rsid w:val="00E70640"/>
    <w:rsid w:val="00E7149E"/>
    <w:rsid w:val="00E750F3"/>
    <w:rsid w:val="00E76A54"/>
    <w:rsid w:val="00E807A0"/>
    <w:rsid w:val="00E84513"/>
    <w:rsid w:val="00E84F61"/>
    <w:rsid w:val="00E94594"/>
    <w:rsid w:val="00E96310"/>
    <w:rsid w:val="00E97F36"/>
    <w:rsid w:val="00EA0785"/>
    <w:rsid w:val="00EA373E"/>
    <w:rsid w:val="00EA52CA"/>
    <w:rsid w:val="00EA5461"/>
    <w:rsid w:val="00EB2A96"/>
    <w:rsid w:val="00EB74FF"/>
    <w:rsid w:val="00EC4FD4"/>
    <w:rsid w:val="00EC7D51"/>
    <w:rsid w:val="00ED04AE"/>
    <w:rsid w:val="00ED0E40"/>
    <w:rsid w:val="00ED3A74"/>
    <w:rsid w:val="00ED60C5"/>
    <w:rsid w:val="00EE0C36"/>
    <w:rsid w:val="00EF0778"/>
    <w:rsid w:val="00EF1DE2"/>
    <w:rsid w:val="00F00831"/>
    <w:rsid w:val="00F0175D"/>
    <w:rsid w:val="00F1191B"/>
    <w:rsid w:val="00F120E5"/>
    <w:rsid w:val="00F123BB"/>
    <w:rsid w:val="00F1506F"/>
    <w:rsid w:val="00F15B67"/>
    <w:rsid w:val="00F22285"/>
    <w:rsid w:val="00F22383"/>
    <w:rsid w:val="00F22611"/>
    <w:rsid w:val="00F22C83"/>
    <w:rsid w:val="00F24198"/>
    <w:rsid w:val="00F31037"/>
    <w:rsid w:val="00F322CE"/>
    <w:rsid w:val="00F423B6"/>
    <w:rsid w:val="00F462A2"/>
    <w:rsid w:val="00F54B4E"/>
    <w:rsid w:val="00F554C2"/>
    <w:rsid w:val="00F55F52"/>
    <w:rsid w:val="00F60EBF"/>
    <w:rsid w:val="00F718C0"/>
    <w:rsid w:val="00F71C83"/>
    <w:rsid w:val="00F73D0A"/>
    <w:rsid w:val="00F77180"/>
    <w:rsid w:val="00F77767"/>
    <w:rsid w:val="00F80DD5"/>
    <w:rsid w:val="00F81C5A"/>
    <w:rsid w:val="00F844DE"/>
    <w:rsid w:val="00F84923"/>
    <w:rsid w:val="00F93E16"/>
    <w:rsid w:val="00F956CA"/>
    <w:rsid w:val="00F95E74"/>
    <w:rsid w:val="00F95EEE"/>
    <w:rsid w:val="00FA1053"/>
    <w:rsid w:val="00FB28AA"/>
    <w:rsid w:val="00FC21A4"/>
    <w:rsid w:val="00FC2B5F"/>
    <w:rsid w:val="00FC3A65"/>
    <w:rsid w:val="00FC5653"/>
    <w:rsid w:val="00FD02C1"/>
    <w:rsid w:val="00FD43B2"/>
    <w:rsid w:val="00FD7B35"/>
    <w:rsid w:val="00FE0E1D"/>
    <w:rsid w:val="00FE22C1"/>
    <w:rsid w:val="00FE2F8B"/>
    <w:rsid w:val="00FE3CBD"/>
    <w:rsid w:val="00FE64AD"/>
    <w:rsid w:val="00FE6DC8"/>
    <w:rsid w:val="00FF0979"/>
    <w:rsid w:val="00FF379D"/>
    <w:rsid w:val="00FF3C38"/>
    <w:rsid w:val="00FF58C3"/>
    <w:rsid w:val="00FF5E4E"/>
    <w:rsid w:val="00FF5E6C"/>
    <w:rsid w:val="010351AA"/>
    <w:rsid w:val="01063F89"/>
    <w:rsid w:val="010C0502"/>
    <w:rsid w:val="011F393D"/>
    <w:rsid w:val="01473384"/>
    <w:rsid w:val="015C7941"/>
    <w:rsid w:val="016536E6"/>
    <w:rsid w:val="01671BDD"/>
    <w:rsid w:val="01883901"/>
    <w:rsid w:val="01A445BF"/>
    <w:rsid w:val="01E12B6B"/>
    <w:rsid w:val="01F9160D"/>
    <w:rsid w:val="01FA5486"/>
    <w:rsid w:val="02036538"/>
    <w:rsid w:val="02215FBE"/>
    <w:rsid w:val="02532161"/>
    <w:rsid w:val="02840B59"/>
    <w:rsid w:val="02994018"/>
    <w:rsid w:val="029A4014"/>
    <w:rsid w:val="02BD5AB9"/>
    <w:rsid w:val="032E3E64"/>
    <w:rsid w:val="034D21CA"/>
    <w:rsid w:val="0355246C"/>
    <w:rsid w:val="035549F5"/>
    <w:rsid w:val="03715D48"/>
    <w:rsid w:val="03750583"/>
    <w:rsid w:val="037759DB"/>
    <w:rsid w:val="037E45E1"/>
    <w:rsid w:val="038B10BD"/>
    <w:rsid w:val="038C76D9"/>
    <w:rsid w:val="03BB6210"/>
    <w:rsid w:val="03C36E72"/>
    <w:rsid w:val="03F22090"/>
    <w:rsid w:val="040C6A6B"/>
    <w:rsid w:val="040E27E3"/>
    <w:rsid w:val="04117BDE"/>
    <w:rsid w:val="04185410"/>
    <w:rsid w:val="042B5143"/>
    <w:rsid w:val="043423E5"/>
    <w:rsid w:val="04455AD9"/>
    <w:rsid w:val="045D2E23"/>
    <w:rsid w:val="04722160"/>
    <w:rsid w:val="04722D72"/>
    <w:rsid w:val="049E0902"/>
    <w:rsid w:val="04B617F0"/>
    <w:rsid w:val="04C609C8"/>
    <w:rsid w:val="04E92909"/>
    <w:rsid w:val="05483AD3"/>
    <w:rsid w:val="0549044B"/>
    <w:rsid w:val="056F72B2"/>
    <w:rsid w:val="057228FE"/>
    <w:rsid w:val="057A54FA"/>
    <w:rsid w:val="057F6DC9"/>
    <w:rsid w:val="058B496F"/>
    <w:rsid w:val="05A027FD"/>
    <w:rsid w:val="05A50F26"/>
    <w:rsid w:val="05BB6053"/>
    <w:rsid w:val="05C55124"/>
    <w:rsid w:val="063351E1"/>
    <w:rsid w:val="064918B1"/>
    <w:rsid w:val="068C79F0"/>
    <w:rsid w:val="069B7C33"/>
    <w:rsid w:val="06A50AB1"/>
    <w:rsid w:val="06AA678E"/>
    <w:rsid w:val="06F9692F"/>
    <w:rsid w:val="07022A8F"/>
    <w:rsid w:val="07384A39"/>
    <w:rsid w:val="073D0CEA"/>
    <w:rsid w:val="074F63C0"/>
    <w:rsid w:val="075E75DE"/>
    <w:rsid w:val="07752F8D"/>
    <w:rsid w:val="07762B7A"/>
    <w:rsid w:val="07944DAE"/>
    <w:rsid w:val="07CC362E"/>
    <w:rsid w:val="07E64320"/>
    <w:rsid w:val="07F25114"/>
    <w:rsid w:val="0824578F"/>
    <w:rsid w:val="082948E1"/>
    <w:rsid w:val="084A5DB4"/>
    <w:rsid w:val="08716E9D"/>
    <w:rsid w:val="08861707"/>
    <w:rsid w:val="089112ED"/>
    <w:rsid w:val="089B216C"/>
    <w:rsid w:val="089E3E17"/>
    <w:rsid w:val="08AE1EB5"/>
    <w:rsid w:val="08AE6343"/>
    <w:rsid w:val="08BB280E"/>
    <w:rsid w:val="08BB45BC"/>
    <w:rsid w:val="08CE42EF"/>
    <w:rsid w:val="08E863B5"/>
    <w:rsid w:val="08FC4B3E"/>
    <w:rsid w:val="093717C8"/>
    <w:rsid w:val="094822F4"/>
    <w:rsid w:val="095A1B0F"/>
    <w:rsid w:val="09702AE6"/>
    <w:rsid w:val="09811362"/>
    <w:rsid w:val="09860175"/>
    <w:rsid w:val="09C94AB7"/>
    <w:rsid w:val="09D65B51"/>
    <w:rsid w:val="09E35B78"/>
    <w:rsid w:val="09ED69F7"/>
    <w:rsid w:val="09FC4E8C"/>
    <w:rsid w:val="0A033311"/>
    <w:rsid w:val="0A110938"/>
    <w:rsid w:val="0A1B3F65"/>
    <w:rsid w:val="0A1E4E03"/>
    <w:rsid w:val="0A256191"/>
    <w:rsid w:val="0A344626"/>
    <w:rsid w:val="0A36214C"/>
    <w:rsid w:val="0A4C7BC2"/>
    <w:rsid w:val="0A7F1FB0"/>
    <w:rsid w:val="0A8F01B6"/>
    <w:rsid w:val="0AC92EC9"/>
    <w:rsid w:val="0AD123DB"/>
    <w:rsid w:val="0ADA341F"/>
    <w:rsid w:val="0AE0655C"/>
    <w:rsid w:val="0AE71698"/>
    <w:rsid w:val="0B095AB3"/>
    <w:rsid w:val="0B3348DE"/>
    <w:rsid w:val="0B381EF4"/>
    <w:rsid w:val="0B554854"/>
    <w:rsid w:val="0B7441F0"/>
    <w:rsid w:val="0B7E024F"/>
    <w:rsid w:val="0B82348B"/>
    <w:rsid w:val="0B9A495D"/>
    <w:rsid w:val="0BA92DF2"/>
    <w:rsid w:val="0BCD6AE0"/>
    <w:rsid w:val="0BD75B32"/>
    <w:rsid w:val="0BE15A5A"/>
    <w:rsid w:val="0BE5112D"/>
    <w:rsid w:val="0C046A34"/>
    <w:rsid w:val="0C126BE9"/>
    <w:rsid w:val="0C22507E"/>
    <w:rsid w:val="0C305A7F"/>
    <w:rsid w:val="0C851169"/>
    <w:rsid w:val="0C8C699B"/>
    <w:rsid w:val="0CA365D7"/>
    <w:rsid w:val="0CAA61CA"/>
    <w:rsid w:val="0CEA36C2"/>
    <w:rsid w:val="0D2B7D91"/>
    <w:rsid w:val="0D335069"/>
    <w:rsid w:val="0D3861DB"/>
    <w:rsid w:val="0D690AF9"/>
    <w:rsid w:val="0D6A5344"/>
    <w:rsid w:val="0D6E60A1"/>
    <w:rsid w:val="0D812597"/>
    <w:rsid w:val="0D8B0A01"/>
    <w:rsid w:val="0DA11FD2"/>
    <w:rsid w:val="0DA2142D"/>
    <w:rsid w:val="0DC67C8B"/>
    <w:rsid w:val="0DC73CDF"/>
    <w:rsid w:val="0DDC0741"/>
    <w:rsid w:val="0DDE3227"/>
    <w:rsid w:val="0DF16743"/>
    <w:rsid w:val="0DFF7F0C"/>
    <w:rsid w:val="0E0A401C"/>
    <w:rsid w:val="0E144AFA"/>
    <w:rsid w:val="0E71409B"/>
    <w:rsid w:val="0E820056"/>
    <w:rsid w:val="0E944CD4"/>
    <w:rsid w:val="0EBB3A12"/>
    <w:rsid w:val="0EC016BC"/>
    <w:rsid w:val="0ECC307F"/>
    <w:rsid w:val="0ED463D8"/>
    <w:rsid w:val="0ED66637"/>
    <w:rsid w:val="0F0345BF"/>
    <w:rsid w:val="0F0A004B"/>
    <w:rsid w:val="0F1113DA"/>
    <w:rsid w:val="0F334EAC"/>
    <w:rsid w:val="0F614E8D"/>
    <w:rsid w:val="0F855859"/>
    <w:rsid w:val="0F8A69BC"/>
    <w:rsid w:val="0F9718DF"/>
    <w:rsid w:val="0F9C26DE"/>
    <w:rsid w:val="0FCD5301"/>
    <w:rsid w:val="0FD7617F"/>
    <w:rsid w:val="0FD930EE"/>
    <w:rsid w:val="0FDE750E"/>
    <w:rsid w:val="0FE00D5E"/>
    <w:rsid w:val="0FE50EF5"/>
    <w:rsid w:val="0FE65AF3"/>
    <w:rsid w:val="0FEB1C2B"/>
    <w:rsid w:val="103233B6"/>
    <w:rsid w:val="1075354A"/>
    <w:rsid w:val="10847F21"/>
    <w:rsid w:val="108B7A49"/>
    <w:rsid w:val="10974D21"/>
    <w:rsid w:val="10A87569"/>
    <w:rsid w:val="10AC760C"/>
    <w:rsid w:val="10C304B2"/>
    <w:rsid w:val="10C761F6"/>
    <w:rsid w:val="10CA7A92"/>
    <w:rsid w:val="110A4333"/>
    <w:rsid w:val="110C1E59"/>
    <w:rsid w:val="111B79C7"/>
    <w:rsid w:val="1132629F"/>
    <w:rsid w:val="113373E5"/>
    <w:rsid w:val="11397224"/>
    <w:rsid w:val="1146147C"/>
    <w:rsid w:val="11580041"/>
    <w:rsid w:val="117A5EB3"/>
    <w:rsid w:val="118714DF"/>
    <w:rsid w:val="11892145"/>
    <w:rsid w:val="11BA18B5"/>
    <w:rsid w:val="11C73FD2"/>
    <w:rsid w:val="11EB5F12"/>
    <w:rsid w:val="11EF1654"/>
    <w:rsid w:val="11F052D6"/>
    <w:rsid w:val="12096398"/>
    <w:rsid w:val="120D5E88"/>
    <w:rsid w:val="123211CE"/>
    <w:rsid w:val="123D19B6"/>
    <w:rsid w:val="12421647"/>
    <w:rsid w:val="124C5FEE"/>
    <w:rsid w:val="128D0D77"/>
    <w:rsid w:val="12AE71DA"/>
    <w:rsid w:val="12B94B31"/>
    <w:rsid w:val="12BC5D12"/>
    <w:rsid w:val="12D225BA"/>
    <w:rsid w:val="12DE15D3"/>
    <w:rsid w:val="12E02B90"/>
    <w:rsid w:val="12E666D9"/>
    <w:rsid w:val="12F9465F"/>
    <w:rsid w:val="130A061A"/>
    <w:rsid w:val="1323022D"/>
    <w:rsid w:val="1356560D"/>
    <w:rsid w:val="13617CBC"/>
    <w:rsid w:val="1389525F"/>
    <w:rsid w:val="139545C9"/>
    <w:rsid w:val="139E0D62"/>
    <w:rsid w:val="13BD743A"/>
    <w:rsid w:val="13E32211"/>
    <w:rsid w:val="13E57956"/>
    <w:rsid w:val="13F82B68"/>
    <w:rsid w:val="13FA41EA"/>
    <w:rsid w:val="13FE7E2B"/>
    <w:rsid w:val="14130374"/>
    <w:rsid w:val="144325A1"/>
    <w:rsid w:val="14506500"/>
    <w:rsid w:val="14531B4D"/>
    <w:rsid w:val="145E0C1D"/>
    <w:rsid w:val="14661880"/>
    <w:rsid w:val="147436F3"/>
    <w:rsid w:val="148443FC"/>
    <w:rsid w:val="14B720DC"/>
    <w:rsid w:val="14D81D6D"/>
    <w:rsid w:val="14E629C1"/>
    <w:rsid w:val="14E81752"/>
    <w:rsid w:val="14EA0EC9"/>
    <w:rsid w:val="14EB41CA"/>
    <w:rsid w:val="150D43F1"/>
    <w:rsid w:val="15183603"/>
    <w:rsid w:val="15190FE8"/>
    <w:rsid w:val="151946CE"/>
    <w:rsid w:val="15260B9D"/>
    <w:rsid w:val="15453B8B"/>
    <w:rsid w:val="155618F4"/>
    <w:rsid w:val="155730AD"/>
    <w:rsid w:val="15655FDB"/>
    <w:rsid w:val="158B3597"/>
    <w:rsid w:val="15944ABD"/>
    <w:rsid w:val="15B043A0"/>
    <w:rsid w:val="15B63ED1"/>
    <w:rsid w:val="15B842D3"/>
    <w:rsid w:val="15B915F5"/>
    <w:rsid w:val="15BE614F"/>
    <w:rsid w:val="15C70A44"/>
    <w:rsid w:val="15DE2253"/>
    <w:rsid w:val="15EA028F"/>
    <w:rsid w:val="15EA3002"/>
    <w:rsid w:val="15EB1247"/>
    <w:rsid w:val="15FD6214"/>
    <w:rsid w:val="16104199"/>
    <w:rsid w:val="161764BA"/>
    <w:rsid w:val="16354533"/>
    <w:rsid w:val="16537FD4"/>
    <w:rsid w:val="16804AF7"/>
    <w:rsid w:val="16B44970"/>
    <w:rsid w:val="16D725BD"/>
    <w:rsid w:val="16DC407B"/>
    <w:rsid w:val="16DF591A"/>
    <w:rsid w:val="16E318AE"/>
    <w:rsid w:val="16E7024B"/>
    <w:rsid w:val="170B670F"/>
    <w:rsid w:val="1711641B"/>
    <w:rsid w:val="17236EC4"/>
    <w:rsid w:val="17372064"/>
    <w:rsid w:val="17375756"/>
    <w:rsid w:val="173C4B1A"/>
    <w:rsid w:val="174C51CF"/>
    <w:rsid w:val="174D4F79"/>
    <w:rsid w:val="174F484D"/>
    <w:rsid w:val="17641903"/>
    <w:rsid w:val="176C53FF"/>
    <w:rsid w:val="177B1AE6"/>
    <w:rsid w:val="179130B8"/>
    <w:rsid w:val="17920BDE"/>
    <w:rsid w:val="17982698"/>
    <w:rsid w:val="17BE19D3"/>
    <w:rsid w:val="17BF5E77"/>
    <w:rsid w:val="17C57205"/>
    <w:rsid w:val="1810470E"/>
    <w:rsid w:val="18253800"/>
    <w:rsid w:val="182B4057"/>
    <w:rsid w:val="183A374F"/>
    <w:rsid w:val="184D3056"/>
    <w:rsid w:val="18626802"/>
    <w:rsid w:val="186B1B5B"/>
    <w:rsid w:val="187664A4"/>
    <w:rsid w:val="18770500"/>
    <w:rsid w:val="18784278"/>
    <w:rsid w:val="189A4AF2"/>
    <w:rsid w:val="18A62B93"/>
    <w:rsid w:val="18AD2DB2"/>
    <w:rsid w:val="18AD747B"/>
    <w:rsid w:val="18BD2E3B"/>
    <w:rsid w:val="18CC27A8"/>
    <w:rsid w:val="18D55F70"/>
    <w:rsid w:val="18DE232D"/>
    <w:rsid w:val="18FA2EDF"/>
    <w:rsid w:val="18FD3358"/>
    <w:rsid w:val="190E0A1F"/>
    <w:rsid w:val="191E4E1F"/>
    <w:rsid w:val="192B2350"/>
    <w:rsid w:val="192C753C"/>
    <w:rsid w:val="192E7DCB"/>
    <w:rsid w:val="197E6B9B"/>
    <w:rsid w:val="19832ED4"/>
    <w:rsid w:val="19B56B40"/>
    <w:rsid w:val="19C72DC1"/>
    <w:rsid w:val="19DB1B63"/>
    <w:rsid w:val="19E73463"/>
    <w:rsid w:val="19EA4D01"/>
    <w:rsid w:val="1A027FAB"/>
    <w:rsid w:val="1A116732"/>
    <w:rsid w:val="1A2C6E9E"/>
    <w:rsid w:val="1A2F6BB8"/>
    <w:rsid w:val="1A3F329F"/>
    <w:rsid w:val="1A40795C"/>
    <w:rsid w:val="1A4B1C44"/>
    <w:rsid w:val="1A50725A"/>
    <w:rsid w:val="1A552088"/>
    <w:rsid w:val="1A5D59EC"/>
    <w:rsid w:val="1A642366"/>
    <w:rsid w:val="1A7647E7"/>
    <w:rsid w:val="1A781B14"/>
    <w:rsid w:val="1A846F04"/>
    <w:rsid w:val="1AA2783E"/>
    <w:rsid w:val="1AB1581F"/>
    <w:rsid w:val="1AC231E2"/>
    <w:rsid w:val="1ADA2B2E"/>
    <w:rsid w:val="1B154000"/>
    <w:rsid w:val="1B2D30F7"/>
    <w:rsid w:val="1B5007ED"/>
    <w:rsid w:val="1B5A0F9A"/>
    <w:rsid w:val="1B770817"/>
    <w:rsid w:val="1B8A054A"/>
    <w:rsid w:val="1BB8378D"/>
    <w:rsid w:val="1BC05D1A"/>
    <w:rsid w:val="1BCD0437"/>
    <w:rsid w:val="1BCF374C"/>
    <w:rsid w:val="1BE21909"/>
    <w:rsid w:val="1C4050AC"/>
    <w:rsid w:val="1C47468D"/>
    <w:rsid w:val="1C51510C"/>
    <w:rsid w:val="1C6A3ED7"/>
    <w:rsid w:val="1C6E39C8"/>
    <w:rsid w:val="1C735482"/>
    <w:rsid w:val="1C82669B"/>
    <w:rsid w:val="1C8A6D66"/>
    <w:rsid w:val="1CAC06B2"/>
    <w:rsid w:val="1CB02FB2"/>
    <w:rsid w:val="1CB82E95"/>
    <w:rsid w:val="1CBF2475"/>
    <w:rsid w:val="1CCC0407"/>
    <w:rsid w:val="1CD5385E"/>
    <w:rsid w:val="1CF0262F"/>
    <w:rsid w:val="1CF3211F"/>
    <w:rsid w:val="1CF467C5"/>
    <w:rsid w:val="1CF643E7"/>
    <w:rsid w:val="1CF77E61"/>
    <w:rsid w:val="1D33076D"/>
    <w:rsid w:val="1D3A1AFC"/>
    <w:rsid w:val="1D4B3D09"/>
    <w:rsid w:val="1D5B266E"/>
    <w:rsid w:val="1D6628F1"/>
    <w:rsid w:val="1D7D55E2"/>
    <w:rsid w:val="1D7E5E8C"/>
    <w:rsid w:val="1DAF24EA"/>
    <w:rsid w:val="1DCF493A"/>
    <w:rsid w:val="1DDF4451"/>
    <w:rsid w:val="1DEA3522"/>
    <w:rsid w:val="1E2D1660"/>
    <w:rsid w:val="1E2F13C5"/>
    <w:rsid w:val="1E470974"/>
    <w:rsid w:val="1E4C1AE7"/>
    <w:rsid w:val="1E537319"/>
    <w:rsid w:val="1E58715D"/>
    <w:rsid w:val="1E6908EA"/>
    <w:rsid w:val="1E875215"/>
    <w:rsid w:val="1E9A4F48"/>
    <w:rsid w:val="1EB15DEE"/>
    <w:rsid w:val="1ED13CD1"/>
    <w:rsid w:val="1EE241F9"/>
    <w:rsid w:val="1EE73F05"/>
    <w:rsid w:val="1EEA256D"/>
    <w:rsid w:val="1EFD7285"/>
    <w:rsid w:val="1F02489B"/>
    <w:rsid w:val="1F1C3BAF"/>
    <w:rsid w:val="1F3E42B2"/>
    <w:rsid w:val="1F5965E5"/>
    <w:rsid w:val="1F83629C"/>
    <w:rsid w:val="1FA87F56"/>
    <w:rsid w:val="1FAA498A"/>
    <w:rsid w:val="1FAB6CE1"/>
    <w:rsid w:val="1FB66C9D"/>
    <w:rsid w:val="1FC35DD8"/>
    <w:rsid w:val="1FDB534C"/>
    <w:rsid w:val="1FF468DA"/>
    <w:rsid w:val="1FF8397B"/>
    <w:rsid w:val="201F10D7"/>
    <w:rsid w:val="2020147D"/>
    <w:rsid w:val="206E043A"/>
    <w:rsid w:val="207D067D"/>
    <w:rsid w:val="20823560"/>
    <w:rsid w:val="209143AE"/>
    <w:rsid w:val="20DF30E6"/>
    <w:rsid w:val="20F57174"/>
    <w:rsid w:val="20F748D2"/>
    <w:rsid w:val="20F85F56"/>
    <w:rsid w:val="210222FE"/>
    <w:rsid w:val="211A5ECC"/>
    <w:rsid w:val="212705E9"/>
    <w:rsid w:val="212E7BC9"/>
    <w:rsid w:val="21303941"/>
    <w:rsid w:val="2144119B"/>
    <w:rsid w:val="214E5B76"/>
    <w:rsid w:val="21751354"/>
    <w:rsid w:val="217F21D3"/>
    <w:rsid w:val="21AA12ED"/>
    <w:rsid w:val="21B2476C"/>
    <w:rsid w:val="21D32204"/>
    <w:rsid w:val="21E93AF0"/>
    <w:rsid w:val="21EA7A2A"/>
    <w:rsid w:val="21F657CF"/>
    <w:rsid w:val="222039B6"/>
    <w:rsid w:val="22247B11"/>
    <w:rsid w:val="225B67B9"/>
    <w:rsid w:val="227710FC"/>
    <w:rsid w:val="228757E3"/>
    <w:rsid w:val="228C08BF"/>
    <w:rsid w:val="22A93020"/>
    <w:rsid w:val="22C72083"/>
    <w:rsid w:val="22DB46F1"/>
    <w:rsid w:val="22E03D7E"/>
    <w:rsid w:val="22F705FB"/>
    <w:rsid w:val="22F80EC2"/>
    <w:rsid w:val="22FF3D26"/>
    <w:rsid w:val="231336BF"/>
    <w:rsid w:val="232079E6"/>
    <w:rsid w:val="232848B1"/>
    <w:rsid w:val="233513F6"/>
    <w:rsid w:val="23403BE4"/>
    <w:rsid w:val="23453EE9"/>
    <w:rsid w:val="235101E4"/>
    <w:rsid w:val="23621DAC"/>
    <w:rsid w:val="23735D67"/>
    <w:rsid w:val="237A609E"/>
    <w:rsid w:val="23827D58"/>
    <w:rsid w:val="23932392"/>
    <w:rsid w:val="23A203FB"/>
    <w:rsid w:val="23A83C63"/>
    <w:rsid w:val="23B4085A"/>
    <w:rsid w:val="23E10F23"/>
    <w:rsid w:val="23F944BF"/>
    <w:rsid w:val="24044C11"/>
    <w:rsid w:val="24125580"/>
    <w:rsid w:val="24433A9F"/>
    <w:rsid w:val="246500EB"/>
    <w:rsid w:val="247368F3"/>
    <w:rsid w:val="247D2325"/>
    <w:rsid w:val="248024EA"/>
    <w:rsid w:val="248D0C80"/>
    <w:rsid w:val="24975BB4"/>
    <w:rsid w:val="24B403E6"/>
    <w:rsid w:val="24DC0508"/>
    <w:rsid w:val="24EF0244"/>
    <w:rsid w:val="24F353B2"/>
    <w:rsid w:val="2501161D"/>
    <w:rsid w:val="25070E5D"/>
    <w:rsid w:val="250A4358"/>
    <w:rsid w:val="2513335E"/>
    <w:rsid w:val="251F7F55"/>
    <w:rsid w:val="25227A45"/>
    <w:rsid w:val="254D64D9"/>
    <w:rsid w:val="255270EF"/>
    <w:rsid w:val="255F591F"/>
    <w:rsid w:val="257A33DD"/>
    <w:rsid w:val="257B0F03"/>
    <w:rsid w:val="2584600A"/>
    <w:rsid w:val="258B10E3"/>
    <w:rsid w:val="25B4065F"/>
    <w:rsid w:val="25B54415"/>
    <w:rsid w:val="25D12C98"/>
    <w:rsid w:val="25DA0950"/>
    <w:rsid w:val="25DF1492"/>
    <w:rsid w:val="25E65E18"/>
    <w:rsid w:val="26170C2C"/>
    <w:rsid w:val="264E03C6"/>
    <w:rsid w:val="265B27AB"/>
    <w:rsid w:val="26904261"/>
    <w:rsid w:val="26955FF5"/>
    <w:rsid w:val="26962499"/>
    <w:rsid w:val="26993FF3"/>
    <w:rsid w:val="26A54F41"/>
    <w:rsid w:val="26A81AA8"/>
    <w:rsid w:val="26A85D28"/>
    <w:rsid w:val="26DE6A53"/>
    <w:rsid w:val="27131A27"/>
    <w:rsid w:val="271D6716"/>
    <w:rsid w:val="274243CE"/>
    <w:rsid w:val="275E288B"/>
    <w:rsid w:val="27602AA7"/>
    <w:rsid w:val="27606603"/>
    <w:rsid w:val="276500BD"/>
    <w:rsid w:val="2780640A"/>
    <w:rsid w:val="27910EB2"/>
    <w:rsid w:val="27B84691"/>
    <w:rsid w:val="27CB43C4"/>
    <w:rsid w:val="27D52B4D"/>
    <w:rsid w:val="27F07987"/>
    <w:rsid w:val="27F51441"/>
    <w:rsid w:val="27FC632B"/>
    <w:rsid w:val="28092D7E"/>
    <w:rsid w:val="2809601D"/>
    <w:rsid w:val="281F22FE"/>
    <w:rsid w:val="286D7229"/>
    <w:rsid w:val="288822B5"/>
    <w:rsid w:val="288D6A15"/>
    <w:rsid w:val="289447B6"/>
    <w:rsid w:val="28B41790"/>
    <w:rsid w:val="28B52B84"/>
    <w:rsid w:val="28BE4A1C"/>
    <w:rsid w:val="28E03E9F"/>
    <w:rsid w:val="28E374EB"/>
    <w:rsid w:val="28F17E5A"/>
    <w:rsid w:val="290B39DC"/>
    <w:rsid w:val="291A38FA"/>
    <w:rsid w:val="2959155B"/>
    <w:rsid w:val="296201A9"/>
    <w:rsid w:val="296633D8"/>
    <w:rsid w:val="297445E7"/>
    <w:rsid w:val="29791BFE"/>
    <w:rsid w:val="29806BF1"/>
    <w:rsid w:val="2984482A"/>
    <w:rsid w:val="29A0718A"/>
    <w:rsid w:val="29A50C45"/>
    <w:rsid w:val="29BF3AB4"/>
    <w:rsid w:val="29C9048F"/>
    <w:rsid w:val="29CB3855"/>
    <w:rsid w:val="29D54FEB"/>
    <w:rsid w:val="29DA6B40"/>
    <w:rsid w:val="29DD73CB"/>
    <w:rsid w:val="2A175EFF"/>
    <w:rsid w:val="2A282638"/>
    <w:rsid w:val="2A2E22A5"/>
    <w:rsid w:val="2A4C567D"/>
    <w:rsid w:val="2A543A2B"/>
    <w:rsid w:val="2A632133"/>
    <w:rsid w:val="2A7226A5"/>
    <w:rsid w:val="2A832D34"/>
    <w:rsid w:val="2AB3363E"/>
    <w:rsid w:val="2ADC55F5"/>
    <w:rsid w:val="2AEA4B61"/>
    <w:rsid w:val="2AF07C9E"/>
    <w:rsid w:val="2B23722A"/>
    <w:rsid w:val="2B4A5243"/>
    <w:rsid w:val="2B717030"/>
    <w:rsid w:val="2B7D5822"/>
    <w:rsid w:val="2B876854"/>
    <w:rsid w:val="2B987399"/>
    <w:rsid w:val="2BA471CC"/>
    <w:rsid w:val="2BB02AB6"/>
    <w:rsid w:val="2BC82075"/>
    <w:rsid w:val="2BF10171"/>
    <w:rsid w:val="2BFC71F6"/>
    <w:rsid w:val="2C2045B2"/>
    <w:rsid w:val="2C204F13"/>
    <w:rsid w:val="2C5C17CE"/>
    <w:rsid w:val="2C7D37B3"/>
    <w:rsid w:val="2C8C7452"/>
    <w:rsid w:val="2CB86010"/>
    <w:rsid w:val="2CBB38D9"/>
    <w:rsid w:val="2CBE44F7"/>
    <w:rsid w:val="2CC31B0E"/>
    <w:rsid w:val="2CE55431"/>
    <w:rsid w:val="2D024D94"/>
    <w:rsid w:val="2D0A773C"/>
    <w:rsid w:val="2D0F347B"/>
    <w:rsid w:val="2D2F71A3"/>
    <w:rsid w:val="2D91368D"/>
    <w:rsid w:val="2D9C30E1"/>
    <w:rsid w:val="2DA57B8D"/>
    <w:rsid w:val="2DB256DE"/>
    <w:rsid w:val="2DB45530"/>
    <w:rsid w:val="2DCF6290"/>
    <w:rsid w:val="2DEE2BBA"/>
    <w:rsid w:val="2DF6381D"/>
    <w:rsid w:val="2E0917A2"/>
    <w:rsid w:val="2E1A49F7"/>
    <w:rsid w:val="2E312AA7"/>
    <w:rsid w:val="2E5B03A8"/>
    <w:rsid w:val="2E953036"/>
    <w:rsid w:val="2EB054B2"/>
    <w:rsid w:val="2EB66328"/>
    <w:rsid w:val="2EBF5257"/>
    <w:rsid w:val="2EDC2A13"/>
    <w:rsid w:val="2F0E2F3E"/>
    <w:rsid w:val="2F106B60"/>
    <w:rsid w:val="2F1C3757"/>
    <w:rsid w:val="2F1C5505"/>
    <w:rsid w:val="2F3740ED"/>
    <w:rsid w:val="2F3C4AB5"/>
    <w:rsid w:val="2F3C7955"/>
    <w:rsid w:val="2F4800A8"/>
    <w:rsid w:val="2F526F30"/>
    <w:rsid w:val="2FB17DD5"/>
    <w:rsid w:val="2FC811E9"/>
    <w:rsid w:val="2FD93F1F"/>
    <w:rsid w:val="2FDB53C0"/>
    <w:rsid w:val="2FDD11E5"/>
    <w:rsid w:val="30085A89"/>
    <w:rsid w:val="3012662B"/>
    <w:rsid w:val="30156AF1"/>
    <w:rsid w:val="301D32E3"/>
    <w:rsid w:val="306342BD"/>
    <w:rsid w:val="306F78B6"/>
    <w:rsid w:val="30852FC3"/>
    <w:rsid w:val="30913CD1"/>
    <w:rsid w:val="30C220DC"/>
    <w:rsid w:val="30DF101B"/>
    <w:rsid w:val="310223BE"/>
    <w:rsid w:val="310B75DF"/>
    <w:rsid w:val="312D39F9"/>
    <w:rsid w:val="313308E4"/>
    <w:rsid w:val="313F1A67"/>
    <w:rsid w:val="31581F30"/>
    <w:rsid w:val="315A4C73"/>
    <w:rsid w:val="316D28B4"/>
    <w:rsid w:val="31B33731"/>
    <w:rsid w:val="31E00C3F"/>
    <w:rsid w:val="31E2192B"/>
    <w:rsid w:val="31F77B64"/>
    <w:rsid w:val="32240923"/>
    <w:rsid w:val="329B2BE5"/>
    <w:rsid w:val="32A47CEB"/>
    <w:rsid w:val="32A95302"/>
    <w:rsid w:val="32B31CDC"/>
    <w:rsid w:val="32C75788"/>
    <w:rsid w:val="32DB132C"/>
    <w:rsid w:val="32E07130"/>
    <w:rsid w:val="32FF77D7"/>
    <w:rsid w:val="33184235"/>
    <w:rsid w:val="332901F1"/>
    <w:rsid w:val="333746BC"/>
    <w:rsid w:val="336254B1"/>
    <w:rsid w:val="337C0328"/>
    <w:rsid w:val="33884F17"/>
    <w:rsid w:val="33AB6E58"/>
    <w:rsid w:val="33B576F5"/>
    <w:rsid w:val="33CC574C"/>
    <w:rsid w:val="33CF6FEA"/>
    <w:rsid w:val="33ED121E"/>
    <w:rsid w:val="33F407FF"/>
    <w:rsid w:val="34142C4F"/>
    <w:rsid w:val="341D5FA7"/>
    <w:rsid w:val="342E1F62"/>
    <w:rsid w:val="343B642D"/>
    <w:rsid w:val="34B017CE"/>
    <w:rsid w:val="34BB30CA"/>
    <w:rsid w:val="34C113C9"/>
    <w:rsid w:val="34C3270A"/>
    <w:rsid w:val="34D128EE"/>
    <w:rsid w:val="34DC2F20"/>
    <w:rsid w:val="34DD368D"/>
    <w:rsid w:val="34DE001E"/>
    <w:rsid w:val="34E16FD5"/>
    <w:rsid w:val="34E54DC2"/>
    <w:rsid w:val="34F767F8"/>
    <w:rsid w:val="352C3FC8"/>
    <w:rsid w:val="352E1AEE"/>
    <w:rsid w:val="35356727"/>
    <w:rsid w:val="353F3CFB"/>
    <w:rsid w:val="35616AE7"/>
    <w:rsid w:val="35645A6C"/>
    <w:rsid w:val="35886A6D"/>
    <w:rsid w:val="358B6F41"/>
    <w:rsid w:val="359027A9"/>
    <w:rsid w:val="359F479A"/>
    <w:rsid w:val="35B2271F"/>
    <w:rsid w:val="35B81E75"/>
    <w:rsid w:val="35B93AAE"/>
    <w:rsid w:val="35C6782A"/>
    <w:rsid w:val="35DC154A"/>
    <w:rsid w:val="360B0081"/>
    <w:rsid w:val="361358B9"/>
    <w:rsid w:val="36174C78"/>
    <w:rsid w:val="36424FDB"/>
    <w:rsid w:val="36454744"/>
    <w:rsid w:val="364610BA"/>
    <w:rsid w:val="364C4922"/>
    <w:rsid w:val="365C0F27"/>
    <w:rsid w:val="3660357D"/>
    <w:rsid w:val="36910587"/>
    <w:rsid w:val="36A56197"/>
    <w:rsid w:val="36AE1139"/>
    <w:rsid w:val="36C26992"/>
    <w:rsid w:val="36CC15BF"/>
    <w:rsid w:val="36FC798E"/>
    <w:rsid w:val="36FD668B"/>
    <w:rsid w:val="37164F30"/>
    <w:rsid w:val="373D426B"/>
    <w:rsid w:val="373F7FE3"/>
    <w:rsid w:val="37440E68"/>
    <w:rsid w:val="375426F3"/>
    <w:rsid w:val="37544AD1"/>
    <w:rsid w:val="375907F6"/>
    <w:rsid w:val="37682AB2"/>
    <w:rsid w:val="376932B2"/>
    <w:rsid w:val="37977127"/>
    <w:rsid w:val="37A95DA4"/>
    <w:rsid w:val="37C91FA2"/>
    <w:rsid w:val="37CC121B"/>
    <w:rsid w:val="37E666B0"/>
    <w:rsid w:val="37EA2644"/>
    <w:rsid w:val="380354B4"/>
    <w:rsid w:val="38080D1C"/>
    <w:rsid w:val="380D1E8F"/>
    <w:rsid w:val="381274A5"/>
    <w:rsid w:val="381F7BCF"/>
    <w:rsid w:val="38454A27"/>
    <w:rsid w:val="38555D50"/>
    <w:rsid w:val="385F0DDA"/>
    <w:rsid w:val="38657F1D"/>
    <w:rsid w:val="38AB7897"/>
    <w:rsid w:val="38CF5396"/>
    <w:rsid w:val="38D66E63"/>
    <w:rsid w:val="38FB498E"/>
    <w:rsid w:val="3902576C"/>
    <w:rsid w:val="39033953"/>
    <w:rsid w:val="391818E8"/>
    <w:rsid w:val="39243934"/>
    <w:rsid w:val="393D0751"/>
    <w:rsid w:val="393D3F89"/>
    <w:rsid w:val="393E4AE3"/>
    <w:rsid w:val="394E09B1"/>
    <w:rsid w:val="3951514E"/>
    <w:rsid w:val="395444FA"/>
    <w:rsid w:val="395A55A8"/>
    <w:rsid w:val="395D6E46"/>
    <w:rsid w:val="39822409"/>
    <w:rsid w:val="39882115"/>
    <w:rsid w:val="39897C3B"/>
    <w:rsid w:val="3991089E"/>
    <w:rsid w:val="399C16B7"/>
    <w:rsid w:val="39A131D7"/>
    <w:rsid w:val="39AB5E03"/>
    <w:rsid w:val="39BC4267"/>
    <w:rsid w:val="39C93C2B"/>
    <w:rsid w:val="39DF3CFF"/>
    <w:rsid w:val="3A134267"/>
    <w:rsid w:val="3A377697"/>
    <w:rsid w:val="3A41749B"/>
    <w:rsid w:val="3A850402"/>
    <w:rsid w:val="3A887EF3"/>
    <w:rsid w:val="3A951DD6"/>
    <w:rsid w:val="3AA52853"/>
    <w:rsid w:val="3AA964EE"/>
    <w:rsid w:val="3AB04CAC"/>
    <w:rsid w:val="3AC058DE"/>
    <w:rsid w:val="3AC727C9"/>
    <w:rsid w:val="3ACA22B9"/>
    <w:rsid w:val="3B1E60AA"/>
    <w:rsid w:val="3B20012B"/>
    <w:rsid w:val="3B225C51"/>
    <w:rsid w:val="3B426C70"/>
    <w:rsid w:val="3B4A0B1A"/>
    <w:rsid w:val="3B693880"/>
    <w:rsid w:val="3B7346FF"/>
    <w:rsid w:val="3B772981"/>
    <w:rsid w:val="3B7B35B3"/>
    <w:rsid w:val="3B7C2A31"/>
    <w:rsid w:val="3B7F3862"/>
    <w:rsid w:val="3B872663"/>
    <w:rsid w:val="3B9F28E6"/>
    <w:rsid w:val="3BA14770"/>
    <w:rsid w:val="3BA50630"/>
    <w:rsid w:val="3BB8294F"/>
    <w:rsid w:val="3BC46D08"/>
    <w:rsid w:val="3BC60CD2"/>
    <w:rsid w:val="3BE628EE"/>
    <w:rsid w:val="3BE86E9B"/>
    <w:rsid w:val="3C261771"/>
    <w:rsid w:val="3C4C0576"/>
    <w:rsid w:val="3C8539D6"/>
    <w:rsid w:val="3C994858"/>
    <w:rsid w:val="3CA02442"/>
    <w:rsid w:val="3CA32DC2"/>
    <w:rsid w:val="3CB11983"/>
    <w:rsid w:val="3CBF319F"/>
    <w:rsid w:val="3CC76E92"/>
    <w:rsid w:val="3CC90E53"/>
    <w:rsid w:val="3CCA291F"/>
    <w:rsid w:val="3D0575D8"/>
    <w:rsid w:val="3D1E450F"/>
    <w:rsid w:val="3D4520CB"/>
    <w:rsid w:val="3D480012"/>
    <w:rsid w:val="3D790330"/>
    <w:rsid w:val="3D7E57B5"/>
    <w:rsid w:val="3D9A0357"/>
    <w:rsid w:val="3DB159B2"/>
    <w:rsid w:val="3DCB25D0"/>
    <w:rsid w:val="3DCE3EEC"/>
    <w:rsid w:val="3DD376D7"/>
    <w:rsid w:val="3DE44CCD"/>
    <w:rsid w:val="3DF53AF1"/>
    <w:rsid w:val="3E2E0DB1"/>
    <w:rsid w:val="3E3E59D5"/>
    <w:rsid w:val="3E48753E"/>
    <w:rsid w:val="3E6A5CCC"/>
    <w:rsid w:val="3E7F0807"/>
    <w:rsid w:val="3EA66B99"/>
    <w:rsid w:val="3EB219E2"/>
    <w:rsid w:val="3EB46EC5"/>
    <w:rsid w:val="3EC040FF"/>
    <w:rsid w:val="3EEF1AAA"/>
    <w:rsid w:val="3F0A0958"/>
    <w:rsid w:val="3F285932"/>
    <w:rsid w:val="3F2B4D95"/>
    <w:rsid w:val="3F2F6DB8"/>
    <w:rsid w:val="3F5931CD"/>
    <w:rsid w:val="3F607A65"/>
    <w:rsid w:val="3F6842E5"/>
    <w:rsid w:val="3F83115D"/>
    <w:rsid w:val="3F885497"/>
    <w:rsid w:val="3F9B5FD2"/>
    <w:rsid w:val="3F9D61EE"/>
    <w:rsid w:val="3FB35A12"/>
    <w:rsid w:val="3FB83028"/>
    <w:rsid w:val="3FCE0156"/>
    <w:rsid w:val="3FDD2A8F"/>
    <w:rsid w:val="3FE07C08"/>
    <w:rsid w:val="3FEA645C"/>
    <w:rsid w:val="3FF81804"/>
    <w:rsid w:val="3FFC69A5"/>
    <w:rsid w:val="401F30A7"/>
    <w:rsid w:val="4024421A"/>
    <w:rsid w:val="40264E1D"/>
    <w:rsid w:val="403326AF"/>
    <w:rsid w:val="403D52DB"/>
    <w:rsid w:val="40BC6B48"/>
    <w:rsid w:val="40BD1DA1"/>
    <w:rsid w:val="40C652D1"/>
    <w:rsid w:val="40C96B6F"/>
    <w:rsid w:val="40D3481B"/>
    <w:rsid w:val="40DE6ABE"/>
    <w:rsid w:val="40F2256A"/>
    <w:rsid w:val="410A1661"/>
    <w:rsid w:val="41197AF6"/>
    <w:rsid w:val="41254664"/>
    <w:rsid w:val="416529A9"/>
    <w:rsid w:val="416C6597"/>
    <w:rsid w:val="419172D5"/>
    <w:rsid w:val="419E4445"/>
    <w:rsid w:val="41B617E9"/>
    <w:rsid w:val="41BD6F03"/>
    <w:rsid w:val="41C56557"/>
    <w:rsid w:val="420A743F"/>
    <w:rsid w:val="423D2C52"/>
    <w:rsid w:val="42537038"/>
    <w:rsid w:val="42634441"/>
    <w:rsid w:val="42784CF1"/>
    <w:rsid w:val="4290541E"/>
    <w:rsid w:val="429D6505"/>
    <w:rsid w:val="42A67168"/>
    <w:rsid w:val="42BC698B"/>
    <w:rsid w:val="42CA2F91"/>
    <w:rsid w:val="42D00689"/>
    <w:rsid w:val="42DE0FF8"/>
    <w:rsid w:val="42FA7F17"/>
    <w:rsid w:val="43014CE6"/>
    <w:rsid w:val="431739AC"/>
    <w:rsid w:val="432D727E"/>
    <w:rsid w:val="4365448B"/>
    <w:rsid w:val="4370287C"/>
    <w:rsid w:val="438B0631"/>
    <w:rsid w:val="438C45B0"/>
    <w:rsid w:val="43957884"/>
    <w:rsid w:val="43A73E9E"/>
    <w:rsid w:val="43B6787E"/>
    <w:rsid w:val="43BD0C0D"/>
    <w:rsid w:val="43C10E64"/>
    <w:rsid w:val="43D30AF4"/>
    <w:rsid w:val="44117ACB"/>
    <w:rsid w:val="442115C5"/>
    <w:rsid w:val="44242A3A"/>
    <w:rsid w:val="44254A04"/>
    <w:rsid w:val="44290050"/>
    <w:rsid w:val="445552E9"/>
    <w:rsid w:val="4457346D"/>
    <w:rsid w:val="446D6703"/>
    <w:rsid w:val="4475773A"/>
    <w:rsid w:val="44AB315B"/>
    <w:rsid w:val="44C94E87"/>
    <w:rsid w:val="44CD50A4"/>
    <w:rsid w:val="44D22496"/>
    <w:rsid w:val="450B23E9"/>
    <w:rsid w:val="450E5498"/>
    <w:rsid w:val="451D2C81"/>
    <w:rsid w:val="452627E2"/>
    <w:rsid w:val="45321187"/>
    <w:rsid w:val="45373301"/>
    <w:rsid w:val="453A049E"/>
    <w:rsid w:val="455C6204"/>
    <w:rsid w:val="45BE47A3"/>
    <w:rsid w:val="45CB6FEE"/>
    <w:rsid w:val="45D43FEC"/>
    <w:rsid w:val="45D95A0E"/>
    <w:rsid w:val="45DB0369"/>
    <w:rsid w:val="45E5269D"/>
    <w:rsid w:val="45F228FF"/>
    <w:rsid w:val="46130FB8"/>
    <w:rsid w:val="467B6B5D"/>
    <w:rsid w:val="46821C9A"/>
    <w:rsid w:val="4696662F"/>
    <w:rsid w:val="469B4BE0"/>
    <w:rsid w:val="46A9191C"/>
    <w:rsid w:val="46A95479"/>
    <w:rsid w:val="46AE2A8F"/>
    <w:rsid w:val="46BD4CF1"/>
    <w:rsid w:val="46D168E6"/>
    <w:rsid w:val="46DF70EC"/>
    <w:rsid w:val="46E64A92"/>
    <w:rsid w:val="47060B1D"/>
    <w:rsid w:val="47152B0E"/>
    <w:rsid w:val="47217705"/>
    <w:rsid w:val="4723522B"/>
    <w:rsid w:val="472471F5"/>
    <w:rsid w:val="47421189"/>
    <w:rsid w:val="474C39E8"/>
    <w:rsid w:val="47523D62"/>
    <w:rsid w:val="478D6B48"/>
    <w:rsid w:val="47906769"/>
    <w:rsid w:val="47AA7A75"/>
    <w:rsid w:val="47E409D7"/>
    <w:rsid w:val="47F60B91"/>
    <w:rsid w:val="47FC07EA"/>
    <w:rsid w:val="480C3F11"/>
    <w:rsid w:val="481B4547"/>
    <w:rsid w:val="48221986"/>
    <w:rsid w:val="4827333B"/>
    <w:rsid w:val="48313978"/>
    <w:rsid w:val="4839555D"/>
    <w:rsid w:val="484D0E76"/>
    <w:rsid w:val="48A61EB8"/>
    <w:rsid w:val="48AB178A"/>
    <w:rsid w:val="48AB197C"/>
    <w:rsid w:val="48AF5F39"/>
    <w:rsid w:val="48BC4752"/>
    <w:rsid w:val="48D84B2B"/>
    <w:rsid w:val="48F367DE"/>
    <w:rsid w:val="48FD79D4"/>
    <w:rsid w:val="491F5EC6"/>
    <w:rsid w:val="49393875"/>
    <w:rsid w:val="49777AB0"/>
    <w:rsid w:val="497A134E"/>
    <w:rsid w:val="497C6E74"/>
    <w:rsid w:val="49A80C77"/>
    <w:rsid w:val="49C5190B"/>
    <w:rsid w:val="49CF3448"/>
    <w:rsid w:val="49EA0597"/>
    <w:rsid w:val="49ED0675"/>
    <w:rsid w:val="49F01DD4"/>
    <w:rsid w:val="4A2D2335"/>
    <w:rsid w:val="4A541B9F"/>
    <w:rsid w:val="4A5D51F1"/>
    <w:rsid w:val="4AB26AE1"/>
    <w:rsid w:val="4AC24D5B"/>
    <w:rsid w:val="4ADA20A4"/>
    <w:rsid w:val="4AFA4B06"/>
    <w:rsid w:val="4B1D167A"/>
    <w:rsid w:val="4B2E23F0"/>
    <w:rsid w:val="4B4208FB"/>
    <w:rsid w:val="4B667DDC"/>
    <w:rsid w:val="4B6A2FB6"/>
    <w:rsid w:val="4BC30EE1"/>
    <w:rsid w:val="4BEA27BB"/>
    <w:rsid w:val="4C2C582F"/>
    <w:rsid w:val="4C2D0445"/>
    <w:rsid w:val="4C2D4456"/>
    <w:rsid w:val="4C3054DB"/>
    <w:rsid w:val="4C4C3114"/>
    <w:rsid w:val="4C630976"/>
    <w:rsid w:val="4C714C8A"/>
    <w:rsid w:val="4C7E1155"/>
    <w:rsid w:val="4C8449BE"/>
    <w:rsid w:val="4C8914DF"/>
    <w:rsid w:val="4C982217"/>
    <w:rsid w:val="4CAA61AE"/>
    <w:rsid w:val="4CBD0B11"/>
    <w:rsid w:val="4CC108D9"/>
    <w:rsid w:val="4CE6441B"/>
    <w:rsid w:val="4D0F7FFF"/>
    <w:rsid w:val="4D2B4E39"/>
    <w:rsid w:val="4D2E66D8"/>
    <w:rsid w:val="4D2F41FE"/>
    <w:rsid w:val="4D452C53"/>
    <w:rsid w:val="4D4B7E68"/>
    <w:rsid w:val="4D5078BF"/>
    <w:rsid w:val="4D586DFA"/>
    <w:rsid w:val="4D6C7200"/>
    <w:rsid w:val="4D844549"/>
    <w:rsid w:val="4D8602C2"/>
    <w:rsid w:val="4D974EAA"/>
    <w:rsid w:val="4D9B33E9"/>
    <w:rsid w:val="4DA30E74"/>
    <w:rsid w:val="4DAB1AD6"/>
    <w:rsid w:val="4DB364B0"/>
    <w:rsid w:val="4DC112FA"/>
    <w:rsid w:val="4DC1579E"/>
    <w:rsid w:val="4DDF5C24"/>
    <w:rsid w:val="4E1E674C"/>
    <w:rsid w:val="4E1E79EE"/>
    <w:rsid w:val="4E2B0E69"/>
    <w:rsid w:val="4E3B5550"/>
    <w:rsid w:val="4E45017D"/>
    <w:rsid w:val="4E516B22"/>
    <w:rsid w:val="4E6B1AE6"/>
    <w:rsid w:val="4E720529"/>
    <w:rsid w:val="4E946A0E"/>
    <w:rsid w:val="4E9904C8"/>
    <w:rsid w:val="4EA01857"/>
    <w:rsid w:val="4EA20710"/>
    <w:rsid w:val="4EAA5DD9"/>
    <w:rsid w:val="4EAE71EF"/>
    <w:rsid w:val="4ED1176B"/>
    <w:rsid w:val="4ED96B17"/>
    <w:rsid w:val="4EDD4335"/>
    <w:rsid w:val="4EE31B8F"/>
    <w:rsid w:val="4EF13E61"/>
    <w:rsid w:val="4F0073FA"/>
    <w:rsid w:val="4F165675"/>
    <w:rsid w:val="4F3B214B"/>
    <w:rsid w:val="4F602D94"/>
    <w:rsid w:val="4F622668"/>
    <w:rsid w:val="4F806F93"/>
    <w:rsid w:val="4F846A83"/>
    <w:rsid w:val="4F912F4E"/>
    <w:rsid w:val="4F974A08"/>
    <w:rsid w:val="4FA82D1D"/>
    <w:rsid w:val="4FC43323"/>
    <w:rsid w:val="4FD317B8"/>
    <w:rsid w:val="4FD55530"/>
    <w:rsid w:val="4FE237A9"/>
    <w:rsid w:val="4FFF18FB"/>
    <w:rsid w:val="5008672A"/>
    <w:rsid w:val="500876B4"/>
    <w:rsid w:val="501439CE"/>
    <w:rsid w:val="5015592D"/>
    <w:rsid w:val="50216F24"/>
    <w:rsid w:val="502E1768"/>
    <w:rsid w:val="50504BB7"/>
    <w:rsid w:val="505B7534"/>
    <w:rsid w:val="50610B72"/>
    <w:rsid w:val="506444A8"/>
    <w:rsid w:val="509947B0"/>
    <w:rsid w:val="50A15412"/>
    <w:rsid w:val="50B11AF9"/>
    <w:rsid w:val="50B93924"/>
    <w:rsid w:val="50D6330E"/>
    <w:rsid w:val="50E74414"/>
    <w:rsid w:val="50F60038"/>
    <w:rsid w:val="50F625AF"/>
    <w:rsid w:val="50F63C66"/>
    <w:rsid w:val="50F77B06"/>
    <w:rsid w:val="5106705F"/>
    <w:rsid w:val="51330760"/>
    <w:rsid w:val="516923D4"/>
    <w:rsid w:val="519C2DCB"/>
    <w:rsid w:val="51AE428B"/>
    <w:rsid w:val="51B6770D"/>
    <w:rsid w:val="51C15D6C"/>
    <w:rsid w:val="51CD2963"/>
    <w:rsid w:val="51CE66DB"/>
    <w:rsid w:val="51D84E64"/>
    <w:rsid w:val="51E549CE"/>
    <w:rsid w:val="5201260D"/>
    <w:rsid w:val="52140592"/>
    <w:rsid w:val="523234C3"/>
    <w:rsid w:val="52383D1B"/>
    <w:rsid w:val="523A62C1"/>
    <w:rsid w:val="525E1A66"/>
    <w:rsid w:val="528B637A"/>
    <w:rsid w:val="529671F9"/>
    <w:rsid w:val="52B14033"/>
    <w:rsid w:val="52C35B14"/>
    <w:rsid w:val="52DA3410"/>
    <w:rsid w:val="52E00474"/>
    <w:rsid w:val="52EB1A4D"/>
    <w:rsid w:val="530F6FAB"/>
    <w:rsid w:val="5325057D"/>
    <w:rsid w:val="532742F5"/>
    <w:rsid w:val="53310CD0"/>
    <w:rsid w:val="533331B6"/>
    <w:rsid w:val="53346859"/>
    <w:rsid w:val="536D0B40"/>
    <w:rsid w:val="537952A2"/>
    <w:rsid w:val="53814451"/>
    <w:rsid w:val="539C7934"/>
    <w:rsid w:val="53BC3775"/>
    <w:rsid w:val="53CC27A6"/>
    <w:rsid w:val="53D012CF"/>
    <w:rsid w:val="53E758D1"/>
    <w:rsid w:val="53E83104"/>
    <w:rsid w:val="53F04C58"/>
    <w:rsid w:val="53F1748D"/>
    <w:rsid w:val="54041F40"/>
    <w:rsid w:val="542F2B87"/>
    <w:rsid w:val="543A1E06"/>
    <w:rsid w:val="54452506"/>
    <w:rsid w:val="54661945"/>
    <w:rsid w:val="547A0454"/>
    <w:rsid w:val="549C486F"/>
    <w:rsid w:val="54A6749B"/>
    <w:rsid w:val="54AF6350"/>
    <w:rsid w:val="54BE47E5"/>
    <w:rsid w:val="54BF40B9"/>
    <w:rsid w:val="54C87412"/>
    <w:rsid w:val="54F63F7F"/>
    <w:rsid w:val="551C4E89"/>
    <w:rsid w:val="552914C2"/>
    <w:rsid w:val="553E5926"/>
    <w:rsid w:val="555010BF"/>
    <w:rsid w:val="555B416B"/>
    <w:rsid w:val="55760C1C"/>
    <w:rsid w:val="557F21C6"/>
    <w:rsid w:val="5590641A"/>
    <w:rsid w:val="55983288"/>
    <w:rsid w:val="55986DE4"/>
    <w:rsid w:val="55AF2C6C"/>
    <w:rsid w:val="55CF74C9"/>
    <w:rsid w:val="55E00CDB"/>
    <w:rsid w:val="55E738C7"/>
    <w:rsid w:val="55FA184D"/>
    <w:rsid w:val="5609471D"/>
    <w:rsid w:val="560B1CAC"/>
    <w:rsid w:val="560C28D0"/>
    <w:rsid w:val="563665FD"/>
    <w:rsid w:val="566E6486"/>
    <w:rsid w:val="56821842"/>
    <w:rsid w:val="568850AA"/>
    <w:rsid w:val="5697353F"/>
    <w:rsid w:val="569A5FAD"/>
    <w:rsid w:val="56AF6ADB"/>
    <w:rsid w:val="56BC0DE5"/>
    <w:rsid w:val="56C63E25"/>
    <w:rsid w:val="56E322E1"/>
    <w:rsid w:val="56EE1E0E"/>
    <w:rsid w:val="570606C5"/>
    <w:rsid w:val="570E51A9"/>
    <w:rsid w:val="571A1A7B"/>
    <w:rsid w:val="573963A5"/>
    <w:rsid w:val="574B7E86"/>
    <w:rsid w:val="574C432A"/>
    <w:rsid w:val="574D3BFE"/>
    <w:rsid w:val="57593056"/>
    <w:rsid w:val="575C02E5"/>
    <w:rsid w:val="5774562F"/>
    <w:rsid w:val="57B7262E"/>
    <w:rsid w:val="57BA6CDE"/>
    <w:rsid w:val="57C52DF8"/>
    <w:rsid w:val="57E427B4"/>
    <w:rsid w:val="58094ED9"/>
    <w:rsid w:val="58164938"/>
    <w:rsid w:val="584D0494"/>
    <w:rsid w:val="58535244"/>
    <w:rsid w:val="58C223CA"/>
    <w:rsid w:val="58CD347C"/>
    <w:rsid w:val="58DD389F"/>
    <w:rsid w:val="58DE7204"/>
    <w:rsid w:val="58E41B6D"/>
    <w:rsid w:val="58F178E2"/>
    <w:rsid w:val="58F67B4B"/>
    <w:rsid w:val="58FC3B2E"/>
    <w:rsid w:val="591863AE"/>
    <w:rsid w:val="592563F3"/>
    <w:rsid w:val="592D59D8"/>
    <w:rsid w:val="592E4EC1"/>
    <w:rsid w:val="59417793"/>
    <w:rsid w:val="595B5282"/>
    <w:rsid w:val="59722042"/>
    <w:rsid w:val="59903774"/>
    <w:rsid w:val="59CA3C2C"/>
    <w:rsid w:val="59D27B1C"/>
    <w:rsid w:val="59D625D1"/>
    <w:rsid w:val="59DF5EC6"/>
    <w:rsid w:val="59E030F1"/>
    <w:rsid w:val="59F14D15"/>
    <w:rsid w:val="5A0704BD"/>
    <w:rsid w:val="5A096502"/>
    <w:rsid w:val="5A317807"/>
    <w:rsid w:val="5A3E2782"/>
    <w:rsid w:val="5A47702B"/>
    <w:rsid w:val="5A4F5EDF"/>
    <w:rsid w:val="5A601E9A"/>
    <w:rsid w:val="5A9102A6"/>
    <w:rsid w:val="5A9D30EE"/>
    <w:rsid w:val="5AAB4DBC"/>
    <w:rsid w:val="5AF82441"/>
    <w:rsid w:val="5B124AA9"/>
    <w:rsid w:val="5B1A5C45"/>
    <w:rsid w:val="5B21787C"/>
    <w:rsid w:val="5B264E92"/>
    <w:rsid w:val="5B352149"/>
    <w:rsid w:val="5B3A093D"/>
    <w:rsid w:val="5B3A26EB"/>
    <w:rsid w:val="5B547C51"/>
    <w:rsid w:val="5B7976B8"/>
    <w:rsid w:val="5B857E0A"/>
    <w:rsid w:val="5B891F73"/>
    <w:rsid w:val="5B8F2A37"/>
    <w:rsid w:val="5B9A46F8"/>
    <w:rsid w:val="5BCC5A39"/>
    <w:rsid w:val="5BDA7946"/>
    <w:rsid w:val="5BE10DB9"/>
    <w:rsid w:val="5BF14209"/>
    <w:rsid w:val="5BF22FC6"/>
    <w:rsid w:val="5C4862F6"/>
    <w:rsid w:val="5C4B310C"/>
    <w:rsid w:val="5C521722"/>
    <w:rsid w:val="5C6E089F"/>
    <w:rsid w:val="5C71213D"/>
    <w:rsid w:val="5C806824"/>
    <w:rsid w:val="5CA75E3E"/>
    <w:rsid w:val="5CB3257C"/>
    <w:rsid w:val="5CBF734C"/>
    <w:rsid w:val="5D0B4022"/>
    <w:rsid w:val="5D1A0A26"/>
    <w:rsid w:val="5D2C569D"/>
    <w:rsid w:val="5D32496B"/>
    <w:rsid w:val="5D3A4C25"/>
    <w:rsid w:val="5D59154F"/>
    <w:rsid w:val="5D5B20AB"/>
    <w:rsid w:val="5D5B6EE1"/>
    <w:rsid w:val="5D755C5D"/>
    <w:rsid w:val="5D7C6FEB"/>
    <w:rsid w:val="5D83481E"/>
    <w:rsid w:val="5D88563C"/>
    <w:rsid w:val="5D927B66"/>
    <w:rsid w:val="5D995DEF"/>
    <w:rsid w:val="5DA14CA4"/>
    <w:rsid w:val="5DB07948"/>
    <w:rsid w:val="5DB669A1"/>
    <w:rsid w:val="5DCF3134"/>
    <w:rsid w:val="5DD24E5D"/>
    <w:rsid w:val="5DDE06F2"/>
    <w:rsid w:val="5DEE6D1E"/>
    <w:rsid w:val="5DFB0858"/>
    <w:rsid w:val="5DFB2606"/>
    <w:rsid w:val="5E2406BA"/>
    <w:rsid w:val="5E3255D0"/>
    <w:rsid w:val="5E343D6A"/>
    <w:rsid w:val="5E3D602F"/>
    <w:rsid w:val="5E4562C8"/>
    <w:rsid w:val="5E6C50CE"/>
    <w:rsid w:val="5E6E2DD8"/>
    <w:rsid w:val="5E7D301B"/>
    <w:rsid w:val="5EA467FA"/>
    <w:rsid w:val="5EB24909"/>
    <w:rsid w:val="5ED23B79"/>
    <w:rsid w:val="5ED2780B"/>
    <w:rsid w:val="5ED54C05"/>
    <w:rsid w:val="5ED96066"/>
    <w:rsid w:val="5EE70DDC"/>
    <w:rsid w:val="5F061262"/>
    <w:rsid w:val="5F1165FA"/>
    <w:rsid w:val="5F337B7D"/>
    <w:rsid w:val="5F50072F"/>
    <w:rsid w:val="5F6366B5"/>
    <w:rsid w:val="5F7F1015"/>
    <w:rsid w:val="5F9E149B"/>
    <w:rsid w:val="5FA75DFC"/>
    <w:rsid w:val="5FB21F35"/>
    <w:rsid w:val="5FB24F46"/>
    <w:rsid w:val="5FDC0215"/>
    <w:rsid w:val="5FE159D6"/>
    <w:rsid w:val="5FE61094"/>
    <w:rsid w:val="60084544"/>
    <w:rsid w:val="6008725C"/>
    <w:rsid w:val="601479AF"/>
    <w:rsid w:val="602F2A3B"/>
    <w:rsid w:val="60360D16"/>
    <w:rsid w:val="60593313"/>
    <w:rsid w:val="605E0645"/>
    <w:rsid w:val="60651FB9"/>
    <w:rsid w:val="608A1A1F"/>
    <w:rsid w:val="608A5EC3"/>
    <w:rsid w:val="609D4FDA"/>
    <w:rsid w:val="60A96349"/>
    <w:rsid w:val="60D96503"/>
    <w:rsid w:val="60E27AAD"/>
    <w:rsid w:val="61013C4F"/>
    <w:rsid w:val="61047A23"/>
    <w:rsid w:val="611C2FBF"/>
    <w:rsid w:val="61265BEC"/>
    <w:rsid w:val="612E4AA0"/>
    <w:rsid w:val="613174DD"/>
    <w:rsid w:val="61363955"/>
    <w:rsid w:val="615C33BC"/>
    <w:rsid w:val="61620621"/>
    <w:rsid w:val="61863DA3"/>
    <w:rsid w:val="6189617B"/>
    <w:rsid w:val="61AF1358"/>
    <w:rsid w:val="61C6117D"/>
    <w:rsid w:val="61EF2074"/>
    <w:rsid w:val="62013F63"/>
    <w:rsid w:val="62175534"/>
    <w:rsid w:val="62202A47"/>
    <w:rsid w:val="62265778"/>
    <w:rsid w:val="622D6B06"/>
    <w:rsid w:val="62540537"/>
    <w:rsid w:val="625642AF"/>
    <w:rsid w:val="625C563D"/>
    <w:rsid w:val="626F35C2"/>
    <w:rsid w:val="62960B4F"/>
    <w:rsid w:val="629E17B2"/>
    <w:rsid w:val="62AE5E99"/>
    <w:rsid w:val="62DF6342"/>
    <w:rsid w:val="62E4391D"/>
    <w:rsid w:val="63042DA4"/>
    <w:rsid w:val="630546D9"/>
    <w:rsid w:val="6307409C"/>
    <w:rsid w:val="631A1780"/>
    <w:rsid w:val="631B7DE5"/>
    <w:rsid w:val="631B7EE5"/>
    <w:rsid w:val="63343EC4"/>
    <w:rsid w:val="63351F05"/>
    <w:rsid w:val="633A597E"/>
    <w:rsid w:val="63424833"/>
    <w:rsid w:val="635B2A2E"/>
    <w:rsid w:val="63730E90"/>
    <w:rsid w:val="63957059"/>
    <w:rsid w:val="639D3C37"/>
    <w:rsid w:val="63A96660"/>
    <w:rsid w:val="63AB687C"/>
    <w:rsid w:val="63D556A7"/>
    <w:rsid w:val="63D57B20"/>
    <w:rsid w:val="63E1404C"/>
    <w:rsid w:val="63FC2C34"/>
    <w:rsid w:val="640D6BEF"/>
    <w:rsid w:val="641726EB"/>
    <w:rsid w:val="641A755E"/>
    <w:rsid w:val="64216921"/>
    <w:rsid w:val="64430863"/>
    <w:rsid w:val="645B2050"/>
    <w:rsid w:val="64636EB1"/>
    <w:rsid w:val="64740EAF"/>
    <w:rsid w:val="64835103"/>
    <w:rsid w:val="64850E7B"/>
    <w:rsid w:val="6486074F"/>
    <w:rsid w:val="64872E45"/>
    <w:rsid w:val="648D1ADE"/>
    <w:rsid w:val="648F3AA8"/>
    <w:rsid w:val="64970BAF"/>
    <w:rsid w:val="64992A6E"/>
    <w:rsid w:val="64B4350F"/>
    <w:rsid w:val="64B84051"/>
    <w:rsid w:val="64BC4C3C"/>
    <w:rsid w:val="64C72BA9"/>
    <w:rsid w:val="64DD1A18"/>
    <w:rsid w:val="64FB294C"/>
    <w:rsid w:val="65051FBC"/>
    <w:rsid w:val="650A398F"/>
    <w:rsid w:val="650F4BE9"/>
    <w:rsid w:val="6513130E"/>
    <w:rsid w:val="651346D9"/>
    <w:rsid w:val="65206DF6"/>
    <w:rsid w:val="65544026"/>
    <w:rsid w:val="6567617C"/>
    <w:rsid w:val="656767D3"/>
    <w:rsid w:val="65700B97"/>
    <w:rsid w:val="65705687"/>
    <w:rsid w:val="6582360D"/>
    <w:rsid w:val="65847385"/>
    <w:rsid w:val="658A4BFB"/>
    <w:rsid w:val="65A417D5"/>
    <w:rsid w:val="65B95B65"/>
    <w:rsid w:val="65BC41CC"/>
    <w:rsid w:val="65C37EAD"/>
    <w:rsid w:val="65CD5537"/>
    <w:rsid w:val="65E16585"/>
    <w:rsid w:val="65E46B1D"/>
    <w:rsid w:val="65FC516D"/>
    <w:rsid w:val="66042274"/>
    <w:rsid w:val="660B3602"/>
    <w:rsid w:val="66134265"/>
    <w:rsid w:val="66287D10"/>
    <w:rsid w:val="664803B2"/>
    <w:rsid w:val="664F5C5B"/>
    <w:rsid w:val="66500A01"/>
    <w:rsid w:val="665B6338"/>
    <w:rsid w:val="665F56FC"/>
    <w:rsid w:val="66903B07"/>
    <w:rsid w:val="6698537E"/>
    <w:rsid w:val="66C814F3"/>
    <w:rsid w:val="66E0683D"/>
    <w:rsid w:val="66EF67CB"/>
    <w:rsid w:val="6703252B"/>
    <w:rsid w:val="6716225F"/>
    <w:rsid w:val="67176904"/>
    <w:rsid w:val="671B3414"/>
    <w:rsid w:val="67310E46"/>
    <w:rsid w:val="67446DCC"/>
    <w:rsid w:val="6751773B"/>
    <w:rsid w:val="67672AEA"/>
    <w:rsid w:val="676E209B"/>
    <w:rsid w:val="67A41618"/>
    <w:rsid w:val="67AA4CC9"/>
    <w:rsid w:val="67B37BBA"/>
    <w:rsid w:val="67D55C76"/>
    <w:rsid w:val="67DC234C"/>
    <w:rsid w:val="67EE31DB"/>
    <w:rsid w:val="680E73DA"/>
    <w:rsid w:val="681919D8"/>
    <w:rsid w:val="682033F3"/>
    <w:rsid w:val="682E5386"/>
    <w:rsid w:val="683757A6"/>
    <w:rsid w:val="6840351D"/>
    <w:rsid w:val="68621A91"/>
    <w:rsid w:val="688B6AC8"/>
    <w:rsid w:val="6891032A"/>
    <w:rsid w:val="6897117D"/>
    <w:rsid w:val="689B6927"/>
    <w:rsid w:val="68A51AEC"/>
    <w:rsid w:val="68B35357"/>
    <w:rsid w:val="68C36416"/>
    <w:rsid w:val="68C867E5"/>
    <w:rsid w:val="68D208BD"/>
    <w:rsid w:val="68D53E8D"/>
    <w:rsid w:val="68EF0FB9"/>
    <w:rsid w:val="68F83995"/>
    <w:rsid w:val="69236EB5"/>
    <w:rsid w:val="694231B6"/>
    <w:rsid w:val="69426518"/>
    <w:rsid w:val="69625FE0"/>
    <w:rsid w:val="696316B8"/>
    <w:rsid w:val="696F377A"/>
    <w:rsid w:val="69725830"/>
    <w:rsid w:val="69AC3259"/>
    <w:rsid w:val="69D34437"/>
    <w:rsid w:val="69EC2AE9"/>
    <w:rsid w:val="6A040A94"/>
    <w:rsid w:val="6A082C8B"/>
    <w:rsid w:val="6A0960AB"/>
    <w:rsid w:val="6A0B1197"/>
    <w:rsid w:val="6A107439"/>
    <w:rsid w:val="6A311144"/>
    <w:rsid w:val="6A527A52"/>
    <w:rsid w:val="6A72463D"/>
    <w:rsid w:val="6A841BD5"/>
    <w:rsid w:val="6A8A71EB"/>
    <w:rsid w:val="6AA10091"/>
    <w:rsid w:val="6AA77B92"/>
    <w:rsid w:val="6AAF0A00"/>
    <w:rsid w:val="6AB51D8E"/>
    <w:rsid w:val="6AE368FC"/>
    <w:rsid w:val="6B0407D5"/>
    <w:rsid w:val="6B071161"/>
    <w:rsid w:val="6B117D8B"/>
    <w:rsid w:val="6B160A7F"/>
    <w:rsid w:val="6B166CD1"/>
    <w:rsid w:val="6B2F1B41"/>
    <w:rsid w:val="6B5008C1"/>
    <w:rsid w:val="6B5670CE"/>
    <w:rsid w:val="6B574702"/>
    <w:rsid w:val="6B910106"/>
    <w:rsid w:val="6B9D451E"/>
    <w:rsid w:val="6BB14ECD"/>
    <w:rsid w:val="6BC0573E"/>
    <w:rsid w:val="6BDD159D"/>
    <w:rsid w:val="6BDD334B"/>
    <w:rsid w:val="6BE91CF0"/>
    <w:rsid w:val="6BEB1B36"/>
    <w:rsid w:val="6BF9036C"/>
    <w:rsid w:val="6C046B2A"/>
    <w:rsid w:val="6C0C59DE"/>
    <w:rsid w:val="6C225FEA"/>
    <w:rsid w:val="6C3B2D07"/>
    <w:rsid w:val="6C3C6A1A"/>
    <w:rsid w:val="6C9205D9"/>
    <w:rsid w:val="6C944351"/>
    <w:rsid w:val="6C9A123C"/>
    <w:rsid w:val="6CB4220A"/>
    <w:rsid w:val="6CB76F00"/>
    <w:rsid w:val="6CD3026D"/>
    <w:rsid w:val="6CD75FEC"/>
    <w:rsid w:val="6CDF30F3"/>
    <w:rsid w:val="6CF92406"/>
    <w:rsid w:val="6D156B14"/>
    <w:rsid w:val="6D2D1303"/>
    <w:rsid w:val="6D30394E"/>
    <w:rsid w:val="6D6A3304"/>
    <w:rsid w:val="6D6F694E"/>
    <w:rsid w:val="6D88746D"/>
    <w:rsid w:val="6D997745"/>
    <w:rsid w:val="6DAD773B"/>
    <w:rsid w:val="6DAE0AC1"/>
    <w:rsid w:val="6DE9321C"/>
    <w:rsid w:val="6DF94A9D"/>
    <w:rsid w:val="6E0626BC"/>
    <w:rsid w:val="6E572980"/>
    <w:rsid w:val="6E91666F"/>
    <w:rsid w:val="6EA81F5F"/>
    <w:rsid w:val="6EE95B32"/>
    <w:rsid w:val="6EF54473"/>
    <w:rsid w:val="6EF971A6"/>
    <w:rsid w:val="6F17385C"/>
    <w:rsid w:val="6F1F0958"/>
    <w:rsid w:val="6F2F210F"/>
    <w:rsid w:val="6F3D6E0E"/>
    <w:rsid w:val="6F42336D"/>
    <w:rsid w:val="6F436CBC"/>
    <w:rsid w:val="6F451933"/>
    <w:rsid w:val="6F601BAB"/>
    <w:rsid w:val="6F6D3F5B"/>
    <w:rsid w:val="6F9D176F"/>
    <w:rsid w:val="6FA32AFD"/>
    <w:rsid w:val="6FC565D0"/>
    <w:rsid w:val="6FD9651F"/>
    <w:rsid w:val="6FDD600F"/>
    <w:rsid w:val="6FE54EC4"/>
    <w:rsid w:val="6FEF6E58"/>
    <w:rsid w:val="6FFB0D86"/>
    <w:rsid w:val="6FFE1AE2"/>
    <w:rsid w:val="700A492A"/>
    <w:rsid w:val="704320B0"/>
    <w:rsid w:val="70651B61"/>
    <w:rsid w:val="70652935"/>
    <w:rsid w:val="707052E7"/>
    <w:rsid w:val="707103B0"/>
    <w:rsid w:val="709F2748"/>
    <w:rsid w:val="70AB1C6A"/>
    <w:rsid w:val="70AD3C34"/>
    <w:rsid w:val="70B111F7"/>
    <w:rsid w:val="70B12FF8"/>
    <w:rsid w:val="70C035D7"/>
    <w:rsid w:val="70C90342"/>
    <w:rsid w:val="70E35C37"/>
    <w:rsid w:val="70E57663"/>
    <w:rsid w:val="70EB02B8"/>
    <w:rsid w:val="711816FC"/>
    <w:rsid w:val="7121017E"/>
    <w:rsid w:val="71502811"/>
    <w:rsid w:val="715C7408"/>
    <w:rsid w:val="718831E3"/>
    <w:rsid w:val="71B26DAE"/>
    <w:rsid w:val="71BE3C1E"/>
    <w:rsid w:val="71D2318F"/>
    <w:rsid w:val="71E35433"/>
    <w:rsid w:val="71FE04BF"/>
    <w:rsid w:val="724A4606"/>
    <w:rsid w:val="728E1BE5"/>
    <w:rsid w:val="72AB41A3"/>
    <w:rsid w:val="72D71070"/>
    <w:rsid w:val="72D80D10"/>
    <w:rsid w:val="72DD00D4"/>
    <w:rsid w:val="72F5541E"/>
    <w:rsid w:val="73007921"/>
    <w:rsid w:val="730F17A8"/>
    <w:rsid w:val="731C0BFD"/>
    <w:rsid w:val="734608FB"/>
    <w:rsid w:val="73673081"/>
    <w:rsid w:val="736C4512"/>
    <w:rsid w:val="738B39BD"/>
    <w:rsid w:val="73903874"/>
    <w:rsid w:val="7391453C"/>
    <w:rsid w:val="73982BB8"/>
    <w:rsid w:val="739E1612"/>
    <w:rsid w:val="73BB0416"/>
    <w:rsid w:val="73C67469"/>
    <w:rsid w:val="73E07E7C"/>
    <w:rsid w:val="740F0761"/>
    <w:rsid w:val="741E6BF6"/>
    <w:rsid w:val="742E4A2E"/>
    <w:rsid w:val="743652A0"/>
    <w:rsid w:val="743957DE"/>
    <w:rsid w:val="74406B6D"/>
    <w:rsid w:val="74454183"/>
    <w:rsid w:val="744A79EB"/>
    <w:rsid w:val="744F0B5E"/>
    <w:rsid w:val="745C4161"/>
    <w:rsid w:val="747B7BA5"/>
    <w:rsid w:val="748C3B60"/>
    <w:rsid w:val="74921477"/>
    <w:rsid w:val="74A964C0"/>
    <w:rsid w:val="74C91279"/>
    <w:rsid w:val="74E514C2"/>
    <w:rsid w:val="74F66D5D"/>
    <w:rsid w:val="752529A2"/>
    <w:rsid w:val="7526408E"/>
    <w:rsid w:val="753F3849"/>
    <w:rsid w:val="75597074"/>
    <w:rsid w:val="755E6196"/>
    <w:rsid w:val="756757DA"/>
    <w:rsid w:val="757A60AE"/>
    <w:rsid w:val="757A7E5C"/>
    <w:rsid w:val="75833316"/>
    <w:rsid w:val="75C8506C"/>
    <w:rsid w:val="75D74DDB"/>
    <w:rsid w:val="75D86240"/>
    <w:rsid w:val="75EE28FF"/>
    <w:rsid w:val="75F75951"/>
    <w:rsid w:val="760A7432"/>
    <w:rsid w:val="7612203C"/>
    <w:rsid w:val="76226165"/>
    <w:rsid w:val="762A53DF"/>
    <w:rsid w:val="764F77F4"/>
    <w:rsid w:val="76525DAB"/>
    <w:rsid w:val="766A281A"/>
    <w:rsid w:val="767C19B2"/>
    <w:rsid w:val="76880F72"/>
    <w:rsid w:val="7698127C"/>
    <w:rsid w:val="76B37ACA"/>
    <w:rsid w:val="76E934EC"/>
    <w:rsid w:val="76F250E7"/>
    <w:rsid w:val="76F8368E"/>
    <w:rsid w:val="7706409E"/>
    <w:rsid w:val="77112A42"/>
    <w:rsid w:val="77157D79"/>
    <w:rsid w:val="7716448B"/>
    <w:rsid w:val="77444C19"/>
    <w:rsid w:val="774C3665"/>
    <w:rsid w:val="77514BED"/>
    <w:rsid w:val="77701517"/>
    <w:rsid w:val="777032C5"/>
    <w:rsid w:val="77732DB5"/>
    <w:rsid w:val="777D26D6"/>
    <w:rsid w:val="77A318EC"/>
    <w:rsid w:val="77AA68B6"/>
    <w:rsid w:val="77C17AD0"/>
    <w:rsid w:val="77CA0A7C"/>
    <w:rsid w:val="77CE4490"/>
    <w:rsid w:val="77DC6BAC"/>
    <w:rsid w:val="77F04406"/>
    <w:rsid w:val="78126A72"/>
    <w:rsid w:val="78397B5B"/>
    <w:rsid w:val="784E3B55"/>
    <w:rsid w:val="786D6074"/>
    <w:rsid w:val="788A7BA7"/>
    <w:rsid w:val="789B6A68"/>
    <w:rsid w:val="78AA2807"/>
    <w:rsid w:val="78BF0096"/>
    <w:rsid w:val="78C23FF4"/>
    <w:rsid w:val="78CA0F4F"/>
    <w:rsid w:val="78DB4971"/>
    <w:rsid w:val="79294073"/>
    <w:rsid w:val="792D30ED"/>
    <w:rsid w:val="792E2968"/>
    <w:rsid w:val="79711576"/>
    <w:rsid w:val="797F0137"/>
    <w:rsid w:val="798219D5"/>
    <w:rsid w:val="799077E3"/>
    <w:rsid w:val="79DB6EF6"/>
    <w:rsid w:val="7A0D5743"/>
    <w:rsid w:val="7A13262E"/>
    <w:rsid w:val="7A191D19"/>
    <w:rsid w:val="7A195E96"/>
    <w:rsid w:val="7A1C017C"/>
    <w:rsid w:val="7A5073DE"/>
    <w:rsid w:val="7A5713C9"/>
    <w:rsid w:val="7A6675BE"/>
    <w:rsid w:val="7A6D1D3E"/>
    <w:rsid w:val="7A870038"/>
    <w:rsid w:val="7A993461"/>
    <w:rsid w:val="7AA5597C"/>
    <w:rsid w:val="7ABF3B84"/>
    <w:rsid w:val="7AC73B44"/>
    <w:rsid w:val="7AD973D3"/>
    <w:rsid w:val="7AEA338E"/>
    <w:rsid w:val="7AF95CC7"/>
    <w:rsid w:val="7B0E3521"/>
    <w:rsid w:val="7B181F4C"/>
    <w:rsid w:val="7B3A4316"/>
    <w:rsid w:val="7B4C4049"/>
    <w:rsid w:val="7B5B128A"/>
    <w:rsid w:val="7B845591"/>
    <w:rsid w:val="7BAA0A9D"/>
    <w:rsid w:val="7BC57ABD"/>
    <w:rsid w:val="7BC938EC"/>
    <w:rsid w:val="7BD672B4"/>
    <w:rsid w:val="7BDF16C2"/>
    <w:rsid w:val="7BF274D9"/>
    <w:rsid w:val="7C1F350C"/>
    <w:rsid w:val="7C2E19A1"/>
    <w:rsid w:val="7C3D3992"/>
    <w:rsid w:val="7C505E8F"/>
    <w:rsid w:val="7C5C650E"/>
    <w:rsid w:val="7C63789C"/>
    <w:rsid w:val="7C704248"/>
    <w:rsid w:val="7C773348"/>
    <w:rsid w:val="7C81768A"/>
    <w:rsid w:val="7C9E6B26"/>
    <w:rsid w:val="7CAB1522"/>
    <w:rsid w:val="7CBF0F7C"/>
    <w:rsid w:val="7CDE33C7"/>
    <w:rsid w:val="7CE803B8"/>
    <w:rsid w:val="7D00333D"/>
    <w:rsid w:val="7D056BA5"/>
    <w:rsid w:val="7D0C4AE9"/>
    <w:rsid w:val="7D20753B"/>
    <w:rsid w:val="7D2B7E57"/>
    <w:rsid w:val="7D2D68B7"/>
    <w:rsid w:val="7D4274B2"/>
    <w:rsid w:val="7D54596F"/>
    <w:rsid w:val="7D571C23"/>
    <w:rsid w:val="7D697134"/>
    <w:rsid w:val="7D7111E2"/>
    <w:rsid w:val="7D8D7D31"/>
    <w:rsid w:val="7D9A72EE"/>
    <w:rsid w:val="7D9D5E42"/>
    <w:rsid w:val="7DAA32A9"/>
    <w:rsid w:val="7DC20AAD"/>
    <w:rsid w:val="7DF11799"/>
    <w:rsid w:val="7DF804B8"/>
    <w:rsid w:val="7E0230E5"/>
    <w:rsid w:val="7E1D1CCD"/>
    <w:rsid w:val="7E40126C"/>
    <w:rsid w:val="7E591FA5"/>
    <w:rsid w:val="7E5E47BF"/>
    <w:rsid w:val="7E6B0C8A"/>
    <w:rsid w:val="7E6B47E6"/>
    <w:rsid w:val="7E7E09BD"/>
    <w:rsid w:val="7E7E6C0F"/>
    <w:rsid w:val="7E885398"/>
    <w:rsid w:val="7E891110"/>
    <w:rsid w:val="7ECD724F"/>
    <w:rsid w:val="7ECF0DF2"/>
    <w:rsid w:val="7EE54599"/>
    <w:rsid w:val="7F0D7F93"/>
    <w:rsid w:val="7F141322"/>
    <w:rsid w:val="7F1430D0"/>
    <w:rsid w:val="7F315A30"/>
    <w:rsid w:val="7F405C73"/>
    <w:rsid w:val="7F492B03"/>
    <w:rsid w:val="7F511C2E"/>
    <w:rsid w:val="7F765B38"/>
    <w:rsid w:val="7F802513"/>
    <w:rsid w:val="7F82348A"/>
    <w:rsid w:val="7F8B3801"/>
    <w:rsid w:val="7FA04963"/>
    <w:rsid w:val="7FA426A6"/>
    <w:rsid w:val="7FB15138"/>
    <w:rsid w:val="7FB852F5"/>
    <w:rsid w:val="7FBF19DA"/>
    <w:rsid w:val="7FD0485C"/>
    <w:rsid w:val="7FD8234F"/>
    <w:rsid w:val="7FDC7F10"/>
    <w:rsid w:val="7FE26D2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9" w:semiHidden="0" w:name="heading 6"/>
    <w:lsdException w:qFormat="1" w:unhideWhenUsed="0" w:uiPriority="99"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bidi w:val="0"/>
      <w:spacing w:line="360" w:lineRule="auto"/>
      <w:ind w:firstLine="480" w:firstLineChars="200"/>
      <w:jc w:val="both"/>
    </w:pPr>
    <w:rPr>
      <w:rFonts w:ascii="Times New Roman" w:hAnsi="Times New Roman" w:eastAsia="仿宋_GB2312" w:cstheme="minorBidi"/>
      <w:kern w:val="2"/>
      <w:sz w:val="24"/>
      <w:szCs w:val="24"/>
      <w:lang w:val="en-US" w:eastAsia="zh-CN" w:bidi="ar-SA"/>
    </w:rPr>
  </w:style>
  <w:style w:type="paragraph" w:styleId="3">
    <w:name w:val="heading 1"/>
    <w:basedOn w:val="1"/>
    <w:next w:val="1"/>
    <w:link w:val="103"/>
    <w:autoRedefine/>
    <w:qFormat/>
    <w:uiPriority w:val="0"/>
    <w:pPr>
      <w:keepNext/>
      <w:keepLines/>
      <w:spacing w:before="340" w:after="330" w:line="578" w:lineRule="auto"/>
      <w:ind w:firstLine="200" w:firstLineChars="200"/>
      <w:outlineLvl w:val="0"/>
    </w:pPr>
    <w:rPr>
      <w:rFonts w:ascii="Times New Roman" w:hAnsi="Times New Roman" w:eastAsia="宋体" w:cs="Times New Roman"/>
      <w:b/>
      <w:bCs/>
      <w:kern w:val="44"/>
      <w:sz w:val="44"/>
      <w:szCs w:val="44"/>
    </w:rPr>
  </w:style>
  <w:style w:type="paragraph" w:styleId="4">
    <w:name w:val="heading 2"/>
    <w:basedOn w:val="1"/>
    <w:next w:val="1"/>
    <w:link w:val="104"/>
    <w:autoRedefine/>
    <w:qFormat/>
    <w:uiPriority w:val="0"/>
    <w:pPr>
      <w:keepNext/>
      <w:keepLines/>
      <w:snapToGrid w:val="0"/>
      <w:spacing w:before="156" w:beforeLines="50" w:after="156" w:afterLines="50" w:line="500" w:lineRule="exact"/>
      <w:ind w:firstLine="600"/>
      <w:jc w:val="left"/>
      <w:outlineLvl w:val="1"/>
    </w:pPr>
    <w:rPr>
      <w:rFonts w:ascii="Times New Roman" w:hAnsi="Times New Roman" w:eastAsia="黑体" w:cs="Times New Roman"/>
      <w:bCs/>
      <w:kern w:val="0"/>
      <w:sz w:val="30"/>
      <w:szCs w:val="30"/>
    </w:rPr>
  </w:style>
  <w:style w:type="paragraph" w:styleId="5">
    <w:name w:val="heading 3"/>
    <w:basedOn w:val="1"/>
    <w:next w:val="1"/>
    <w:link w:val="105"/>
    <w:autoRedefine/>
    <w:qFormat/>
    <w:uiPriority w:val="0"/>
    <w:pPr>
      <w:keepNext/>
      <w:keepLines/>
      <w:spacing w:line="360" w:lineRule="auto"/>
      <w:ind w:firstLine="200" w:firstLineChars="200"/>
      <w:outlineLvl w:val="2"/>
    </w:pPr>
    <w:rPr>
      <w:rFonts w:ascii="Times New Roman" w:hAnsi="Times New Roman" w:eastAsia="黑体" w:cs="Times New Roman"/>
      <w:bCs/>
      <w:sz w:val="28"/>
      <w:szCs w:val="32"/>
    </w:rPr>
  </w:style>
  <w:style w:type="paragraph" w:styleId="6">
    <w:name w:val="heading 4"/>
    <w:basedOn w:val="1"/>
    <w:next w:val="1"/>
    <w:link w:val="106"/>
    <w:autoRedefine/>
    <w:qFormat/>
    <w:uiPriority w:val="9"/>
    <w:pPr>
      <w:keepNext/>
      <w:keepLines/>
      <w:spacing w:before="280" w:after="290" w:line="376" w:lineRule="auto"/>
      <w:ind w:firstLine="200" w:firstLineChars="200"/>
      <w:outlineLvl w:val="3"/>
    </w:pPr>
    <w:rPr>
      <w:rFonts w:ascii="Cambria" w:hAnsi="Cambria" w:eastAsia="宋体" w:cs="Times New Roman"/>
      <w:b/>
      <w:bCs/>
      <w:sz w:val="28"/>
      <w:szCs w:val="28"/>
    </w:rPr>
  </w:style>
  <w:style w:type="paragraph" w:styleId="7">
    <w:name w:val="heading 5"/>
    <w:basedOn w:val="1"/>
    <w:next w:val="1"/>
    <w:link w:val="107"/>
    <w:autoRedefine/>
    <w:qFormat/>
    <w:uiPriority w:val="0"/>
    <w:pPr>
      <w:keepNext/>
      <w:keepLines/>
      <w:spacing w:before="280" w:after="290" w:line="374" w:lineRule="auto"/>
      <w:ind w:firstLine="200" w:firstLineChars="200"/>
      <w:outlineLvl w:val="4"/>
    </w:pPr>
    <w:rPr>
      <w:rFonts w:ascii="Times New Roman" w:hAnsi="Times New Roman" w:eastAsia="宋体" w:cs="Times New Roman"/>
      <w:b/>
      <w:bCs/>
      <w:sz w:val="28"/>
      <w:szCs w:val="28"/>
    </w:rPr>
  </w:style>
  <w:style w:type="paragraph" w:styleId="8">
    <w:name w:val="heading 6"/>
    <w:basedOn w:val="1"/>
    <w:next w:val="1"/>
    <w:link w:val="108"/>
    <w:autoRedefine/>
    <w:qFormat/>
    <w:uiPriority w:val="99"/>
    <w:pPr>
      <w:keepNext/>
      <w:keepLines/>
      <w:tabs>
        <w:tab w:val="left" w:pos="1152"/>
      </w:tabs>
      <w:spacing w:before="240" w:after="64" w:line="320" w:lineRule="auto"/>
      <w:ind w:left="1152" w:firstLine="200" w:firstLineChars="200"/>
      <w:outlineLvl w:val="5"/>
    </w:pPr>
    <w:rPr>
      <w:rFonts w:ascii="Arial" w:hAnsi="Arial" w:eastAsia="黑体" w:cs="Times New Roman"/>
      <w:b/>
      <w:sz w:val="24"/>
      <w:szCs w:val="28"/>
    </w:rPr>
  </w:style>
  <w:style w:type="paragraph" w:styleId="9">
    <w:name w:val="heading 7"/>
    <w:basedOn w:val="1"/>
    <w:next w:val="1"/>
    <w:link w:val="109"/>
    <w:autoRedefine/>
    <w:qFormat/>
    <w:uiPriority w:val="99"/>
    <w:pPr>
      <w:keepNext/>
      <w:keepLines/>
      <w:tabs>
        <w:tab w:val="left" w:pos="1296"/>
      </w:tabs>
      <w:spacing w:before="240" w:after="64" w:line="320" w:lineRule="auto"/>
      <w:ind w:left="1296" w:firstLine="200" w:firstLineChars="200"/>
      <w:outlineLvl w:val="6"/>
    </w:pPr>
    <w:rPr>
      <w:rFonts w:ascii="宋体" w:hAnsi="Times New Roman" w:eastAsia="宋体" w:cs="Times New Roman"/>
      <w:b/>
      <w:sz w:val="24"/>
      <w:szCs w:val="28"/>
    </w:rPr>
  </w:style>
  <w:style w:type="paragraph" w:styleId="10">
    <w:name w:val="heading 8"/>
    <w:basedOn w:val="1"/>
    <w:next w:val="1"/>
    <w:link w:val="110"/>
    <w:autoRedefine/>
    <w:qFormat/>
    <w:uiPriority w:val="0"/>
    <w:pPr>
      <w:keepNext/>
      <w:keepLines/>
      <w:tabs>
        <w:tab w:val="left" w:pos="1440"/>
      </w:tabs>
      <w:spacing w:before="240" w:after="64" w:line="320" w:lineRule="auto"/>
      <w:ind w:left="1440" w:firstLine="200" w:firstLineChars="200"/>
      <w:outlineLvl w:val="7"/>
    </w:pPr>
    <w:rPr>
      <w:rFonts w:ascii="Arial" w:hAnsi="Arial" w:eastAsia="黑体" w:cs="Times New Roman"/>
      <w:sz w:val="24"/>
      <w:szCs w:val="28"/>
    </w:rPr>
  </w:style>
  <w:style w:type="paragraph" w:styleId="11">
    <w:name w:val="heading 9"/>
    <w:basedOn w:val="1"/>
    <w:next w:val="1"/>
    <w:link w:val="111"/>
    <w:autoRedefine/>
    <w:qFormat/>
    <w:uiPriority w:val="0"/>
    <w:pPr>
      <w:keepNext/>
      <w:keepLines/>
      <w:tabs>
        <w:tab w:val="left" w:pos="1584"/>
      </w:tabs>
      <w:spacing w:before="240" w:after="64" w:line="320" w:lineRule="auto"/>
      <w:ind w:left="1584" w:firstLine="200" w:firstLineChars="200"/>
      <w:outlineLvl w:val="8"/>
    </w:pPr>
    <w:rPr>
      <w:rFonts w:ascii="Arial" w:hAnsi="Arial" w:eastAsia="黑体" w:cs="Times New Roman"/>
      <w:szCs w:val="28"/>
    </w:rPr>
  </w:style>
  <w:style w:type="character" w:default="1" w:styleId="92">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12"/>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Times New Roman"/>
      <w:spacing w:val="6"/>
      <w:kern w:val="2"/>
      <w:sz w:val="24"/>
      <w:szCs w:val="24"/>
      <w:lang w:val="en-US" w:eastAsia="zh-CN" w:bidi="ar-SA"/>
    </w:rPr>
  </w:style>
  <w:style w:type="paragraph" w:styleId="12">
    <w:name w:val="List 3"/>
    <w:basedOn w:val="1"/>
    <w:autoRedefine/>
    <w:qFormat/>
    <w:uiPriority w:val="0"/>
    <w:pPr>
      <w:spacing w:line="300" w:lineRule="auto"/>
      <w:ind w:left="100" w:leftChars="400" w:hanging="200" w:hangingChars="200"/>
    </w:pPr>
    <w:rPr>
      <w:rFonts w:ascii="宋体" w:hAnsi="Times New Roman" w:eastAsia="仿宋_GB2312" w:cs="Times New Roman"/>
      <w:sz w:val="28"/>
      <w:szCs w:val="28"/>
    </w:rPr>
  </w:style>
  <w:style w:type="paragraph" w:styleId="13">
    <w:name w:val="toc 7"/>
    <w:basedOn w:val="1"/>
    <w:next w:val="1"/>
    <w:autoRedefine/>
    <w:qFormat/>
    <w:uiPriority w:val="39"/>
    <w:pPr>
      <w:spacing w:line="360" w:lineRule="auto"/>
      <w:ind w:left="1440" w:firstLine="200" w:firstLineChars="200"/>
      <w:jc w:val="left"/>
    </w:pPr>
    <w:rPr>
      <w:rFonts w:ascii="Calibri" w:hAnsi="Calibri" w:eastAsia="仿宋_GB2312" w:cs="Times New Roman"/>
      <w:sz w:val="18"/>
      <w:szCs w:val="18"/>
    </w:rPr>
  </w:style>
  <w:style w:type="paragraph" w:styleId="14">
    <w:name w:val="List Number 2"/>
    <w:basedOn w:val="1"/>
    <w:autoRedefine/>
    <w:qFormat/>
    <w:uiPriority w:val="0"/>
    <w:pPr>
      <w:numPr>
        <w:ilvl w:val="0"/>
        <w:numId w:val="1"/>
      </w:numPr>
      <w:spacing w:line="300" w:lineRule="auto"/>
      <w:ind w:firstLine="200" w:firstLineChars="200"/>
    </w:pPr>
    <w:rPr>
      <w:rFonts w:ascii="宋体" w:hAnsi="Times New Roman" w:eastAsia="仿宋_GB2312" w:cs="Times New Roman"/>
      <w:sz w:val="28"/>
      <w:szCs w:val="28"/>
    </w:rPr>
  </w:style>
  <w:style w:type="paragraph" w:styleId="15">
    <w:name w:val="table of authorities"/>
    <w:basedOn w:val="1"/>
    <w:next w:val="1"/>
    <w:autoRedefine/>
    <w:qFormat/>
    <w:uiPriority w:val="0"/>
    <w:pPr>
      <w:spacing w:line="300" w:lineRule="auto"/>
      <w:ind w:left="420" w:leftChars="200" w:firstLine="200" w:firstLineChars="200"/>
    </w:pPr>
    <w:rPr>
      <w:rFonts w:ascii="宋体" w:hAnsi="Times New Roman" w:eastAsia="仿宋_GB2312" w:cs="Times New Roman"/>
      <w:sz w:val="28"/>
      <w:szCs w:val="28"/>
    </w:rPr>
  </w:style>
  <w:style w:type="paragraph" w:styleId="16">
    <w:name w:val="Note Heading"/>
    <w:basedOn w:val="1"/>
    <w:next w:val="1"/>
    <w:link w:val="113"/>
    <w:autoRedefine/>
    <w:qFormat/>
    <w:uiPriority w:val="0"/>
    <w:pPr>
      <w:spacing w:line="300" w:lineRule="auto"/>
      <w:ind w:firstLine="200" w:firstLineChars="200"/>
      <w:jc w:val="center"/>
    </w:pPr>
    <w:rPr>
      <w:rFonts w:ascii="宋体" w:hAnsi="Times New Roman" w:eastAsia="宋体" w:cs="Times New Roman"/>
      <w:sz w:val="28"/>
      <w:szCs w:val="28"/>
    </w:rPr>
  </w:style>
  <w:style w:type="paragraph" w:styleId="17">
    <w:name w:val="List Bullet 4"/>
    <w:basedOn w:val="1"/>
    <w:autoRedefine/>
    <w:qFormat/>
    <w:uiPriority w:val="0"/>
    <w:pPr>
      <w:numPr>
        <w:ilvl w:val="0"/>
        <w:numId w:val="2"/>
      </w:numPr>
      <w:spacing w:line="300" w:lineRule="auto"/>
      <w:ind w:firstLine="200" w:firstLineChars="200"/>
    </w:pPr>
    <w:rPr>
      <w:rFonts w:ascii="宋体" w:hAnsi="Times New Roman" w:eastAsia="仿宋_GB2312" w:cs="Times New Roman"/>
      <w:sz w:val="28"/>
      <w:szCs w:val="28"/>
    </w:rPr>
  </w:style>
  <w:style w:type="paragraph" w:styleId="18">
    <w:name w:val="index 8"/>
    <w:basedOn w:val="1"/>
    <w:next w:val="1"/>
    <w:autoRedefine/>
    <w:qFormat/>
    <w:uiPriority w:val="0"/>
    <w:pPr>
      <w:spacing w:line="300" w:lineRule="auto"/>
      <w:ind w:left="1400" w:leftChars="1400" w:firstLine="200" w:firstLineChars="200"/>
    </w:pPr>
    <w:rPr>
      <w:rFonts w:ascii="宋体" w:hAnsi="Times New Roman" w:eastAsia="仿宋_GB2312" w:cs="Times New Roman"/>
      <w:sz w:val="28"/>
      <w:szCs w:val="28"/>
    </w:rPr>
  </w:style>
  <w:style w:type="paragraph" w:styleId="19">
    <w:name w:val="E-mail Signature"/>
    <w:basedOn w:val="1"/>
    <w:link w:val="114"/>
    <w:autoRedefine/>
    <w:qFormat/>
    <w:uiPriority w:val="0"/>
    <w:pPr>
      <w:spacing w:line="300" w:lineRule="auto"/>
      <w:ind w:firstLine="200" w:firstLineChars="200"/>
    </w:pPr>
    <w:rPr>
      <w:rFonts w:ascii="宋体" w:hAnsi="Times New Roman" w:eastAsia="宋体" w:cs="Times New Roman"/>
      <w:sz w:val="28"/>
      <w:szCs w:val="28"/>
    </w:rPr>
  </w:style>
  <w:style w:type="paragraph" w:styleId="20">
    <w:name w:val="List Number"/>
    <w:basedOn w:val="1"/>
    <w:autoRedefine/>
    <w:qFormat/>
    <w:uiPriority w:val="0"/>
    <w:pPr>
      <w:numPr>
        <w:ilvl w:val="0"/>
        <w:numId w:val="3"/>
      </w:numPr>
      <w:spacing w:line="300" w:lineRule="auto"/>
      <w:ind w:firstLine="200" w:firstLineChars="200"/>
    </w:pPr>
    <w:rPr>
      <w:rFonts w:ascii="宋体" w:hAnsi="Times New Roman" w:eastAsia="仿宋_GB2312" w:cs="Times New Roman"/>
      <w:sz w:val="28"/>
      <w:szCs w:val="28"/>
    </w:rPr>
  </w:style>
  <w:style w:type="paragraph" w:styleId="21">
    <w:name w:val="Normal Indent"/>
    <w:basedOn w:val="1"/>
    <w:link w:val="115"/>
    <w:autoRedefine/>
    <w:qFormat/>
    <w:uiPriority w:val="0"/>
    <w:pPr>
      <w:spacing w:line="360" w:lineRule="auto"/>
      <w:ind w:firstLine="420" w:firstLineChars="200"/>
    </w:pPr>
    <w:rPr>
      <w:rFonts w:ascii="宋体" w:hAnsi="宋体" w:eastAsia="宋体" w:cs="Times New Roman"/>
      <w:szCs w:val="20"/>
    </w:rPr>
  </w:style>
  <w:style w:type="paragraph" w:styleId="22">
    <w:name w:val="caption"/>
    <w:basedOn w:val="1"/>
    <w:next w:val="1"/>
    <w:link w:val="788"/>
    <w:autoRedefine/>
    <w:qFormat/>
    <w:uiPriority w:val="0"/>
    <w:pPr>
      <w:spacing w:line="240" w:lineRule="atLeast"/>
      <w:ind w:firstLine="0" w:firstLineChars="0"/>
      <w:jc w:val="center"/>
    </w:pPr>
    <w:rPr>
      <w:rFonts w:ascii="Times New Roman" w:hAnsi="Times New Roman" w:eastAsia="黑体" w:cs="Times New Roman"/>
      <w:sz w:val="20"/>
      <w:szCs w:val="20"/>
    </w:rPr>
  </w:style>
  <w:style w:type="paragraph" w:styleId="23">
    <w:name w:val="index 5"/>
    <w:basedOn w:val="1"/>
    <w:next w:val="1"/>
    <w:autoRedefine/>
    <w:qFormat/>
    <w:uiPriority w:val="0"/>
    <w:pPr>
      <w:spacing w:line="300" w:lineRule="auto"/>
      <w:ind w:left="800" w:leftChars="800" w:firstLine="200" w:firstLineChars="200"/>
    </w:pPr>
    <w:rPr>
      <w:rFonts w:ascii="宋体" w:hAnsi="Times New Roman" w:eastAsia="仿宋_GB2312" w:cs="Times New Roman"/>
      <w:sz w:val="28"/>
      <w:szCs w:val="28"/>
    </w:rPr>
  </w:style>
  <w:style w:type="paragraph" w:styleId="24">
    <w:name w:val="List Bullet"/>
    <w:basedOn w:val="1"/>
    <w:autoRedefine/>
    <w:qFormat/>
    <w:uiPriority w:val="0"/>
    <w:pPr>
      <w:numPr>
        <w:ilvl w:val="0"/>
        <w:numId w:val="4"/>
      </w:numPr>
      <w:spacing w:line="300" w:lineRule="auto"/>
      <w:ind w:firstLine="200" w:firstLineChars="200"/>
    </w:pPr>
    <w:rPr>
      <w:rFonts w:ascii="宋体" w:hAnsi="Times New Roman" w:eastAsia="仿宋_GB2312" w:cs="Times New Roman"/>
      <w:sz w:val="28"/>
      <w:szCs w:val="28"/>
    </w:rPr>
  </w:style>
  <w:style w:type="paragraph" w:styleId="25">
    <w:name w:val="envelope address"/>
    <w:basedOn w:val="1"/>
    <w:autoRedefine/>
    <w:qFormat/>
    <w:uiPriority w:val="0"/>
    <w:pPr>
      <w:snapToGrid w:val="0"/>
      <w:spacing w:line="300" w:lineRule="auto"/>
      <w:ind w:left="100" w:leftChars="1400" w:firstLine="200" w:firstLineChars="200"/>
    </w:pPr>
    <w:rPr>
      <w:rFonts w:ascii="Arial" w:hAnsi="Arial" w:eastAsia="仿宋_GB2312" w:cs="Times New Roman"/>
      <w:sz w:val="24"/>
      <w:szCs w:val="24"/>
    </w:rPr>
  </w:style>
  <w:style w:type="paragraph" w:styleId="26">
    <w:name w:val="Document Map"/>
    <w:basedOn w:val="1"/>
    <w:link w:val="116"/>
    <w:autoRedefine/>
    <w:unhideWhenUsed/>
    <w:qFormat/>
    <w:uiPriority w:val="0"/>
    <w:pPr>
      <w:spacing w:line="360" w:lineRule="auto"/>
      <w:ind w:firstLine="200" w:firstLineChars="200"/>
    </w:pPr>
    <w:rPr>
      <w:rFonts w:ascii="宋体" w:hAnsi="Times New Roman" w:eastAsia="宋体" w:cs="Times New Roman"/>
      <w:sz w:val="18"/>
      <w:szCs w:val="18"/>
    </w:rPr>
  </w:style>
  <w:style w:type="paragraph" w:styleId="27">
    <w:name w:val="toa heading"/>
    <w:basedOn w:val="1"/>
    <w:next w:val="1"/>
    <w:autoRedefine/>
    <w:qFormat/>
    <w:uiPriority w:val="0"/>
    <w:pPr>
      <w:spacing w:before="120" w:line="300" w:lineRule="auto"/>
      <w:ind w:firstLine="200" w:firstLineChars="200"/>
    </w:pPr>
    <w:rPr>
      <w:rFonts w:ascii="Arial" w:hAnsi="Arial" w:eastAsia="仿宋_GB2312" w:cs="Times New Roman"/>
      <w:sz w:val="24"/>
      <w:szCs w:val="24"/>
    </w:rPr>
  </w:style>
  <w:style w:type="paragraph" w:styleId="28">
    <w:name w:val="annotation text"/>
    <w:basedOn w:val="1"/>
    <w:link w:val="117"/>
    <w:autoRedefine/>
    <w:qFormat/>
    <w:uiPriority w:val="0"/>
    <w:pPr>
      <w:widowControl/>
      <w:spacing w:line="360" w:lineRule="auto"/>
      <w:ind w:firstLine="200" w:firstLineChars="200"/>
      <w:jc w:val="left"/>
    </w:pPr>
    <w:rPr>
      <w:rFonts w:ascii="Calibri" w:hAnsi="Calibri" w:eastAsia="宋体" w:cs="Times New Roman"/>
    </w:rPr>
  </w:style>
  <w:style w:type="paragraph" w:styleId="29">
    <w:name w:val="index 6"/>
    <w:basedOn w:val="1"/>
    <w:next w:val="1"/>
    <w:autoRedefine/>
    <w:qFormat/>
    <w:uiPriority w:val="0"/>
    <w:pPr>
      <w:spacing w:line="300" w:lineRule="auto"/>
      <w:ind w:left="1000" w:leftChars="1000" w:firstLine="200" w:firstLineChars="200"/>
    </w:pPr>
    <w:rPr>
      <w:rFonts w:ascii="宋体" w:hAnsi="Times New Roman" w:eastAsia="仿宋_GB2312" w:cs="Times New Roman"/>
      <w:sz w:val="28"/>
      <w:szCs w:val="28"/>
    </w:rPr>
  </w:style>
  <w:style w:type="paragraph" w:styleId="30">
    <w:name w:val="Salutation"/>
    <w:basedOn w:val="1"/>
    <w:next w:val="1"/>
    <w:link w:val="118"/>
    <w:autoRedefine/>
    <w:qFormat/>
    <w:uiPriority w:val="0"/>
    <w:pPr>
      <w:spacing w:line="300" w:lineRule="auto"/>
      <w:ind w:firstLine="200" w:firstLineChars="200"/>
    </w:pPr>
    <w:rPr>
      <w:rFonts w:ascii="宋体" w:hAnsi="Times New Roman" w:eastAsia="宋体" w:cs="Times New Roman"/>
      <w:sz w:val="28"/>
      <w:szCs w:val="28"/>
    </w:rPr>
  </w:style>
  <w:style w:type="paragraph" w:styleId="31">
    <w:name w:val="Body Text 3"/>
    <w:basedOn w:val="1"/>
    <w:link w:val="119"/>
    <w:autoRedefine/>
    <w:qFormat/>
    <w:uiPriority w:val="0"/>
    <w:pPr>
      <w:spacing w:after="120" w:line="300" w:lineRule="auto"/>
      <w:ind w:firstLine="200" w:firstLineChars="200"/>
    </w:pPr>
    <w:rPr>
      <w:rFonts w:ascii="宋体" w:hAnsi="Times New Roman" w:eastAsia="宋体" w:cs="Times New Roman"/>
      <w:sz w:val="16"/>
      <w:szCs w:val="16"/>
    </w:rPr>
  </w:style>
  <w:style w:type="paragraph" w:styleId="32">
    <w:name w:val="Closing"/>
    <w:basedOn w:val="1"/>
    <w:link w:val="120"/>
    <w:autoRedefine/>
    <w:qFormat/>
    <w:uiPriority w:val="0"/>
    <w:pPr>
      <w:spacing w:line="300" w:lineRule="auto"/>
      <w:ind w:left="100" w:leftChars="2100" w:firstLine="200" w:firstLineChars="200"/>
    </w:pPr>
    <w:rPr>
      <w:rFonts w:ascii="宋体" w:hAnsi="Times New Roman" w:eastAsia="宋体" w:cs="Times New Roman"/>
      <w:sz w:val="28"/>
      <w:szCs w:val="28"/>
    </w:rPr>
  </w:style>
  <w:style w:type="paragraph" w:styleId="33">
    <w:name w:val="List Bullet 3"/>
    <w:basedOn w:val="1"/>
    <w:autoRedefine/>
    <w:qFormat/>
    <w:uiPriority w:val="0"/>
    <w:pPr>
      <w:numPr>
        <w:ilvl w:val="0"/>
        <w:numId w:val="5"/>
      </w:numPr>
      <w:spacing w:line="300" w:lineRule="auto"/>
      <w:ind w:firstLine="200" w:firstLineChars="200"/>
    </w:pPr>
    <w:rPr>
      <w:rFonts w:ascii="宋体" w:hAnsi="Times New Roman" w:eastAsia="仿宋_GB2312" w:cs="Times New Roman"/>
      <w:sz w:val="28"/>
      <w:szCs w:val="28"/>
    </w:rPr>
  </w:style>
  <w:style w:type="paragraph" w:styleId="34">
    <w:name w:val="Body Text"/>
    <w:basedOn w:val="1"/>
    <w:link w:val="121"/>
    <w:autoRedefine/>
    <w:unhideWhenUsed/>
    <w:qFormat/>
    <w:uiPriority w:val="0"/>
    <w:pPr>
      <w:spacing w:after="120" w:line="360" w:lineRule="auto"/>
      <w:ind w:firstLine="200" w:firstLineChars="200"/>
    </w:pPr>
    <w:rPr>
      <w:rFonts w:ascii="Times New Roman" w:hAnsi="Times New Roman" w:eastAsia="宋体" w:cs="Times New Roman"/>
      <w:sz w:val="24"/>
      <w:szCs w:val="24"/>
    </w:rPr>
  </w:style>
  <w:style w:type="paragraph" w:styleId="35">
    <w:name w:val="Body Text Indent"/>
    <w:basedOn w:val="1"/>
    <w:next w:val="1"/>
    <w:link w:val="122"/>
    <w:autoRedefine/>
    <w:qFormat/>
    <w:uiPriority w:val="0"/>
    <w:pPr>
      <w:spacing w:after="120" w:line="360" w:lineRule="auto"/>
      <w:ind w:left="200" w:leftChars="200" w:firstLine="200" w:firstLineChars="200"/>
    </w:pPr>
    <w:rPr>
      <w:rFonts w:ascii="Times New Roman" w:hAnsi="Times New Roman" w:eastAsia="宋体" w:cs="Times New Roman"/>
      <w:szCs w:val="24"/>
    </w:rPr>
  </w:style>
  <w:style w:type="paragraph" w:styleId="36">
    <w:name w:val="List Number 3"/>
    <w:basedOn w:val="1"/>
    <w:autoRedefine/>
    <w:qFormat/>
    <w:uiPriority w:val="0"/>
    <w:pPr>
      <w:numPr>
        <w:ilvl w:val="0"/>
        <w:numId w:val="6"/>
      </w:numPr>
      <w:spacing w:line="300" w:lineRule="auto"/>
      <w:ind w:firstLine="200" w:firstLineChars="200"/>
    </w:pPr>
    <w:rPr>
      <w:rFonts w:ascii="宋体" w:hAnsi="Times New Roman" w:eastAsia="仿宋_GB2312" w:cs="Times New Roman"/>
      <w:sz w:val="28"/>
      <w:szCs w:val="28"/>
    </w:rPr>
  </w:style>
  <w:style w:type="paragraph" w:styleId="37">
    <w:name w:val="List 2"/>
    <w:basedOn w:val="1"/>
    <w:autoRedefine/>
    <w:qFormat/>
    <w:uiPriority w:val="0"/>
    <w:pPr>
      <w:spacing w:line="300" w:lineRule="auto"/>
      <w:ind w:left="100" w:leftChars="200" w:hanging="200" w:hangingChars="200"/>
    </w:pPr>
    <w:rPr>
      <w:rFonts w:ascii="宋体" w:hAnsi="Times New Roman" w:eastAsia="仿宋_GB2312" w:cs="Times New Roman"/>
      <w:sz w:val="28"/>
      <w:szCs w:val="28"/>
    </w:rPr>
  </w:style>
  <w:style w:type="paragraph" w:styleId="38">
    <w:name w:val="List Continue"/>
    <w:basedOn w:val="1"/>
    <w:autoRedefine/>
    <w:qFormat/>
    <w:uiPriority w:val="0"/>
    <w:pPr>
      <w:spacing w:after="120" w:line="300" w:lineRule="auto"/>
      <w:ind w:left="420" w:leftChars="200" w:firstLine="200" w:firstLineChars="200"/>
    </w:pPr>
    <w:rPr>
      <w:rFonts w:ascii="宋体" w:hAnsi="Times New Roman" w:eastAsia="仿宋_GB2312" w:cs="Times New Roman"/>
      <w:sz w:val="28"/>
      <w:szCs w:val="28"/>
    </w:rPr>
  </w:style>
  <w:style w:type="paragraph" w:styleId="39">
    <w:name w:val="Block Text"/>
    <w:basedOn w:val="1"/>
    <w:autoRedefine/>
    <w:qFormat/>
    <w:uiPriority w:val="0"/>
    <w:pPr>
      <w:spacing w:after="120" w:line="300" w:lineRule="auto"/>
      <w:ind w:left="1440" w:leftChars="700" w:right="1440" w:rightChars="700" w:firstLine="200" w:firstLineChars="200"/>
    </w:pPr>
    <w:rPr>
      <w:rFonts w:ascii="宋体" w:hAnsi="Times New Roman" w:eastAsia="仿宋_GB2312" w:cs="Times New Roman"/>
      <w:sz w:val="28"/>
      <w:szCs w:val="28"/>
    </w:rPr>
  </w:style>
  <w:style w:type="paragraph" w:styleId="40">
    <w:name w:val="List Bullet 2"/>
    <w:basedOn w:val="1"/>
    <w:autoRedefine/>
    <w:qFormat/>
    <w:uiPriority w:val="0"/>
    <w:pPr>
      <w:numPr>
        <w:ilvl w:val="0"/>
        <w:numId w:val="7"/>
      </w:numPr>
      <w:spacing w:line="300" w:lineRule="auto"/>
      <w:ind w:firstLine="200" w:firstLineChars="200"/>
    </w:pPr>
    <w:rPr>
      <w:rFonts w:ascii="宋体" w:hAnsi="Times New Roman" w:eastAsia="仿宋_GB2312" w:cs="Times New Roman"/>
      <w:sz w:val="28"/>
      <w:szCs w:val="28"/>
    </w:rPr>
  </w:style>
  <w:style w:type="paragraph" w:styleId="41">
    <w:name w:val="HTML Address"/>
    <w:basedOn w:val="1"/>
    <w:link w:val="123"/>
    <w:autoRedefine/>
    <w:qFormat/>
    <w:uiPriority w:val="0"/>
    <w:pPr>
      <w:spacing w:line="300" w:lineRule="auto"/>
      <w:ind w:firstLine="200" w:firstLineChars="200"/>
    </w:pPr>
    <w:rPr>
      <w:rFonts w:ascii="宋体" w:hAnsi="Times New Roman" w:eastAsia="宋体" w:cs="Times New Roman"/>
      <w:i/>
      <w:iCs/>
      <w:sz w:val="28"/>
      <w:szCs w:val="28"/>
    </w:rPr>
  </w:style>
  <w:style w:type="paragraph" w:styleId="42">
    <w:name w:val="index 4"/>
    <w:basedOn w:val="1"/>
    <w:next w:val="1"/>
    <w:autoRedefine/>
    <w:qFormat/>
    <w:uiPriority w:val="0"/>
    <w:pPr>
      <w:spacing w:line="300" w:lineRule="auto"/>
      <w:ind w:left="600" w:leftChars="600" w:firstLine="200" w:firstLineChars="200"/>
    </w:pPr>
    <w:rPr>
      <w:rFonts w:ascii="宋体" w:hAnsi="Times New Roman" w:eastAsia="仿宋_GB2312" w:cs="Times New Roman"/>
      <w:sz w:val="28"/>
      <w:szCs w:val="28"/>
    </w:rPr>
  </w:style>
  <w:style w:type="paragraph" w:styleId="43">
    <w:name w:val="toc 5"/>
    <w:basedOn w:val="1"/>
    <w:next w:val="1"/>
    <w:autoRedefine/>
    <w:qFormat/>
    <w:uiPriority w:val="39"/>
    <w:pPr>
      <w:spacing w:line="360" w:lineRule="auto"/>
      <w:ind w:left="960" w:firstLine="200" w:firstLineChars="200"/>
      <w:jc w:val="left"/>
    </w:pPr>
    <w:rPr>
      <w:rFonts w:ascii="Calibri" w:hAnsi="Calibri" w:eastAsia="仿宋_GB2312" w:cs="Times New Roman"/>
      <w:sz w:val="18"/>
      <w:szCs w:val="18"/>
    </w:rPr>
  </w:style>
  <w:style w:type="paragraph" w:styleId="44">
    <w:name w:val="toc 3"/>
    <w:basedOn w:val="1"/>
    <w:next w:val="1"/>
    <w:autoRedefine/>
    <w:qFormat/>
    <w:uiPriority w:val="39"/>
    <w:pPr>
      <w:spacing w:line="360" w:lineRule="auto"/>
      <w:ind w:left="480" w:firstLine="200" w:firstLineChars="200"/>
      <w:jc w:val="left"/>
    </w:pPr>
    <w:rPr>
      <w:rFonts w:ascii="Calibri" w:hAnsi="Calibri" w:eastAsia="仿宋_GB2312" w:cs="Times New Roman"/>
      <w:i/>
      <w:iCs/>
      <w:sz w:val="20"/>
      <w:szCs w:val="20"/>
    </w:rPr>
  </w:style>
  <w:style w:type="paragraph" w:styleId="45">
    <w:name w:val="Plain Text"/>
    <w:basedOn w:val="1"/>
    <w:link w:val="124"/>
    <w:autoRedefine/>
    <w:qFormat/>
    <w:uiPriority w:val="0"/>
    <w:pPr>
      <w:spacing w:line="360" w:lineRule="auto"/>
      <w:ind w:firstLine="200" w:firstLineChars="200"/>
    </w:pPr>
    <w:rPr>
      <w:rFonts w:ascii="宋体" w:hAnsi="Courier New" w:eastAsia="宋体" w:cs="Times New Roman"/>
      <w:szCs w:val="21"/>
    </w:rPr>
  </w:style>
  <w:style w:type="paragraph" w:styleId="46">
    <w:name w:val="List Bullet 5"/>
    <w:basedOn w:val="1"/>
    <w:autoRedefine/>
    <w:qFormat/>
    <w:uiPriority w:val="0"/>
    <w:pPr>
      <w:numPr>
        <w:ilvl w:val="0"/>
        <w:numId w:val="8"/>
      </w:numPr>
      <w:spacing w:line="300" w:lineRule="auto"/>
      <w:ind w:firstLine="200" w:firstLineChars="200"/>
    </w:pPr>
    <w:rPr>
      <w:rFonts w:ascii="宋体" w:hAnsi="Times New Roman" w:eastAsia="仿宋_GB2312" w:cs="Times New Roman"/>
      <w:sz w:val="28"/>
      <w:szCs w:val="28"/>
    </w:rPr>
  </w:style>
  <w:style w:type="paragraph" w:styleId="47">
    <w:name w:val="List Number 4"/>
    <w:basedOn w:val="1"/>
    <w:autoRedefine/>
    <w:qFormat/>
    <w:uiPriority w:val="0"/>
    <w:pPr>
      <w:numPr>
        <w:ilvl w:val="0"/>
        <w:numId w:val="9"/>
      </w:numPr>
      <w:spacing w:line="300" w:lineRule="auto"/>
      <w:ind w:firstLine="200" w:firstLineChars="200"/>
    </w:pPr>
    <w:rPr>
      <w:rFonts w:ascii="宋体" w:hAnsi="Times New Roman" w:eastAsia="仿宋_GB2312" w:cs="Times New Roman"/>
      <w:sz w:val="28"/>
      <w:szCs w:val="28"/>
    </w:rPr>
  </w:style>
  <w:style w:type="paragraph" w:styleId="48">
    <w:name w:val="toc 8"/>
    <w:basedOn w:val="1"/>
    <w:next w:val="1"/>
    <w:autoRedefine/>
    <w:qFormat/>
    <w:uiPriority w:val="39"/>
    <w:pPr>
      <w:spacing w:line="360" w:lineRule="auto"/>
      <w:ind w:left="1680" w:firstLine="200" w:firstLineChars="200"/>
      <w:jc w:val="left"/>
    </w:pPr>
    <w:rPr>
      <w:rFonts w:ascii="Calibri" w:hAnsi="Calibri" w:eastAsia="仿宋_GB2312" w:cs="Times New Roman"/>
      <w:sz w:val="18"/>
      <w:szCs w:val="18"/>
    </w:rPr>
  </w:style>
  <w:style w:type="paragraph" w:styleId="49">
    <w:name w:val="index 3"/>
    <w:basedOn w:val="1"/>
    <w:next w:val="1"/>
    <w:autoRedefine/>
    <w:qFormat/>
    <w:uiPriority w:val="0"/>
    <w:pPr>
      <w:spacing w:line="300" w:lineRule="auto"/>
      <w:ind w:left="400" w:leftChars="400" w:firstLine="200" w:firstLineChars="200"/>
    </w:pPr>
    <w:rPr>
      <w:rFonts w:ascii="宋体" w:hAnsi="Times New Roman" w:eastAsia="仿宋_GB2312" w:cs="Times New Roman"/>
      <w:sz w:val="28"/>
      <w:szCs w:val="28"/>
    </w:rPr>
  </w:style>
  <w:style w:type="paragraph" w:styleId="50">
    <w:name w:val="Date"/>
    <w:basedOn w:val="1"/>
    <w:next w:val="1"/>
    <w:link w:val="125"/>
    <w:autoRedefine/>
    <w:unhideWhenUsed/>
    <w:qFormat/>
    <w:uiPriority w:val="0"/>
    <w:pPr>
      <w:spacing w:line="360" w:lineRule="auto"/>
      <w:ind w:left="100" w:leftChars="2500" w:firstLine="200" w:firstLineChars="200"/>
    </w:pPr>
    <w:rPr>
      <w:rFonts w:ascii="Times New Roman" w:hAnsi="Times New Roman" w:eastAsia="宋体" w:cs="Times New Roman"/>
      <w:szCs w:val="20"/>
    </w:rPr>
  </w:style>
  <w:style w:type="paragraph" w:styleId="51">
    <w:name w:val="Body Text Indent 2"/>
    <w:basedOn w:val="1"/>
    <w:link w:val="126"/>
    <w:autoRedefine/>
    <w:qFormat/>
    <w:uiPriority w:val="0"/>
    <w:pPr>
      <w:spacing w:after="120" w:line="480" w:lineRule="auto"/>
      <w:ind w:left="420" w:leftChars="200" w:firstLine="200" w:firstLineChars="200"/>
    </w:pPr>
    <w:rPr>
      <w:rFonts w:ascii="宋体" w:hAnsi="Times New Roman" w:eastAsia="宋体" w:cs="Times New Roman"/>
      <w:sz w:val="28"/>
      <w:szCs w:val="28"/>
    </w:rPr>
  </w:style>
  <w:style w:type="paragraph" w:styleId="52">
    <w:name w:val="endnote text"/>
    <w:basedOn w:val="1"/>
    <w:link w:val="127"/>
    <w:autoRedefine/>
    <w:qFormat/>
    <w:uiPriority w:val="0"/>
    <w:pPr>
      <w:snapToGrid w:val="0"/>
      <w:spacing w:line="300" w:lineRule="auto"/>
      <w:ind w:firstLine="200" w:firstLineChars="200"/>
      <w:jc w:val="left"/>
    </w:pPr>
    <w:rPr>
      <w:rFonts w:ascii="宋体" w:hAnsi="Times New Roman" w:eastAsia="宋体" w:cs="Times New Roman"/>
      <w:sz w:val="28"/>
      <w:szCs w:val="28"/>
    </w:rPr>
  </w:style>
  <w:style w:type="paragraph" w:styleId="53">
    <w:name w:val="List Continue 5"/>
    <w:basedOn w:val="1"/>
    <w:autoRedefine/>
    <w:qFormat/>
    <w:uiPriority w:val="0"/>
    <w:pPr>
      <w:spacing w:after="120" w:line="300" w:lineRule="auto"/>
      <w:ind w:left="2100" w:leftChars="1000" w:firstLine="200" w:firstLineChars="200"/>
    </w:pPr>
    <w:rPr>
      <w:rFonts w:ascii="宋体" w:hAnsi="Times New Roman" w:eastAsia="仿宋_GB2312" w:cs="Times New Roman"/>
      <w:sz w:val="28"/>
      <w:szCs w:val="28"/>
    </w:rPr>
  </w:style>
  <w:style w:type="paragraph" w:styleId="54">
    <w:name w:val="Balloon Text"/>
    <w:basedOn w:val="1"/>
    <w:link w:val="128"/>
    <w:autoRedefine/>
    <w:qFormat/>
    <w:uiPriority w:val="0"/>
    <w:pPr>
      <w:spacing w:line="0" w:lineRule="atLeast"/>
      <w:ind w:firstLine="200" w:firstLineChars="200"/>
    </w:pPr>
    <w:rPr>
      <w:rFonts w:ascii="Times New Roman" w:hAnsi="Times New Roman" w:eastAsia="宋体" w:cs="Times New Roman"/>
      <w:sz w:val="18"/>
      <w:szCs w:val="18"/>
    </w:rPr>
  </w:style>
  <w:style w:type="paragraph" w:styleId="55">
    <w:name w:val="footer"/>
    <w:basedOn w:val="1"/>
    <w:link w:val="102"/>
    <w:autoRedefine/>
    <w:unhideWhenUsed/>
    <w:qFormat/>
    <w:uiPriority w:val="99"/>
    <w:pPr>
      <w:tabs>
        <w:tab w:val="center" w:pos="4153"/>
        <w:tab w:val="right" w:pos="8306"/>
      </w:tabs>
      <w:snapToGrid w:val="0"/>
      <w:jc w:val="left"/>
    </w:pPr>
    <w:rPr>
      <w:sz w:val="18"/>
      <w:szCs w:val="18"/>
    </w:rPr>
  </w:style>
  <w:style w:type="paragraph" w:styleId="56">
    <w:name w:val="envelope return"/>
    <w:basedOn w:val="1"/>
    <w:autoRedefine/>
    <w:qFormat/>
    <w:uiPriority w:val="0"/>
    <w:pPr>
      <w:snapToGrid w:val="0"/>
      <w:spacing w:line="300" w:lineRule="auto"/>
      <w:ind w:firstLine="200" w:firstLineChars="200"/>
    </w:pPr>
    <w:rPr>
      <w:rFonts w:ascii="Arial" w:hAnsi="Arial" w:eastAsia="仿宋_GB2312" w:cs="Times New Roman"/>
      <w:sz w:val="28"/>
      <w:szCs w:val="28"/>
    </w:rPr>
  </w:style>
  <w:style w:type="paragraph" w:styleId="57">
    <w:name w:val="header"/>
    <w:basedOn w:val="1"/>
    <w:link w:val="10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9"/>
    <w:autoRedefine/>
    <w:qFormat/>
    <w:uiPriority w:val="0"/>
    <w:pPr>
      <w:spacing w:line="300" w:lineRule="auto"/>
      <w:ind w:left="100" w:leftChars="2100" w:firstLine="200" w:firstLineChars="200"/>
    </w:pPr>
    <w:rPr>
      <w:rFonts w:ascii="宋体" w:hAnsi="Times New Roman" w:eastAsia="宋体" w:cs="Times New Roman"/>
      <w:sz w:val="28"/>
      <w:szCs w:val="28"/>
    </w:rPr>
  </w:style>
  <w:style w:type="paragraph" w:styleId="59">
    <w:name w:val="toc 1"/>
    <w:basedOn w:val="1"/>
    <w:next w:val="1"/>
    <w:autoRedefine/>
    <w:qFormat/>
    <w:uiPriority w:val="39"/>
    <w:pPr>
      <w:tabs>
        <w:tab w:val="right" w:leader="dot" w:pos="9060"/>
      </w:tabs>
      <w:spacing w:before="120" w:after="120" w:line="360" w:lineRule="auto"/>
      <w:ind w:firstLine="200" w:firstLineChars="200"/>
      <w:jc w:val="left"/>
    </w:pPr>
    <w:rPr>
      <w:rFonts w:ascii="Times New Roman" w:hAnsi="Times New Roman" w:eastAsia="黑体" w:cs="Times New Roman"/>
      <w:bCs/>
      <w:caps/>
      <w:sz w:val="24"/>
      <w:szCs w:val="20"/>
    </w:rPr>
  </w:style>
  <w:style w:type="paragraph" w:styleId="60">
    <w:name w:val="List Continue 4"/>
    <w:basedOn w:val="1"/>
    <w:next w:val="1"/>
    <w:autoRedefine/>
    <w:qFormat/>
    <w:uiPriority w:val="0"/>
    <w:pPr>
      <w:spacing w:after="120" w:line="300" w:lineRule="auto"/>
      <w:ind w:left="1680" w:leftChars="800" w:firstLine="200" w:firstLineChars="200"/>
    </w:pPr>
    <w:rPr>
      <w:rFonts w:ascii="宋体" w:hAnsi="Times New Roman" w:eastAsia="仿宋_GB2312" w:cs="Times New Roman"/>
      <w:sz w:val="28"/>
      <w:szCs w:val="28"/>
    </w:rPr>
  </w:style>
  <w:style w:type="paragraph" w:styleId="61">
    <w:name w:val="toc 4"/>
    <w:basedOn w:val="1"/>
    <w:next w:val="1"/>
    <w:autoRedefine/>
    <w:qFormat/>
    <w:uiPriority w:val="39"/>
    <w:pPr>
      <w:spacing w:line="360" w:lineRule="auto"/>
      <w:ind w:left="720" w:firstLine="200" w:firstLineChars="200"/>
      <w:jc w:val="left"/>
    </w:pPr>
    <w:rPr>
      <w:rFonts w:ascii="Calibri" w:hAnsi="Calibri" w:eastAsia="仿宋_GB2312" w:cs="Times New Roman"/>
      <w:sz w:val="18"/>
      <w:szCs w:val="18"/>
    </w:rPr>
  </w:style>
  <w:style w:type="paragraph" w:styleId="62">
    <w:name w:val="index heading"/>
    <w:basedOn w:val="1"/>
    <w:next w:val="63"/>
    <w:autoRedefine/>
    <w:qFormat/>
    <w:uiPriority w:val="0"/>
    <w:pPr>
      <w:spacing w:line="300" w:lineRule="auto"/>
      <w:ind w:firstLine="200" w:firstLineChars="200"/>
    </w:pPr>
    <w:rPr>
      <w:rFonts w:ascii="Arial" w:hAnsi="Arial" w:eastAsia="仿宋_GB2312" w:cs="Times New Roman"/>
      <w:b/>
      <w:bCs/>
      <w:sz w:val="28"/>
      <w:szCs w:val="28"/>
    </w:rPr>
  </w:style>
  <w:style w:type="paragraph" w:styleId="63">
    <w:name w:val="index 1"/>
    <w:basedOn w:val="1"/>
    <w:next w:val="1"/>
    <w:autoRedefine/>
    <w:unhideWhenUsed/>
    <w:qFormat/>
    <w:uiPriority w:val="0"/>
  </w:style>
  <w:style w:type="paragraph" w:styleId="64">
    <w:name w:val="Subtitle"/>
    <w:basedOn w:val="1"/>
    <w:next w:val="1"/>
    <w:link w:val="130"/>
    <w:autoRedefine/>
    <w:qFormat/>
    <w:uiPriority w:val="0"/>
    <w:pPr>
      <w:spacing w:before="120" w:after="120" w:line="360" w:lineRule="auto"/>
      <w:ind w:firstLine="200" w:firstLineChars="200"/>
      <w:jc w:val="left"/>
      <w:outlineLvl w:val="1"/>
    </w:pPr>
    <w:rPr>
      <w:rFonts w:ascii="Cambria" w:hAnsi="Cambria" w:eastAsia="宋体" w:cs="Times New Roman"/>
      <w:b/>
      <w:bCs/>
      <w:kern w:val="28"/>
      <w:sz w:val="24"/>
      <w:szCs w:val="32"/>
    </w:rPr>
  </w:style>
  <w:style w:type="paragraph" w:styleId="65">
    <w:name w:val="List Number 5"/>
    <w:basedOn w:val="1"/>
    <w:autoRedefine/>
    <w:qFormat/>
    <w:uiPriority w:val="0"/>
    <w:pPr>
      <w:numPr>
        <w:ilvl w:val="0"/>
        <w:numId w:val="10"/>
      </w:numPr>
      <w:spacing w:line="300" w:lineRule="auto"/>
      <w:ind w:firstLine="200" w:firstLineChars="200"/>
    </w:pPr>
    <w:rPr>
      <w:rFonts w:ascii="宋体" w:hAnsi="Times New Roman" w:eastAsia="仿宋_GB2312" w:cs="Times New Roman"/>
      <w:sz w:val="28"/>
      <w:szCs w:val="28"/>
    </w:rPr>
  </w:style>
  <w:style w:type="paragraph" w:styleId="66">
    <w:name w:val="List"/>
    <w:basedOn w:val="1"/>
    <w:autoRedefine/>
    <w:qFormat/>
    <w:uiPriority w:val="0"/>
    <w:pPr>
      <w:spacing w:line="300" w:lineRule="auto"/>
      <w:ind w:left="200" w:hanging="200" w:hangingChars="200"/>
    </w:pPr>
    <w:rPr>
      <w:rFonts w:ascii="宋体" w:hAnsi="Times New Roman" w:eastAsia="仿宋_GB2312" w:cs="Times New Roman"/>
      <w:sz w:val="28"/>
      <w:szCs w:val="28"/>
    </w:rPr>
  </w:style>
  <w:style w:type="paragraph" w:styleId="67">
    <w:name w:val="footnote text"/>
    <w:basedOn w:val="1"/>
    <w:link w:val="131"/>
    <w:autoRedefine/>
    <w:qFormat/>
    <w:uiPriority w:val="0"/>
    <w:pPr>
      <w:snapToGrid w:val="0"/>
      <w:spacing w:line="300" w:lineRule="auto"/>
      <w:ind w:firstLine="200" w:firstLineChars="200"/>
      <w:jc w:val="left"/>
    </w:pPr>
    <w:rPr>
      <w:rFonts w:ascii="宋体" w:hAnsi="Times New Roman" w:eastAsia="宋体" w:cs="Times New Roman"/>
      <w:sz w:val="18"/>
      <w:szCs w:val="18"/>
    </w:rPr>
  </w:style>
  <w:style w:type="paragraph" w:styleId="68">
    <w:name w:val="toc 6"/>
    <w:basedOn w:val="1"/>
    <w:next w:val="1"/>
    <w:autoRedefine/>
    <w:qFormat/>
    <w:uiPriority w:val="39"/>
    <w:pPr>
      <w:spacing w:line="360" w:lineRule="auto"/>
      <w:ind w:left="1200" w:firstLine="200" w:firstLineChars="200"/>
      <w:jc w:val="left"/>
    </w:pPr>
    <w:rPr>
      <w:rFonts w:ascii="Calibri" w:hAnsi="Calibri" w:eastAsia="仿宋_GB2312" w:cs="Times New Roman"/>
      <w:sz w:val="18"/>
      <w:szCs w:val="18"/>
    </w:rPr>
  </w:style>
  <w:style w:type="paragraph" w:styleId="69">
    <w:name w:val="List 5"/>
    <w:basedOn w:val="1"/>
    <w:autoRedefine/>
    <w:qFormat/>
    <w:uiPriority w:val="0"/>
    <w:pPr>
      <w:spacing w:line="300" w:lineRule="auto"/>
      <w:ind w:left="100" w:leftChars="800" w:hanging="200" w:hangingChars="200"/>
    </w:pPr>
    <w:rPr>
      <w:rFonts w:ascii="宋体" w:hAnsi="Times New Roman" w:eastAsia="仿宋_GB2312" w:cs="Times New Roman"/>
      <w:sz w:val="28"/>
      <w:szCs w:val="28"/>
    </w:rPr>
  </w:style>
  <w:style w:type="paragraph" w:styleId="70">
    <w:name w:val="Body Text Indent 3"/>
    <w:basedOn w:val="1"/>
    <w:link w:val="132"/>
    <w:autoRedefine/>
    <w:qFormat/>
    <w:uiPriority w:val="0"/>
    <w:pPr>
      <w:spacing w:after="120" w:line="300" w:lineRule="auto"/>
      <w:ind w:left="420" w:leftChars="200" w:firstLine="200" w:firstLineChars="200"/>
    </w:pPr>
    <w:rPr>
      <w:rFonts w:ascii="宋体" w:hAnsi="Times New Roman" w:eastAsia="宋体" w:cs="Times New Roman"/>
      <w:sz w:val="16"/>
      <w:szCs w:val="16"/>
    </w:rPr>
  </w:style>
  <w:style w:type="paragraph" w:styleId="71">
    <w:name w:val="index 7"/>
    <w:basedOn w:val="1"/>
    <w:next w:val="1"/>
    <w:autoRedefine/>
    <w:qFormat/>
    <w:uiPriority w:val="0"/>
    <w:pPr>
      <w:spacing w:line="300" w:lineRule="auto"/>
      <w:ind w:left="1200" w:leftChars="1200" w:firstLine="200" w:firstLineChars="200"/>
    </w:pPr>
    <w:rPr>
      <w:rFonts w:ascii="宋体" w:hAnsi="Times New Roman" w:eastAsia="仿宋_GB2312" w:cs="Times New Roman"/>
      <w:sz w:val="28"/>
      <w:szCs w:val="28"/>
    </w:rPr>
  </w:style>
  <w:style w:type="paragraph" w:styleId="72">
    <w:name w:val="index 9"/>
    <w:basedOn w:val="1"/>
    <w:next w:val="1"/>
    <w:autoRedefine/>
    <w:qFormat/>
    <w:uiPriority w:val="0"/>
    <w:pPr>
      <w:spacing w:line="300" w:lineRule="auto"/>
      <w:ind w:left="1600" w:leftChars="1600" w:firstLine="200" w:firstLineChars="200"/>
    </w:pPr>
    <w:rPr>
      <w:rFonts w:ascii="宋体" w:hAnsi="Times New Roman" w:eastAsia="仿宋_GB2312" w:cs="Times New Roman"/>
      <w:sz w:val="28"/>
      <w:szCs w:val="28"/>
    </w:rPr>
  </w:style>
  <w:style w:type="paragraph" w:styleId="73">
    <w:name w:val="table of figures"/>
    <w:basedOn w:val="1"/>
    <w:next w:val="1"/>
    <w:autoRedefine/>
    <w:qFormat/>
    <w:uiPriority w:val="0"/>
    <w:pPr>
      <w:spacing w:line="300" w:lineRule="auto"/>
      <w:ind w:left="200" w:leftChars="200" w:hanging="200" w:hangingChars="200"/>
    </w:pPr>
    <w:rPr>
      <w:rFonts w:ascii="宋体" w:hAnsi="Times New Roman" w:eastAsia="仿宋_GB2312" w:cs="Times New Roman"/>
      <w:sz w:val="28"/>
      <w:szCs w:val="28"/>
    </w:rPr>
  </w:style>
  <w:style w:type="paragraph" w:styleId="74">
    <w:name w:val="toc 2"/>
    <w:basedOn w:val="1"/>
    <w:next w:val="1"/>
    <w:autoRedefine/>
    <w:qFormat/>
    <w:uiPriority w:val="39"/>
    <w:pPr>
      <w:spacing w:line="360" w:lineRule="auto"/>
      <w:ind w:left="240" w:firstLine="200" w:firstLineChars="200"/>
      <w:jc w:val="left"/>
    </w:pPr>
    <w:rPr>
      <w:rFonts w:ascii="Calibri" w:hAnsi="Calibri" w:eastAsia="仿宋_GB2312" w:cs="Times New Roman"/>
      <w:smallCaps/>
      <w:sz w:val="20"/>
      <w:szCs w:val="20"/>
    </w:rPr>
  </w:style>
  <w:style w:type="paragraph" w:styleId="75">
    <w:name w:val="toc 9"/>
    <w:basedOn w:val="1"/>
    <w:next w:val="1"/>
    <w:autoRedefine/>
    <w:qFormat/>
    <w:uiPriority w:val="39"/>
    <w:pPr>
      <w:spacing w:line="360" w:lineRule="auto"/>
      <w:ind w:left="1920" w:firstLine="200" w:firstLineChars="200"/>
      <w:jc w:val="left"/>
    </w:pPr>
    <w:rPr>
      <w:rFonts w:ascii="Calibri" w:hAnsi="Calibri" w:eastAsia="仿宋_GB2312" w:cs="Times New Roman"/>
      <w:sz w:val="18"/>
      <w:szCs w:val="18"/>
    </w:rPr>
  </w:style>
  <w:style w:type="paragraph" w:styleId="76">
    <w:name w:val="Body Text 2"/>
    <w:basedOn w:val="1"/>
    <w:link w:val="133"/>
    <w:autoRedefine/>
    <w:qFormat/>
    <w:uiPriority w:val="0"/>
    <w:pPr>
      <w:spacing w:after="120" w:line="480" w:lineRule="auto"/>
      <w:ind w:firstLine="200" w:firstLineChars="200"/>
    </w:pPr>
    <w:rPr>
      <w:rFonts w:ascii="宋体" w:hAnsi="Times New Roman" w:eastAsia="宋体" w:cs="Times New Roman"/>
      <w:sz w:val="28"/>
      <w:szCs w:val="28"/>
    </w:rPr>
  </w:style>
  <w:style w:type="paragraph" w:styleId="77">
    <w:name w:val="List 4"/>
    <w:basedOn w:val="1"/>
    <w:autoRedefine/>
    <w:qFormat/>
    <w:uiPriority w:val="0"/>
    <w:pPr>
      <w:spacing w:line="300" w:lineRule="auto"/>
      <w:ind w:left="100" w:leftChars="600" w:hanging="200" w:hangingChars="200"/>
    </w:pPr>
    <w:rPr>
      <w:rFonts w:ascii="宋体" w:hAnsi="Times New Roman" w:eastAsia="仿宋_GB2312" w:cs="Times New Roman"/>
      <w:sz w:val="28"/>
      <w:szCs w:val="28"/>
    </w:rPr>
  </w:style>
  <w:style w:type="paragraph" w:styleId="78">
    <w:name w:val="List Continue 2"/>
    <w:basedOn w:val="1"/>
    <w:autoRedefine/>
    <w:qFormat/>
    <w:uiPriority w:val="0"/>
    <w:pPr>
      <w:spacing w:after="120" w:line="300" w:lineRule="auto"/>
      <w:ind w:left="840" w:leftChars="400" w:firstLine="200" w:firstLineChars="200"/>
    </w:pPr>
    <w:rPr>
      <w:rFonts w:ascii="宋体" w:hAnsi="Times New Roman" w:eastAsia="仿宋_GB2312" w:cs="Times New Roman"/>
      <w:sz w:val="28"/>
      <w:szCs w:val="28"/>
    </w:rPr>
  </w:style>
  <w:style w:type="paragraph" w:styleId="79">
    <w:name w:val="Message Header"/>
    <w:basedOn w:val="1"/>
    <w:link w:val="134"/>
    <w:autoRedefine/>
    <w:qFormat/>
    <w:uiPriority w:val="0"/>
    <w:pPr>
      <w:pBdr>
        <w:top w:val="single" w:color="auto" w:sz="6" w:space="1"/>
        <w:left w:val="single" w:color="auto" w:sz="6" w:space="1"/>
        <w:bottom w:val="single" w:color="auto" w:sz="6" w:space="1"/>
        <w:right w:val="single" w:color="auto" w:sz="6" w:space="1"/>
      </w:pBdr>
      <w:shd w:val="pct20" w:color="auto" w:fill="auto"/>
      <w:spacing w:line="300" w:lineRule="auto"/>
      <w:ind w:left="1080" w:leftChars="500" w:hanging="1080" w:hangingChars="500"/>
    </w:pPr>
    <w:rPr>
      <w:rFonts w:ascii="Arial" w:hAnsi="Arial" w:eastAsia="宋体" w:cs="Times New Roman"/>
      <w:sz w:val="24"/>
      <w:szCs w:val="24"/>
    </w:rPr>
  </w:style>
  <w:style w:type="paragraph" w:styleId="80">
    <w:name w:val="HTML Preformatted"/>
    <w:basedOn w:val="1"/>
    <w:link w:val="135"/>
    <w:autoRedefine/>
    <w:qFormat/>
    <w:uiPriority w:val="0"/>
    <w:pPr>
      <w:spacing w:line="300" w:lineRule="auto"/>
      <w:ind w:firstLine="200" w:firstLineChars="200"/>
    </w:pPr>
    <w:rPr>
      <w:rFonts w:ascii="Courier New" w:hAnsi="Courier New" w:eastAsia="宋体" w:cs="Times New Roman"/>
      <w:sz w:val="20"/>
      <w:szCs w:val="20"/>
    </w:rPr>
  </w:style>
  <w:style w:type="paragraph" w:styleId="81">
    <w:name w:val="Normal (Web)"/>
    <w:basedOn w:val="1"/>
    <w:autoRedefine/>
    <w:qFormat/>
    <w:uiPriority w:val="99"/>
    <w:pPr>
      <w:widowControl/>
      <w:spacing w:before="75" w:after="75" w:line="360" w:lineRule="auto"/>
      <w:ind w:firstLine="200" w:firstLineChars="200"/>
      <w:jc w:val="left"/>
    </w:pPr>
    <w:rPr>
      <w:rFonts w:ascii="宋体" w:hAnsi="宋体" w:eastAsia="仿宋_GB2312" w:cs="宋体"/>
      <w:kern w:val="0"/>
      <w:sz w:val="24"/>
      <w:szCs w:val="24"/>
    </w:rPr>
  </w:style>
  <w:style w:type="paragraph" w:styleId="82">
    <w:name w:val="List Continue 3"/>
    <w:basedOn w:val="1"/>
    <w:autoRedefine/>
    <w:qFormat/>
    <w:uiPriority w:val="0"/>
    <w:pPr>
      <w:spacing w:after="120" w:line="300" w:lineRule="auto"/>
      <w:ind w:left="1260" w:leftChars="600" w:firstLine="200" w:firstLineChars="200"/>
    </w:pPr>
    <w:rPr>
      <w:rFonts w:ascii="宋体" w:hAnsi="Times New Roman" w:eastAsia="仿宋_GB2312" w:cs="Times New Roman"/>
      <w:sz w:val="28"/>
      <w:szCs w:val="28"/>
    </w:rPr>
  </w:style>
  <w:style w:type="paragraph" w:styleId="83">
    <w:name w:val="index 2"/>
    <w:basedOn w:val="1"/>
    <w:next w:val="1"/>
    <w:autoRedefine/>
    <w:qFormat/>
    <w:uiPriority w:val="0"/>
    <w:pPr>
      <w:spacing w:line="300" w:lineRule="auto"/>
      <w:ind w:left="200" w:leftChars="200" w:firstLine="200" w:firstLineChars="200"/>
    </w:pPr>
    <w:rPr>
      <w:rFonts w:ascii="宋体" w:hAnsi="Times New Roman" w:eastAsia="仿宋_GB2312" w:cs="Times New Roman"/>
      <w:sz w:val="28"/>
      <w:szCs w:val="28"/>
    </w:rPr>
  </w:style>
  <w:style w:type="paragraph" w:styleId="84">
    <w:name w:val="Title"/>
    <w:basedOn w:val="1"/>
    <w:link w:val="136"/>
    <w:autoRedefine/>
    <w:qFormat/>
    <w:uiPriority w:val="10"/>
    <w:pPr>
      <w:spacing w:before="240" w:after="60" w:line="360" w:lineRule="auto"/>
      <w:ind w:firstLine="200" w:firstLineChars="200"/>
      <w:jc w:val="center"/>
      <w:outlineLvl w:val="0"/>
    </w:pPr>
    <w:rPr>
      <w:rFonts w:ascii="Arial" w:hAnsi="Arial" w:eastAsia="宋体" w:cs="Times New Roman"/>
      <w:b/>
      <w:bCs/>
      <w:sz w:val="32"/>
      <w:szCs w:val="32"/>
    </w:rPr>
  </w:style>
  <w:style w:type="paragraph" w:styleId="85">
    <w:name w:val="annotation subject"/>
    <w:basedOn w:val="28"/>
    <w:next w:val="28"/>
    <w:link w:val="137"/>
    <w:autoRedefine/>
    <w:unhideWhenUsed/>
    <w:qFormat/>
    <w:uiPriority w:val="0"/>
    <w:pPr>
      <w:widowControl w:val="0"/>
    </w:pPr>
    <w:rPr>
      <w:b/>
      <w:bCs/>
    </w:rPr>
  </w:style>
  <w:style w:type="paragraph" w:styleId="86">
    <w:name w:val="Body Text First Indent"/>
    <w:basedOn w:val="34"/>
    <w:link w:val="139"/>
    <w:autoRedefine/>
    <w:qFormat/>
    <w:uiPriority w:val="0"/>
    <w:pPr>
      <w:ind w:firstLine="420" w:firstLineChars="100"/>
    </w:pPr>
    <w:rPr>
      <w:sz w:val="21"/>
      <w:szCs w:val="20"/>
    </w:rPr>
  </w:style>
  <w:style w:type="paragraph" w:styleId="87">
    <w:name w:val="Body Text First Indent 2"/>
    <w:basedOn w:val="35"/>
    <w:next w:val="60"/>
    <w:link w:val="140"/>
    <w:autoRedefine/>
    <w:qFormat/>
    <w:uiPriority w:val="0"/>
    <w:pPr>
      <w:spacing w:line="300" w:lineRule="auto"/>
      <w:ind w:left="420" w:firstLine="420"/>
    </w:pPr>
    <w:rPr>
      <w:rFonts w:ascii="宋体"/>
      <w:sz w:val="28"/>
      <w:szCs w:val="28"/>
    </w:rPr>
  </w:style>
  <w:style w:type="table" w:styleId="89">
    <w:name w:val="Table Grid"/>
    <w:basedOn w:val="8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Grid 5"/>
    <w:basedOn w:val="88"/>
    <w:autoRedefine/>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3">
    <w:name w:val="Strong"/>
    <w:autoRedefine/>
    <w:qFormat/>
    <w:uiPriority w:val="0"/>
    <w:rPr>
      <w:b/>
      <w:bCs/>
    </w:rPr>
  </w:style>
  <w:style w:type="character" w:styleId="94">
    <w:name w:val="page number"/>
    <w:basedOn w:val="92"/>
    <w:autoRedefine/>
    <w:qFormat/>
    <w:uiPriority w:val="0"/>
  </w:style>
  <w:style w:type="character" w:styleId="95">
    <w:name w:val="FollowedHyperlink"/>
    <w:autoRedefine/>
    <w:unhideWhenUsed/>
    <w:qFormat/>
    <w:uiPriority w:val="99"/>
    <w:rPr>
      <w:color w:val="800080"/>
      <w:u w:val="single"/>
    </w:rPr>
  </w:style>
  <w:style w:type="character" w:styleId="96">
    <w:name w:val="Emphasis"/>
    <w:autoRedefine/>
    <w:qFormat/>
    <w:uiPriority w:val="20"/>
    <w:rPr>
      <w:i/>
      <w:iCs/>
    </w:rPr>
  </w:style>
  <w:style w:type="character" w:styleId="97">
    <w:name w:val="Hyperlink"/>
    <w:basedOn w:val="92"/>
    <w:autoRedefine/>
    <w:qFormat/>
    <w:uiPriority w:val="99"/>
    <w:rPr>
      <w:color w:val="0000FF"/>
      <w:u w:val="single"/>
    </w:rPr>
  </w:style>
  <w:style w:type="character" w:styleId="98">
    <w:name w:val="annotation reference"/>
    <w:autoRedefine/>
    <w:qFormat/>
    <w:uiPriority w:val="0"/>
    <w:rPr>
      <w:sz w:val="21"/>
      <w:szCs w:val="21"/>
    </w:rPr>
  </w:style>
  <w:style w:type="character" w:styleId="99">
    <w:name w:val="footnote reference"/>
    <w:autoRedefine/>
    <w:qFormat/>
    <w:uiPriority w:val="0"/>
    <w:rPr>
      <w:vertAlign w:val="superscript"/>
    </w:rPr>
  </w:style>
  <w:style w:type="paragraph" w:customStyle="1" w:styleId="100">
    <w:name w:val="7表中文字"/>
    <w:basedOn w:val="1"/>
    <w:autoRedefine/>
    <w:qFormat/>
    <w:uiPriority w:val="0"/>
    <w:pPr>
      <w:pBdr>
        <w:top w:val="none" w:color="000000" w:sz="0" w:space="1"/>
        <w:left w:val="none" w:color="000000" w:sz="0" w:space="4"/>
        <w:bottom w:val="none" w:color="000000" w:sz="0" w:space="1"/>
        <w:right w:val="none" w:color="000000" w:sz="0" w:space="4"/>
      </w:pBdr>
      <w:spacing w:line="240" w:lineRule="atLeast"/>
      <w:ind w:firstLine="0" w:firstLineChars="0"/>
      <w:jc w:val="center"/>
    </w:pPr>
    <w:rPr>
      <w:rFonts w:ascii="Times New Roman" w:hAnsi="Times New Roman" w:eastAsia="仿宋_GB2312" w:cs="宋体"/>
      <w:sz w:val="22"/>
      <w:szCs w:val="22"/>
      <w:lang w:val="zh-CN" w:eastAsia="en-US" w:bidi="zh-CN"/>
    </w:rPr>
  </w:style>
  <w:style w:type="character" w:customStyle="1" w:styleId="101">
    <w:name w:val="页眉 Char"/>
    <w:basedOn w:val="92"/>
    <w:link w:val="57"/>
    <w:autoRedefine/>
    <w:qFormat/>
    <w:uiPriority w:val="99"/>
    <w:rPr>
      <w:sz w:val="18"/>
      <w:szCs w:val="18"/>
    </w:rPr>
  </w:style>
  <w:style w:type="character" w:customStyle="1" w:styleId="102">
    <w:name w:val="页脚 Char"/>
    <w:basedOn w:val="92"/>
    <w:link w:val="55"/>
    <w:autoRedefine/>
    <w:qFormat/>
    <w:uiPriority w:val="99"/>
    <w:rPr>
      <w:sz w:val="18"/>
      <w:szCs w:val="18"/>
    </w:rPr>
  </w:style>
  <w:style w:type="character" w:customStyle="1" w:styleId="103">
    <w:name w:val="标题 1 Char"/>
    <w:basedOn w:val="92"/>
    <w:link w:val="3"/>
    <w:autoRedefine/>
    <w:qFormat/>
    <w:uiPriority w:val="0"/>
    <w:rPr>
      <w:rFonts w:ascii="Times New Roman" w:hAnsi="Times New Roman" w:eastAsia="宋体" w:cs="Times New Roman"/>
      <w:b/>
      <w:bCs/>
      <w:kern w:val="44"/>
      <w:sz w:val="44"/>
      <w:szCs w:val="44"/>
    </w:rPr>
  </w:style>
  <w:style w:type="character" w:customStyle="1" w:styleId="104">
    <w:name w:val="标题 2 Char"/>
    <w:basedOn w:val="92"/>
    <w:link w:val="4"/>
    <w:autoRedefine/>
    <w:qFormat/>
    <w:uiPriority w:val="0"/>
    <w:rPr>
      <w:rFonts w:ascii="Times New Roman" w:hAnsi="Times New Roman" w:eastAsia="黑体" w:cs="Times New Roman"/>
      <w:bCs/>
      <w:kern w:val="0"/>
      <w:sz w:val="30"/>
      <w:szCs w:val="30"/>
    </w:rPr>
  </w:style>
  <w:style w:type="character" w:customStyle="1" w:styleId="105">
    <w:name w:val="标题 3 Char"/>
    <w:basedOn w:val="92"/>
    <w:link w:val="5"/>
    <w:autoRedefine/>
    <w:qFormat/>
    <w:uiPriority w:val="0"/>
    <w:rPr>
      <w:rFonts w:ascii="Times New Roman" w:hAnsi="Times New Roman" w:eastAsia="黑体" w:cs="Times New Roman"/>
      <w:bCs/>
      <w:sz w:val="28"/>
      <w:szCs w:val="32"/>
    </w:rPr>
  </w:style>
  <w:style w:type="character" w:customStyle="1" w:styleId="106">
    <w:name w:val="标题 4 Char"/>
    <w:basedOn w:val="92"/>
    <w:link w:val="6"/>
    <w:autoRedefine/>
    <w:qFormat/>
    <w:uiPriority w:val="9"/>
    <w:rPr>
      <w:rFonts w:ascii="Cambria" w:hAnsi="Cambria" w:eastAsia="宋体" w:cs="Times New Roman"/>
      <w:b/>
      <w:bCs/>
      <w:sz w:val="28"/>
      <w:szCs w:val="28"/>
    </w:rPr>
  </w:style>
  <w:style w:type="character" w:customStyle="1" w:styleId="107">
    <w:name w:val="标题 5 Char"/>
    <w:basedOn w:val="92"/>
    <w:link w:val="7"/>
    <w:autoRedefine/>
    <w:qFormat/>
    <w:uiPriority w:val="0"/>
    <w:rPr>
      <w:rFonts w:ascii="Times New Roman" w:hAnsi="Times New Roman" w:eastAsia="宋体" w:cs="Times New Roman"/>
      <w:b/>
      <w:bCs/>
      <w:sz w:val="28"/>
      <w:szCs w:val="28"/>
    </w:rPr>
  </w:style>
  <w:style w:type="character" w:customStyle="1" w:styleId="108">
    <w:name w:val="标题 6 Char"/>
    <w:basedOn w:val="92"/>
    <w:link w:val="8"/>
    <w:autoRedefine/>
    <w:qFormat/>
    <w:uiPriority w:val="99"/>
    <w:rPr>
      <w:rFonts w:ascii="Arial" w:hAnsi="Arial" w:eastAsia="黑体" w:cs="Times New Roman"/>
      <w:b/>
      <w:sz w:val="24"/>
      <w:szCs w:val="28"/>
    </w:rPr>
  </w:style>
  <w:style w:type="character" w:customStyle="1" w:styleId="109">
    <w:name w:val="标题 7 Char"/>
    <w:basedOn w:val="92"/>
    <w:link w:val="9"/>
    <w:autoRedefine/>
    <w:qFormat/>
    <w:uiPriority w:val="99"/>
    <w:rPr>
      <w:rFonts w:ascii="宋体" w:hAnsi="Times New Roman" w:eastAsia="宋体" w:cs="Times New Roman"/>
      <w:b/>
      <w:sz w:val="24"/>
      <w:szCs w:val="28"/>
    </w:rPr>
  </w:style>
  <w:style w:type="character" w:customStyle="1" w:styleId="110">
    <w:name w:val="标题 8 Char"/>
    <w:basedOn w:val="92"/>
    <w:link w:val="10"/>
    <w:autoRedefine/>
    <w:qFormat/>
    <w:uiPriority w:val="0"/>
    <w:rPr>
      <w:rFonts w:ascii="Arial" w:hAnsi="Arial" w:eastAsia="黑体" w:cs="Times New Roman"/>
      <w:sz w:val="24"/>
      <w:szCs w:val="28"/>
    </w:rPr>
  </w:style>
  <w:style w:type="character" w:customStyle="1" w:styleId="111">
    <w:name w:val="标题 9 Char"/>
    <w:basedOn w:val="92"/>
    <w:link w:val="11"/>
    <w:autoRedefine/>
    <w:qFormat/>
    <w:uiPriority w:val="0"/>
    <w:rPr>
      <w:rFonts w:ascii="Arial" w:hAnsi="Arial" w:eastAsia="黑体" w:cs="Times New Roman"/>
      <w:szCs w:val="28"/>
    </w:rPr>
  </w:style>
  <w:style w:type="character" w:customStyle="1" w:styleId="112">
    <w:name w:val="宏文本 Char"/>
    <w:basedOn w:val="92"/>
    <w:link w:val="2"/>
    <w:autoRedefine/>
    <w:qFormat/>
    <w:uiPriority w:val="0"/>
    <w:rPr>
      <w:rFonts w:ascii="Courier New" w:hAnsi="Courier New" w:eastAsia="宋体" w:cs="Times New Roman"/>
      <w:spacing w:val="6"/>
      <w:sz w:val="24"/>
      <w:szCs w:val="24"/>
    </w:rPr>
  </w:style>
  <w:style w:type="character" w:customStyle="1" w:styleId="113">
    <w:name w:val="注释标题 Char"/>
    <w:basedOn w:val="92"/>
    <w:link w:val="16"/>
    <w:autoRedefine/>
    <w:qFormat/>
    <w:uiPriority w:val="0"/>
    <w:rPr>
      <w:rFonts w:ascii="宋体" w:hAnsi="Times New Roman" w:eastAsia="宋体" w:cs="Times New Roman"/>
      <w:sz w:val="28"/>
      <w:szCs w:val="28"/>
    </w:rPr>
  </w:style>
  <w:style w:type="character" w:customStyle="1" w:styleId="114">
    <w:name w:val="电子邮件签名 Char"/>
    <w:basedOn w:val="92"/>
    <w:link w:val="19"/>
    <w:autoRedefine/>
    <w:qFormat/>
    <w:uiPriority w:val="0"/>
    <w:rPr>
      <w:rFonts w:ascii="宋体" w:hAnsi="Times New Roman" w:eastAsia="宋体" w:cs="Times New Roman"/>
      <w:sz w:val="28"/>
      <w:szCs w:val="28"/>
    </w:rPr>
  </w:style>
  <w:style w:type="character" w:customStyle="1" w:styleId="115">
    <w:name w:val="正文缩进 Char"/>
    <w:link w:val="21"/>
    <w:autoRedefine/>
    <w:qFormat/>
    <w:locked/>
    <w:uiPriority w:val="0"/>
    <w:rPr>
      <w:rFonts w:ascii="宋体" w:hAnsi="宋体" w:eastAsia="宋体" w:cs="Times New Roman"/>
      <w:szCs w:val="20"/>
    </w:rPr>
  </w:style>
  <w:style w:type="character" w:customStyle="1" w:styleId="116">
    <w:name w:val="文档结构图 Char"/>
    <w:basedOn w:val="92"/>
    <w:link w:val="26"/>
    <w:autoRedefine/>
    <w:qFormat/>
    <w:uiPriority w:val="0"/>
    <w:rPr>
      <w:rFonts w:ascii="宋体" w:hAnsi="Times New Roman" w:eastAsia="宋体" w:cs="Times New Roman"/>
      <w:sz w:val="18"/>
      <w:szCs w:val="18"/>
    </w:rPr>
  </w:style>
  <w:style w:type="character" w:customStyle="1" w:styleId="117">
    <w:name w:val="批注文字 Char"/>
    <w:basedOn w:val="92"/>
    <w:link w:val="28"/>
    <w:autoRedefine/>
    <w:qFormat/>
    <w:uiPriority w:val="0"/>
    <w:rPr>
      <w:rFonts w:ascii="Calibri" w:hAnsi="Calibri" w:eastAsia="宋体" w:cs="Times New Roman"/>
    </w:rPr>
  </w:style>
  <w:style w:type="character" w:customStyle="1" w:styleId="118">
    <w:name w:val="称呼 Char"/>
    <w:basedOn w:val="92"/>
    <w:link w:val="30"/>
    <w:autoRedefine/>
    <w:qFormat/>
    <w:uiPriority w:val="0"/>
    <w:rPr>
      <w:rFonts w:ascii="宋体" w:hAnsi="Times New Roman" w:eastAsia="宋体" w:cs="Times New Roman"/>
      <w:sz w:val="28"/>
      <w:szCs w:val="28"/>
    </w:rPr>
  </w:style>
  <w:style w:type="character" w:customStyle="1" w:styleId="119">
    <w:name w:val="正文文本 3 Char"/>
    <w:basedOn w:val="92"/>
    <w:link w:val="31"/>
    <w:autoRedefine/>
    <w:qFormat/>
    <w:uiPriority w:val="0"/>
    <w:rPr>
      <w:rFonts w:ascii="宋体" w:hAnsi="Times New Roman" w:eastAsia="宋体" w:cs="Times New Roman"/>
      <w:sz w:val="16"/>
      <w:szCs w:val="16"/>
    </w:rPr>
  </w:style>
  <w:style w:type="character" w:customStyle="1" w:styleId="120">
    <w:name w:val="结束语 Char"/>
    <w:basedOn w:val="92"/>
    <w:link w:val="32"/>
    <w:autoRedefine/>
    <w:qFormat/>
    <w:uiPriority w:val="0"/>
    <w:rPr>
      <w:rFonts w:ascii="宋体" w:hAnsi="Times New Roman" w:eastAsia="宋体" w:cs="Times New Roman"/>
      <w:sz w:val="28"/>
      <w:szCs w:val="28"/>
    </w:rPr>
  </w:style>
  <w:style w:type="character" w:customStyle="1" w:styleId="121">
    <w:name w:val="正文文本 Char"/>
    <w:basedOn w:val="92"/>
    <w:link w:val="34"/>
    <w:autoRedefine/>
    <w:qFormat/>
    <w:uiPriority w:val="0"/>
    <w:rPr>
      <w:rFonts w:ascii="Times New Roman" w:hAnsi="Times New Roman" w:eastAsia="宋体" w:cs="Times New Roman"/>
      <w:sz w:val="24"/>
      <w:szCs w:val="24"/>
    </w:rPr>
  </w:style>
  <w:style w:type="character" w:customStyle="1" w:styleId="122">
    <w:name w:val="正文文本缩进 Char"/>
    <w:basedOn w:val="92"/>
    <w:link w:val="35"/>
    <w:autoRedefine/>
    <w:qFormat/>
    <w:uiPriority w:val="0"/>
    <w:rPr>
      <w:rFonts w:ascii="Times New Roman" w:hAnsi="Times New Roman" w:eastAsia="宋体" w:cs="Times New Roman"/>
      <w:szCs w:val="24"/>
    </w:rPr>
  </w:style>
  <w:style w:type="character" w:customStyle="1" w:styleId="123">
    <w:name w:val="HTML 地址 Char"/>
    <w:basedOn w:val="92"/>
    <w:link w:val="41"/>
    <w:autoRedefine/>
    <w:qFormat/>
    <w:uiPriority w:val="0"/>
    <w:rPr>
      <w:rFonts w:ascii="宋体" w:hAnsi="Times New Roman" w:eastAsia="宋体" w:cs="Times New Roman"/>
      <w:i/>
      <w:iCs/>
      <w:sz w:val="28"/>
      <w:szCs w:val="28"/>
    </w:rPr>
  </w:style>
  <w:style w:type="character" w:customStyle="1" w:styleId="124">
    <w:name w:val="纯文本 Char"/>
    <w:basedOn w:val="92"/>
    <w:link w:val="45"/>
    <w:autoRedefine/>
    <w:qFormat/>
    <w:uiPriority w:val="0"/>
    <w:rPr>
      <w:rFonts w:ascii="宋体" w:hAnsi="Courier New" w:eastAsia="宋体" w:cs="Times New Roman"/>
      <w:szCs w:val="21"/>
    </w:rPr>
  </w:style>
  <w:style w:type="character" w:customStyle="1" w:styleId="125">
    <w:name w:val="日期 Char"/>
    <w:basedOn w:val="92"/>
    <w:link w:val="50"/>
    <w:autoRedefine/>
    <w:qFormat/>
    <w:uiPriority w:val="0"/>
    <w:rPr>
      <w:rFonts w:ascii="Times New Roman" w:hAnsi="Times New Roman" w:eastAsia="宋体" w:cs="Times New Roman"/>
      <w:szCs w:val="20"/>
    </w:rPr>
  </w:style>
  <w:style w:type="character" w:customStyle="1" w:styleId="126">
    <w:name w:val="正文文本缩进 2 Char"/>
    <w:basedOn w:val="92"/>
    <w:link w:val="51"/>
    <w:autoRedefine/>
    <w:qFormat/>
    <w:uiPriority w:val="0"/>
    <w:rPr>
      <w:rFonts w:ascii="宋体" w:hAnsi="Times New Roman" w:eastAsia="宋体" w:cs="Times New Roman"/>
      <w:sz w:val="28"/>
      <w:szCs w:val="28"/>
    </w:rPr>
  </w:style>
  <w:style w:type="character" w:customStyle="1" w:styleId="127">
    <w:name w:val="尾注文本 Char"/>
    <w:basedOn w:val="92"/>
    <w:link w:val="52"/>
    <w:autoRedefine/>
    <w:qFormat/>
    <w:uiPriority w:val="0"/>
    <w:rPr>
      <w:rFonts w:ascii="宋体" w:hAnsi="Times New Roman" w:eastAsia="宋体" w:cs="Times New Roman"/>
      <w:sz w:val="28"/>
      <w:szCs w:val="28"/>
    </w:rPr>
  </w:style>
  <w:style w:type="character" w:customStyle="1" w:styleId="128">
    <w:name w:val="批注框文本 Char"/>
    <w:basedOn w:val="92"/>
    <w:link w:val="54"/>
    <w:autoRedefine/>
    <w:qFormat/>
    <w:uiPriority w:val="0"/>
    <w:rPr>
      <w:rFonts w:ascii="Times New Roman" w:hAnsi="Times New Roman" w:eastAsia="宋体" w:cs="Times New Roman"/>
      <w:sz w:val="18"/>
      <w:szCs w:val="18"/>
    </w:rPr>
  </w:style>
  <w:style w:type="character" w:customStyle="1" w:styleId="129">
    <w:name w:val="签名 Char"/>
    <w:basedOn w:val="92"/>
    <w:link w:val="58"/>
    <w:autoRedefine/>
    <w:qFormat/>
    <w:uiPriority w:val="0"/>
    <w:rPr>
      <w:rFonts w:ascii="宋体" w:hAnsi="Times New Roman" w:eastAsia="宋体" w:cs="Times New Roman"/>
      <w:sz w:val="28"/>
      <w:szCs w:val="28"/>
    </w:rPr>
  </w:style>
  <w:style w:type="character" w:customStyle="1" w:styleId="130">
    <w:name w:val="副标题 Char"/>
    <w:basedOn w:val="92"/>
    <w:link w:val="64"/>
    <w:autoRedefine/>
    <w:qFormat/>
    <w:uiPriority w:val="0"/>
    <w:rPr>
      <w:rFonts w:ascii="Cambria" w:hAnsi="Cambria" w:eastAsia="宋体" w:cs="Times New Roman"/>
      <w:b/>
      <w:bCs/>
      <w:kern w:val="28"/>
      <w:sz w:val="24"/>
      <w:szCs w:val="32"/>
    </w:rPr>
  </w:style>
  <w:style w:type="character" w:customStyle="1" w:styleId="131">
    <w:name w:val="脚注文本 Char"/>
    <w:basedOn w:val="92"/>
    <w:link w:val="67"/>
    <w:autoRedefine/>
    <w:qFormat/>
    <w:uiPriority w:val="0"/>
    <w:rPr>
      <w:rFonts w:ascii="宋体" w:hAnsi="Times New Roman" w:eastAsia="宋体" w:cs="Times New Roman"/>
      <w:sz w:val="18"/>
      <w:szCs w:val="18"/>
    </w:rPr>
  </w:style>
  <w:style w:type="character" w:customStyle="1" w:styleId="132">
    <w:name w:val="正文文本缩进 3 Char"/>
    <w:basedOn w:val="92"/>
    <w:link w:val="70"/>
    <w:autoRedefine/>
    <w:qFormat/>
    <w:uiPriority w:val="0"/>
    <w:rPr>
      <w:rFonts w:ascii="宋体" w:hAnsi="Times New Roman" w:eastAsia="宋体" w:cs="Times New Roman"/>
      <w:sz w:val="16"/>
      <w:szCs w:val="16"/>
    </w:rPr>
  </w:style>
  <w:style w:type="character" w:customStyle="1" w:styleId="133">
    <w:name w:val="正文文本 2 Char"/>
    <w:basedOn w:val="92"/>
    <w:link w:val="76"/>
    <w:autoRedefine/>
    <w:qFormat/>
    <w:uiPriority w:val="0"/>
    <w:rPr>
      <w:rFonts w:ascii="宋体" w:hAnsi="Times New Roman" w:eastAsia="宋体" w:cs="Times New Roman"/>
      <w:sz w:val="28"/>
      <w:szCs w:val="28"/>
    </w:rPr>
  </w:style>
  <w:style w:type="character" w:customStyle="1" w:styleId="134">
    <w:name w:val="信息标题 Char"/>
    <w:basedOn w:val="92"/>
    <w:link w:val="79"/>
    <w:autoRedefine/>
    <w:qFormat/>
    <w:uiPriority w:val="0"/>
    <w:rPr>
      <w:rFonts w:ascii="Arial" w:hAnsi="Arial" w:eastAsia="宋体" w:cs="Times New Roman"/>
      <w:sz w:val="24"/>
      <w:szCs w:val="24"/>
      <w:shd w:val="pct20" w:color="auto" w:fill="auto"/>
    </w:rPr>
  </w:style>
  <w:style w:type="character" w:customStyle="1" w:styleId="135">
    <w:name w:val="HTML 预设格式 Char"/>
    <w:basedOn w:val="92"/>
    <w:link w:val="80"/>
    <w:autoRedefine/>
    <w:qFormat/>
    <w:uiPriority w:val="0"/>
    <w:rPr>
      <w:rFonts w:ascii="Courier New" w:hAnsi="Courier New" w:eastAsia="宋体" w:cs="Times New Roman"/>
      <w:sz w:val="20"/>
      <w:szCs w:val="20"/>
    </w:rPr>
  </w:style>
  <w:style w:type="character" w:customStyle="1" w:styleId="136">
    <w:name w:val="标题 Char"/>
    <w:basedOn w:val="92"/>
    <w:link w:val="84"/>
    <w:autoRedefine/>
    <w:qFormat/>
    <w:uiPriority w:val="10"/>
    <w:rPr>
      <w:rFonts w:ascii="Arial" w:hAnsi="Arial" w:eastAsia="宋体" w:cs="Times New Roman"/>
      <w:b/>
      <w:bCs/>
      <w:sz w:val="32"/>
      <w:szCs w:val="32"/>
    </w:rPr>
  </w:style>
  <w:style w:type="character" w:customStyle="1" w:styleId="137">
    <w:name w:val="批注主题 Char"/>
    <w:basedOn w:val="117"/>
    <w:link w:val="85"/>
    <w:autoRedefine/>
    <w:qFormat/>
    <w:uiPriority w:val="0"/>
    <w:rPr>
      <w:rFonts w:ascii="Calibri" w:hAnsi="Calibri" w:eastAsia="宋体" w:cs="Times New Roman"/>
      <w:b/>
      <w:bCs/>
    </w:rPr>
  </w:style>
  <w:style w:type="character" w:customStyle="1" w:styleId="138">
    <w:name w:val="正文首行缩进 Char"/>
    <w:basedOn w:val="121"/>
    <w:autoRedefine/>
    <w:qFormat/>
    <w:uiPriority w:val="99"/>
    <w:rPr>
      <w:rFonts w:ascii="Times New Roman" w:hAnsi="Times New Roman" w:eastAsia="宋体" w:cs="Times New Roman"/>
      <w:sz w:val="24"/>
      <w:szCs w:val="24"/>
    </w:rPr>
  </w:style>
  <w:style w:type="character" w:customStyle="1" w:styleId="139">
    <w:name w:val="正文首行缩进 Char1"/>
    <w:link w:val="86"/>
    <w:autoRedefine/>
    <w:qFormat/>
    <w:uiPriority w:val="0"/>
    <w:rPr>
      <w:rFonts w:ascii="Times New Roman" w:hAnsi="Times New Roman" w:eastAsia="宋体" w:cs="Times New Roman"/>
      <w:szCs w:val="20"/>
    </w:rPr>
  </w:style>
  <w:style w:type="character" w:customStyle="1" w:styleId="140">
    <w:name w:val="正文首行缩进 2 Char"/>
    <w:basedOn w:val="122"/>
    <w:link w:val="87"/>
    <w:autoRedefine/>
    <w:qFormat/>
    <w:uiPriority w:val="0"/>
    <w:rPr>
      <w:rFonts w:ascii="宋体" w:hAnsi="Times New Roman" w:eastAsia="宋体" w:cs="Times New Roman"/>
      <w:sz w:val="28"/>
      <w:szCs w:val="28"/>
    </w:rPr>
  </w:style>
  <w:style w:type="character" w:customStyle="1" w:styleId="141">
    <w:name w:val="font111"/>
    <w:autoRedefine/>
    <w:qFormat/>
    <w:uiPriority w:val="0"/>
    <w:rPr>
      <w:rFonts w:hint="default" w:ascii="Times New Roman" w:hAnsi="Times New Roman" w:cs="Times New Roman"/>
      <w:color w:val="000000"/>
      <w:sz w:val="21"/>
      <w:szCs w:val="21"/>
      <w:u w:val="none"/>
      <w:vertAlign w:val="superscript"/>
    </w:rPr>
  </w:style>
  <w:style w:type="character" w:customStyle="1" w:styleId="142">
    <w:name w:val="Char Char15"/>
    <w:autoRedefine/>
    <w:semiHidden/>
    <w:qFormat/>
    <w:uiPriority w:val="0"/>
    <w:rPr>
      <w:rFonts w:ascii="宋体" w:hAnsi="Times New Roman" w:eastAsia="宋体" w:cs="Times New Roman"/>
      <w:sz w:val="28"/>
      <w:szCs w:val="28"/>
      <w:shd w:val="clear" w:color="auto" w:fill="000080"/>
    </w:rPr>
  </w:style>
  <w:style w:type="character" w:customStyle="1" w:styleId="143">
    <w:name w:val="内苡 Char"/>
    <w:link w:val="144"/>
    <w:autoRedefine/>
    <w:semiHidden/>
    <w:qFormat/>
    <w:uiPriority w:val="0"/>
    <w:rPr>
      <w:rFonts w:ascii="宋体" w:hAnsi="宋体" w:cs="Arial"/>
      <w:sz w:val="24"/>
    </w:rPr>
  </w:style>
  <w:style w:type="paragraph" w:customStyle="1" w:styleId="144">
    <w:name w:val="内苡"/>
    <w:basedOn w:val="1"/>
    <w:link w:val="143"/>
    <w:autoRedefine/>
    <w:semiHidden/>
    <w:qFormat/>
    <w:uiPriority w:val="0"/>
    <w:pPr>
      <w:widowControl/>
      <w:spacing w:line="360" w:lineRule="auto"/>
      <w:ind w:firstLine="560" w:firstLineChars="200"/>
      <w:jc w:val="left"/>
    </w:pPr>
    <w:rPr>
      <w:rFonts w:ascii="宋体" w:hAnsi="宋体" w:cs="Arial"/>
      <w:sz w:val="24"/>
    </w:rPr>
  </w:style>
  <w:style w:type="character" w:customStyle="1" w:styleId="145">
    <w:name w:val="headline-content"/>
    <w:basedOn w:val="92"/>
    <w:autoRedefine/>
    <w:qFormat/>
    <w:uiPriority w:val="0"/>
  </w:style>
  <w:style w:type="character" w:customStyle="1" w:styleId="146">
    <w:name w:val="yf_正文～ Char"/>
    <w:autoRedefine/>
    <w:qFormat/>
    <w:uiPriority w:val="0"/>
  </w:style>
  <w:style w:type="character" w:customStyle="1" w:styleId="147">
    <w:name w:val="无间隔 Char"/>
    <w:link w:val="148"/>
    <w:autoRedefine/>
    <w:qFormat/>
    <w:uiPriority w:val="1"/>
    <w:rPr>
      <w:szCs w:val="24"/>
    </w:rPr>
  </w:style>
  <w:style w:type="paragraph" w:customStyle="1" w:styleId="148">
    <w:name w:val="无间隔1"/>
    <w:link w:val="147"/>
    <w:autoRedefine/>
    <w:qFormat/>
    <w:uiPriority w:val="1"/>
    <w:pPr>
      <w:widowControl w:val="0"/>
      <w:spacing w:line="360" w:lineRule="auto"/>
      <w:jc w:val="both"/>
    </w:pPr>
    <w:rPr>
      <w:rFonts w:asciiTheme="minorHAnsi" w:hAnsiTheme="minorHAnsi" w:eastAsiaTheme="minorEastAsia" w:cstheme="minorBidi"/>
      <w:kern w:val="2"/>
      <w:sz w:val="21"/>
      <w:szCs w:val="24"/>
      <w:lang w:val="en-US" w:eastAsia="zh-CN" w:bidi="ar-SA"/>
    </w:rPr>
  </w:style>
  <w:style w:type="character" w:customStyle="1" w:styleId="149">
    <w:name w:val="签名 Char1"/>
    <w:autoRedefine/>
    <w:semiHidden/>
    <w:qFormat/>
    <w:uiPriority w:val="99"/>
    <w:rPr>
      <w:rFonts w:ascii="Times New Roman" w:hAnsi="Times New Roman" w:eastAsia="宋体" w:cs="Times New Roman"/>
      <w:szCs w:val="24"/>
    </w:rPr>
  </w:style>
  <w:style w:type="character" w:customStyle="1" w:styleId="150">
    <w:name w:val="图头 Char"/>
    <w:link w:val="151"/>
    <w:autoRedefine/>
    <w:qFormat/>
    <w:uiPriority w:val="0"/>
    <w:rPr>
      <w:rFonts w:eastAsia="黑体"/>
      <w:sz w:val="24"/>
      <w:szCs w:val="24"/>
    </w:rPr>
  </w:style>
  <w:style w:type="paragraph" w:customStyle="1" w:styleId="151">
    <w:name w:val="图头"/>
    <w:basedOn w:val="1"/>
    <w:link w:val="150"/>
    <w:autoRedefine/>
    <w:qFormat/>
    <w:uiPriority w:val="0"/>
    <w:pPr>
      <w:spacing w:beforeLines="50" w:line="300" w:lineRule="auto"/>
      <w:ind w:firstLine="200" w:firstLineChars="200"/>
      <w:jc w:val="center"/>
    </w:pPr>
    <w:rPr>
      <w:rFonts w:eastAsia="黑体"/>
      <w:sz w:val="24"/>
      <w:szCs w:val="24"/>
    </w:rPr>
  </w:style>
  <w:style w:type="character" w:customStyle="1" w:styleId="152">
    <w:name w:val="表格1 Char"/>
    <w:link w:val="153"/>
    <w:autoRedefine/>
    <w:qFormat/>
    <w:uiPriority w:val="0"/>
    <w:rPr>
      <w:rFonts w:ascii="宋体" w:cs="宋体"/>
      <w:sz w:val="24"/>
    </w:rPr>
  </w:style>
  <w:style w:type="paragraph" w:customStyle="1" w:styleId="153">
    <w:name w:val="表格1"/>
    <w:basedOn w:val="1"/>
    <w:link w:val="152"/>
    <w:autoRedefine/>
    <w:qFormat/>
    <w:uiPriority w:val="0"/>
    <w:pPr>
      <w:spacing w:line="360" w:lineRule="auto"/>
      <w:ind w:firstLine="200" w:firstLineChars="200"/>
      <w:jc w:val="center"/>
    </w:pPr>
    <w:rPr>
      <w:rFonts w:ascii="宋体" w:cs="宋体"/>
      <w:sz w:val="24"/>
    </w:rPr>
  </w:style>
  <w:style w:type="character" w:customStyle="1" w:styleId="154">
    <w:name w:val="toolbar-fsm-btn"/>
    <w:autoRedefine/>
    <w:qFormat/>
    <w:uiPriority w:val="0"/>
  </w:style>
  <w:style w:type="character" w:customStyle="1" w:styleId="155">
    <w:name w:val="c1653_title1"/>
    <w:autoRedefine/>
    <w:qFormat/>
    <w:uiPriority w:val="0"/>
    <w:rPr>
      <w:b/>
      <w:bCs/>
      <w:sz w:val="24"/>
      <w:szCs w:val="24"/>
    </w:rPr>
  </w:style>
  <w:style w:type="character" w:customStyle="1" w:styleId="156">
    <w:name w:val="正文文本 + 7 pt"/>
    <w:autoRedefine/>
    <w:semiHidden/>
    <w:qFormat/>
    <w:uiPriority w:val="0"/>
    <w:rPr>
      <w:rFonts w:ascii="MingLiU" w:hAnsi="MingLiU" w:eastAsia="MingLiU" w:cs="MingLiU"/>
      <w:color w:val="000000"/>
      <w:spacing w:val="0"/>
      <w:w w:val="100"/>
      <w:position w:val="0"/>
      <w:sz w:val="14"/>
      <w:szCs w:val="14"/>
      <w:shd w:val="clear" w:color="auto" w:fill="FFFFFF"/>
      <w:lang w:val="zh-TW"/>
    </w:rPr>
  </w:style>
  <w:style w:type="character" w:customStyle="1" w:styleId="157">
    <w:name w:val="(一) Char1"/>
    <w:autoRedefine/>
    <w:semiHidden/>
    <w:qFormat/>
    <w:uiPriority w:val="0"/>
    <w:rPr>
      <w:rFonts w:ascii="Cambria" w:hAnsi="Cambria" w:eastAsia="宋体"/>
      <w:b/>
      <w:bCs/>
      <w:kern w:val="2"/>
      <w:sz w:val="28"/>
      <w:szCs w:val="28"/>
      <w:lang w:val="en-US" w:eastAsia="zh-CN" w:bidi="ar-SA"/>
    </w:rPr>
  </w:style>
  <w:style w:type="character" w:customStyle="1" w:styleId="158">
    <w:name w:val="样式 样式 标题 2 + 左侧:  1 字符 右侧:  1 字符 + (西文) 黑体1 Char"/>
    <w:autoRedefine/>
    <w:qFormat/>
    <w:uiPriority w:val="0"/>
  </w:style>
  <w:style w:type="character" w:customStyle="1" w:styleId="159">
    <w:name w:val="正文文本 + Gungsuh"/>
    <w:autoRedefine/>
    <w:qFormat/>
    <w:uiPriority w:val="0"/>
    <w:rPr>
      <w:rFonts w:ascii="Gungsuh" w:hAnsi="Gungsuh" w:eastAsia="Gungsuh" w:cs="Gungsuh"/>
      <w:color w:val="000000"/>
      <w:spacing w:val="-10"/>
      <w:w w:val="100"/>
      <w:position w:val="0"/>
      <w:sz w:val="15"/>
      <w:szCs w:val="15"/>
      <w:shd w:val="clear" w:color="auto" w:fill="FFFFFF"/>
      <w:lang w:val="zh-CN"/>
    </w:rPr>
  </w:style>
  <w:style w:type="character" w:customStyle="1" w:styleId="160">
    <w:name w:val="正文文本 (4) + Angsana New"/>
    <w:autoRedefine/>
    <w:semiHidden/>
    <w:qFormat/>
    <w:uiPriority w:val="0"/>
    <w:rPr>
      <w:rFonts w:ascii="Angsana New" w:hAnsi="Angsana New" w:eastAsia="Angsana New" w:cs="Angsana New"/>
      <w:i/>
      <w:iCs/>
      <w:color w:val="000000"/>
      <w:spacing w:val="-20"/>
      <w:w w:val="100"/>
      <w:position w:val="0"/>
      <w:sz w:val="26"/>
      <w:szCs w:val="26"/>
      <w:shd w:val="clear" w:color="auto" w:fill="FFFFFF"/>
      <w:lang w:val="zh-CN"/>
    </w:rPr>
  </w:style>
  <w:style w:type="character" w:customStyle="1" w:styleId="161">
    <w:name w:val="正文文本5"/>
    <w:autoRedefine/>
    <w:semiHidden/>
    <w:qFormat/>
    <w:uiPriority w:val="0"/>
    <w:rPr>
      <w:rFonts w:ascii="MingLiU" w:hAnsi="MingLiU" w:eastAsia="MingLiU" w:cs="MingLiU"/>
      <w:color w:val="000000"/>
      <w:spacing w:val="0"/>
      <w:w w:val="100"/>
      <w:position w:val="0"/>
      <w:sz w:val="16"/>
      <w:szCs w:val="16"/>
      <w:shd w:val="clear" w:color="auto" w:fill="FFFFFF"/>
      <w:lang w:val="zh-CN"/>
    </w:rPr>
  </w:style>
  <w:style w:type="character" w:customStyle="1" w:styleId="162">
    <w:name w:val="正文文本 + 间距 6 pt"/>
    <w:autoRedefine/>
    <w:semiHidden/>
    <w:qFormat/>
    <w:uiPriority w:val="0"/>
    <w:rPr>
      <w:rFonts w:ascii="MingLiU" w:hAnsi="MingLiU" w:eastAsia="MingLiU" w:cs="MingLiU"/>
      <w:color w:val="000000"/>
      <w:spacing w:val="130"/>
      <w:w w:val="100"/>
      <w:position w:val="0"/>
      <w:sz w:val="16"/>
      <w:szCs w:val="16"/>
      <w:shd w:val="clear" w:color="auto" w:fill="FFFFFF"/>
      <w:lang w:val="zh-TW"/>
    </w:rPr>
  </w:style>
  <w:style w:type="character" w:customStyle="1" w:styleId="163">
    <w:name w:val="md正文 Char"/>
    <w:link w:val="164"/>
    <w:autoRedefine/>
    <w:qFormat/>
    <w:uiPriority w:val="0"/>
    <w:rPr>
      <w:rFonts w:eastAsia="仿宋_GB2312"/>
      <w:sz w:val="24"/>
      <w:szCs w:val="24"/>
    </w:rPr>
  </w:style>
  <w:style w:type="paragraph" w:customStyle="1" w:styleId="164">
    <w:name w:val="md正文"/>
    <w:basedOn w:val="1"/>
    <w:link w:val="163"/>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sz w:val="24"/>
      <w:szCs w:val="24"/>
    </w:rPr>
  </w:style>
  <w:style w:type="character" w:customStyle="1" w:styleId="165">
    <w:name w:val="x正文 Char"/>
    <w:link w:val="166"/>
    <w:autoRedefine/>
    <w:qFormat/>
    <w:uiPriority w:val="0"/>
    <w:rPr>
      <w:rFonts w:eastAsia="仿宋_GB2312" w:cs="宋体"/>
      <w:sz w:val="24"/>
      <w:szCs w:val="24"/>
    </w:rPr>
  </w:style>
  <w:style w:type="paragraph" w:customStyle="1" w:styleId="166">
    <w:name w:val="x正文"/>
    <w:link w:val="165"/>
    <w:autoRedefine/>
    <w:qFormat/>
    <w:uiPriority w:val="0"/>
    <w:pPr>
      <w:widowControl w:val="0"/>
      <w:autoSpaceDE w:val="0"/>
      <w:autoSpaceDN w:val="0"/>
      <w:snapToGrid w:val="0"/>
      <w:spacing w:line="360" w:lineRule="auto"/>
      <w:ind w:firstLine="200" w:firstLineChars="200"/>
      <w:jc w:val="both"/>
      <w:textAlignment w:val="center"/>
    </w:pPr>
    <w:rPr>
      <w:rFonts w:eastAsia="仿宋_GB2312" w:cs="宋体" w:asciiTheme="minorHAnsi" w:hAnsiTheme="minorHAnsi"/>
      <w:kern w:val="2"/>
      <w:sz w:val="24"/>
      <w:szCs w:val="24"/>
      <w:lang w:val="en-US" w:eastAsia="zh-CN" w:bidi="ar-SA"/>
    </w:rPr>
  </w:style>
  <w:style w:type="character" w:customStyle="1" w:styleId="167">
    <w:name w:val="表头头 Char"/>
    <w:link w:val="168"/>
    <w:autoRedefine/>
    <w:semiHidden/>
    <w:qFormat/>
    <w:uiPriority w:val="0"/>
    <w:rPr>
      <w:rFonts w:ascii="宋体" w:hAnsi="Calibri" w:cs="Arial"/>
      <w:b/>
      <w:color w:val="000000"/>
      <w:kern w:val="28"/>
    </w:rPr>
  </w:style>
  <w:style w:type="paragraph" w:customStyle="1" w:styleId="168">
    <w:name w:val="表头头"/>
    <w:basedOn w:val="1"/>
    <w:link w:val="167"/>
    <w:autoRedefine/>
    <w:semiHidden/>
    <w:qFormat/>
    <w:uiPriority w:val="0"/>
    <w:pPr>
      <w:widowControl/>
      <w:adjustRightInd w:val="0"/>
      <w:spacing w:line="360" w:lineRule="auto"/>
      <w:ind w:firstLine="200" w:firstLineChars="200"/>
      <w:jc w:val="right"/>
      <w:textAlignment w:val="baseline"/>
    </w:pPr>
    <w:rPr>
      <w:rFonts w:ascii="宋体" w:hAnsi="Calibri" w:cs="Arial"/>
      <w:b/>
      <w:color w:val="000000"/>
      <w:kern w:val="28"/>
    </w:rPr>
  </w:style>
  <w:style w:type="character" w:customStyle="1" w:styleId="169">
    <w:name w:val="正文文本 (4) + 间距 6 pt"/>
    <w:autoRedefine/>
    <w:semiHidden/>
    <w:qFormat/>
    <w:uiPriority w:val="0"/>
    <w:rPr>
      <w:rFonts w:ascii="MingLiU" w:hAnsi="MingLiU" w:eastAsia="MingLiU" w:cs="MingLiU"/>
      <w:color w:val="000000"/>
      <w:spacing w:val="120"/>
      <w:w w:val="100"/>
      <w:position w:val="0"/>
      <w:sz w:val="16"/>
      <w:szCs w:val="16"/>
      <w:shd w:val="clear" w:color="auto" w:fill="FFFFFF"/>
      <w:lang w:val="zh-CN"/>
    </w:rPr>
  </w:style>
  <w:style w:type="character" w:customStyle="1" w:styleId="170">
    <w:name w:val="r1"/>
    <w:autoRedefine/>
    <w:semiHidden/>
    <w:qFormat/>
    <w:uiPriority w:val="0"/>
    <w:rPr>
      <w:spacing w:val="300"/>
      <w:sz w:val="20"/>
      <w:szCs w:val="20"/>
    </w:rPr>
  </w:style>
  <w:style w:type="character" w:customStyle="1" w:styleId="171">
    <w:name w:val="表尾 Char"/>
    <w:link w:val="172"/>
    <w:autoRedefine/>
    <w:semiHidden/>
    <w:qFormat/>
    <w:uiPriority w:val="0"/>
    <w:rPr>
      <w:rFonts w:ascii="Arial" w:hAnsi="Arial"/>
      <w:b/>
      <w:caps/>
      <w:sz w:val="24"/>
      <w:szCs w:val="24"/>
    </w:rPr>
  </w:style>
  <w:style w:type="paragraph" w:customStyle="1" w:styleId="172">
    <w:name w:val="表尾"/>
    <w:basedOn w:val="1"/>
    <w:link w:val="171"/>
    <w:autoRedefine/>
    <w:semiHidden/>
    <w:qFormat/>
    <w:uiPriority w:val="0"/>
    <w:pPr>
      <w:wordWrap w:val="0"/>
      <w:spacing w:line="400" w:lineRule="exact"/>
      <w:ind w:firstLine="200" w:firstLineChars="200"/>
      <w:jc w:val="right"/>
    </w:pPr>
    <w:rPr>
      <w:rFonts w:ascii="Arial" w:hAnsi="Arial"/>
      <w:b/>
      <w:caps/>
      <w:sz w:val="24"/>
      <w:szCs w:val="24"/>
    </w:rPr>
  </w:style>
  <w:style w:type="character" w:customStyle="1" w:styleId="173">
    <w:name w:val="报告正文 Char1"/>
    <w:link w:val="174"/>
    <w:autoRedefine/>
    <w:qFormat/>
    <w:uiPriority w:val="0"/>
    <w:rPr>
      <w:rFonts w:ascii="宋体"/>
      <w:sz w:val="28"/>
    </w:rPr>
  </w:style>
  <w:style w:type="paragraph" w:customStyle="1" w:styleId="174">
    <w:name w:val="报告正文"/>
    <w:basedOn w:val="1"/>
    <w:link w:val="173"/>
    <w:autoRedefine/>
    <w:qFormat/>
    <w:uiPriority w:val="0"/>
    <w:pPr>
      <w:adjustRightInd w:val="0"/>
      <w:snapToGrid w:val="0"/>
      <w:spacing w:line="300" w:lineRule="auto"/>
      <w:ind w:firstLine="200" w:firstLineChars="200"/>
    </w:pPr>
    <w:rPr>
      <w:rFonts w:ascii="宋体"/>
      <w:sz w:val="28"/>
    </w:rPr>
  </w:style>
  <w:style w:type="character" w:customStyle="1" w:styleId="175">
    <w:name w:val="Char Char1"/>
    <w:autoRedefine/>
    <w:semiHidden/>
    <w:qFormat/>
    <w:locked/>
    <w:uiPriority w:val="0"/>
    <w:rPr>
      <w:rFonts w:cs="Times New Roman"/>
      <w:kern w:val="2"/>
      <w:sz w:val="24"/>
      <w:szCs w:val="24"/>
      <w:shd w:val="clear" w:color="auto" w:fill="000080"/>
    </w:rPr>
  </w:style>
  <w:style w:type="character" w:customStyle="1" w:styleId="176">
    <w:name w:val="正文文本3"/>
    <w:autoRedefine/>
    <w:semiHidden/>
    <w:qFormat/>
    <w:uiPriority w:val="0"/>
    <w:rPr>
      <w:rFonts w:ascii="MingLiU" w:hAnsi="MingLiU" w:eastAsia="MingLiU" w:cs="MingLiU"/>
      <w:color w:val="000000"/>
      <w:spacing w:val="0"/>
      <w:w w:val="100"/>
      <w:position w:val="0"/>
      <w:sz w:val="16"/>
      <w:szCs w:val="16"/>
      <w:u w:val="none"/>
      <w:shd w:val="clear" w:color="auto" w:fill="FFFFFF"/>
      <w:lang w:val="zh-CN"/>
    </w:rPr>
  </w:style>
  <w:style w:type="character" w:customStyle="1" w:styleId="177">
    <w:name w:val="样式 标题 1 + 左侧:  1 字符 右侧:  1 字符 Char"/>
    <w:autoRedefine/>
    <w:qFormat/>
    <w:uiPriority w:val="0"/>
    <w:rPr>
      <w:rFonts w:ascii="Times New Roman" w:hAnsi="Times New Roman" w:eastAsia="宋体" w:cs="Times New Roman"/>
      <w:b/>
      <w:bCs/>
      <w:kern w:val="44"/>
      <w:sz w:val="32"/>
      <w:szCs w:val="44"/>
      <w:lang w:val="en-US" w:eastAsia="zh-CN" w:bidi="ar-SA"/>
    </w:rPr>
  </w:style>
  <w:style w:type="character" w:customStyle="1" w:styleId="178">
    <w:name w:val="正文文本_"/>
    <w:link w:val="179"/>
    <w:autoRedefine/>
    <w:semiHidden/>
    <w:qFormat/>
    <w:uiPriority w:val="0"/>
    <w:rPr>
      <w:rFonts w:ascii="MingLiU" w:hAnsi="MingLiU" w:eastAsia="MingLiU" w:cs="MingLiU"/>
      <w:sz w:val="16"/>
      <w:szCs w:val="16"/>
      <w:shd w:val="clear" w:color="auto" w:fill="FFFFFF"/>
    </w:rPr>
  </w:style>
  <w:style w:type="paragraph" w:customStyle="1" w:styleId="179">
    <w:name w:val="正文文本10"/>
    <w:basedOn w:val="1"/>
    <w:link w:val="178"/>
    <w:autoRedefine/>
    <w:semiHidden/>
    <w:qFormat/>
    <w:uiPriority w:val="0"/>
    <w:pPr>
      <w:widowControl/>
      <w:shd w:val="clear" w:color="auto" w:fill="FFFFFF"/>
      <w:spacing w:line="0" w:lineRule="atLeast"/>
      <w:ind w:hanging="1600" w:firstLineChars="200"/>
      <w:jc w:val="distribute"/>
    </w:pPr>
    <w:rPr>
      <w:rFonts w:ascii="MingLiU" w:hAnsi="MingLiU" w:eastAsia="MingLiU" w:cs="MingLiU"/>
      <w:sz w:val="16"/>
      <w:szCs w:val="16"/>
    </w:rPr>
  </w:style>
  <w:style w:type="character" w:customStyle="1" w:styleId="180">
    <w:name w:val="正文文本 + 间距 2 pt"/>
    <w:autoRedefine/>
    <w:semiHidden/>
    <w:qFormat/>
    <w:uiPriority w:val="0"/>
    <w:rPr>
      <w:rFonts w:ascii="MingLiU" w:hAnsi="MingLiU" w:eastAsia="MingLiU" w:cs="MingLiU"/>
      <w:color w:val="000000"/>
      <w:spacing w:val="50"/>
      <w:w w:val="100"/>
      <w:position w:val="0"/>
      <w:sz w:val="16"/>
      <w:szCs w:val="16"/>
      <w:u w:val="none"/>
      <w:shd w:val="clear" w:color="auto" w:fill="FFFFFF"/>
      <w:lang w:val="zh-CN"/>
    </w:rPr>
  </w:style>
  <w:style w:type="character" w:customStyle="1" w:styleId="181">
    <w:name w:val="font11"/>
    <w:autoRedefine/>
    <w:qFormat/>
    <w:uiPriority w:val="0"/>
    <w:rPr>
      <w:rFonts w:hint="eastAsia" w:ascii="宋体" w:hAnsi="宋体" w:eastAsia="宋体"/>
      <w:color w:val="000000"/>
      <w:sz w:val="22"/>
      <w:szCs w:val="22"/>
      <w:u w:val="none"/>
      <w:vertAlign w:val="superscript"/>
    </w:rPr>
  </w:style>
  <w:style w:type="character" w:customStyle="1" w:styleId="182">
    <w:name w:val="标2 Char Char"/>
    <w:link w:val="183"/>
    <w:autoRedefine/>
    <w:qFormat/>
    <w:uiPriority w:val="0"/>
    <w:rPr>
      <w:rFonts w:ascii="楷体_GB2312" w:hAnsi="Arial" w:eastAsia="楷体_GB2312" w:cs="宋体"/>
      <w:b/>
      <w:kern w:val="28"/>
      <w:sz w:val="24"/>
      <w:szCs w:val="28"/>
    </w:rPr>
  </w:style>
  <w:style w:type="paragraph" w:customStyle="1" w:styleId="183">
    <w:name w:val="标2"/>
    <w:basedOn w:val="1"/>
    <w:link w:val="182"/>
    <w:autoRedefine/>
    <w:qFormat/>
    <w:uiPriority w:val="0"/>
    <w:pPr>
      <w:spacing w:line="360" w:lineRule="auto"/>
      <w:ind w:firstLine="200" w:firstLineChars="200"/>
      <w:outlineLvl w:val="2"/>
    </w:pPr>
    <w:rPr>
      <w:rFonts w:ascii="楷体_GB2312" w:hAnsi="Arial" w:eastAsia="楷体_GB2312" w:cs="宋体"/>
      <w:b/>
      <w:kern w:val="28"/>
      <w:sz w:val="24"/>
      <w:szCs w:val="28"/>
    </w:rPr>
  </w:style>
  <w:style w:type="character" w:customStyle="1" w:styleId="184">
    <w:name w:val="表内容 Char"/>
    <w:link w:val="185"/>
    <w:autoRedefine/>
    <w:semiHidden/>
    <w:qFormat/>
    <w:uiPriority w:val="0"/>
    <w:rPr>
      <w:rFonts w:ascii="Calibri" w:hAnsi="Calibri" w:cs="宋体"/>
      <w:sz w:val="18"/>
    </w:rPr>
  </w:style>
  <w:style w:type="paragraph" w:customStyle="1" w:styleId="185">
    <w:name w:val="表内容"/>
    <w:basedOn w:val="1"/>
    <w:link w:val="184"/>
    <w:autoRedefine/>
    <w:semiHidden/>
    <w:qFormat/>
    <w:uiPriority w:val="0"/>
    <w:pPr>
      <w:widowControl/>
      <w:spacing w:line="280" w:lineRule="exact"/>
      <w:ind w:firstLine="200" w:firstLineChars="200"/>
      <w:jc w:val="center"/>
    </w:pPr>
    <w:rPr>
      <w:rFonts w:ascii="Calibri" w:hAnsi="Calibri" w:cs="宋体"/>
      <w:sz w:val="18"/>
    </w:rPr>
  </w:style>
  <w:style w:type="character" w:customStyle="1" w:styleId="186">
    <w:name w:val="二线三级标题 Char"/>
    <w:link w:val="187"/>
    <w:autoRedefine/>
    <w:qFormat/>
    <w:uiPriority w:val="0"/>
    <w:rPr>
      <w:rFonts w:hAnsi="宋体"/>
      <w:sz w:val="28"/>
      <w:szCs w:val="28"/>
    </w:rPr>
  </w:style>
  <w:style w:type="paragraph" w:customStyle="1" w:styleId="187">
    <w:name w:val="二线三级标题"/>
    <w:basedOn w:val="1"/>
    <w:link w:val="186"/>
    <w:autoRedefine/>
    <w:qFormat/>
    <w:uiPriority w:val="0"/>
    <w:pPr>
      <w:snapToGrid w:val="0"/>
      <w:spacing w:line="360" w:lineRule="auto"/>
      <w:ind w:left="100" w:leftChars="100" w:right="147" w:rightChars="147" w:firstLine="480" w:firstLineChars="200"/>
      <w:jc w:val="center"/>
      <w:outlineLvl w:val="2"/>
    </w:pPr>
    <w:rPr>
      <w:rFonts w:hAnsi="宋体"/>
      <w:sz w:val="28"/>
      <w:szCs w:val="28"/>
    </w:rPr>
  </w:style>
  <w:style w:type="character" w:customStyle="1" w:styleId="188">
    <w:name w:val="表格名 Char"/>
    <w:link w:val="189"/>
    <w:autoRedefine/>
    <w:semiHidden/>
    <w:qFormat/>
    <w:uiPriority w:val="0"/>
    <w:rPr>
      <w:rFonts w:ascii="宋体" w:hAnsi="宋体"/>
      <w:b/>
      <w:kern w:val="28"/>
      <w:sz w:val="24"/>
      <w:szCs w:val="24"/>
    </w:rPr>
  </w:style>
  <w:style w:type="paragraph" w:customStyle="1" w:styleId="189">
    <w:name w:val="表格名"/>
    <w:basedOn w:val="1"/>
    <w:link w:val="188"/>
    <w:autoRedefine/>
    <w:semiHidden/>
    <w:qFormat/>
    <w:uiPriority w:val="0"/>
    <w:pPr>
      <w:spacing w:line="360" w:lineRule="auto"/>
      <w:ind w:firstLine="200" w:firstLineChars="200"/>
      <w:jc w:val="right"/>
    </w:pPr>
    <w:rPr>
      <w:rFonts w:ascii="宋体" w:hAnsi="宋体"/>
      <w:b/>
      <w:kern w:val="28"/>
      <w:sz w:val="24"/>
      <w:szCs w:val="24"/>
    </w:rPr>
  </w:style>
  <w:style w:type="character" w:customStyle="1" w:styleId="190">
    <w:name w:val="font01"/>
    <w:autoRedefine/>
    <w:qFormat/>
    <w:uiPriority w:val="0"/>
    <w:rPr>
      <w:rFonts w:hint="eastAsia" w:ascii="宋体" w:hAnsi="宋体" w:eastAsia="宋体"/>
      <w:color w:val="000000"/>
      <w:sz w:val="22"/>
      <w:szCs w:val="22"/>
      <w:u w:val="none"/>
      <w:vertAlign w:val="superscript"/>
    </w:rPr>
  </w:style>
  <w:style w:type="character" w:customStyle="1" w:styleId="191">
    <w:name w:val="H表头 Char"/>
    <w:link w:val="192"/>
    <w:autoRedefine/>
    <w:semiHidden/>
    <w:qFormat/>
    <w:locked/>
    <w:uiPriority w:val="0"/>
    <w:rPr>
      <w:rFonts w:ascii="宋体" w:hAnsi="宋体"/>
      <w:b/>
      <w:sz w:val="28"/>
      <w:szCs w:val="28"/>
    </w:rPr>
  </w:style>
  <w:style w:type="paragraph" w:customStyle="1" w:styleId="192">
    <w:name w:val="H表头"/>
    <w:basedOn w:val="1"/>
    <w:link w:val="191"/>
    <w:autoRedefine/>
    <w:semiHidden/>
    <w:qFormat/>
    <w:uiPriority w:val="0"/>
    <w:pPr>
      <w:widowControl/>
      <w:spacing w:line="120" w:lineRule="atLeast"/>
      <w:ind w:firstLine="200" w:firstLineChars="200"/>
      <w:jc w:val="center"/>
    </w:pPr>
    <w:rPr>
      <w:rFonts w:ascii="宋体" w:hAnsi="宋体"/>
      <w:b/>
      <w:sz w:val="28"/>
      <w:szCs w:val="28"/>
    </w:rPr>
  </w:style>
  <w:style w:type="character" w:customStyle="1" w:styleId="193">
    <w:name w:val="标题 1 Char1"/>
    <w:autoRedefine/>
    <w:qFormat/>
    <w:uiPriority w:val="99"/>
    <w:rPr>
      <w:rFonts w:ascii="Arial" w:hAnsi="Arial"/>
      <w:b/>
      <w:kern w:val="28"/>
      <w:sz w:val="22"/>
      <w:lang w:eastAsia="en-US"/>
    </w:rPr>
  </w:style>
  <w:style w:type="character" w:customStyle="1" w:styleId="194">
    <w:name w:val="apple-style-span"/>
    <w:autoRedefine/>
    <w:qFormat/>
    <w:uiPriority w:val="0"/>
  </w:style>
  <w:style w:type="character" w:customStyle="1" w:styleId="195">
    <w:name w:val="apple-converted-space"/>
    <w:basedOn w:val="92"/>
    <w:autoRedefine/>
    <w:qFormat/>
    <w:uiPriority w:val="0"/>
  </w:style>
  <w:style w:type="character" w:customStyle="1" w:styleId="196">
    <w:name w:val="HTML 地址 Char1"/>
    <w:autoRedefine/>
    <w:semiHidden/>
    <w:qFormat/>
    <w:uiPriority w:val="99"/>
    <w:rPr>
      <w:rFonts w:ascii="Times New Roman" w:hAnsi="Times New Roman" w:eastAsia="宋体" w:cs="Times New Roman"/>
      <w:i/>
      <w:iCs/>
      <w:szCs w:val="24"/>
    </w:rPr>
  </w:style>
  <w:style w:type="character" w:customStyle="1" w:styleId="197">
    <w:name w:val="reader-download-price"/>
    <w:autoRedefine/>
    <w:qFormat/>
    <w:uiPriority w:val="0"/>
  </w:style>
  <w:style w:type="character" w:customStyle="1" w:styleId="198">
    <w:name w:val="正文部分 Char"/>
    <w:link w:val="199"/>
    <w:autoRedefine/>
    <w:qFormat/>
    <w:uiPriority w:val="0"/>
    <w:rPr>
      <w:rFonts w:ascii="宋体" w:hAnsi="宋体" w:cs="Arial"/>
      <w:sz w:val="24"/>
    </w:rPr>
  </w:style>
  <w:style w:type="paragraph" w:customStyle="1" w:styleId="199">
    <w:name w:val="正文部分"/>
    <w:basedOn w:val="1"/>
    <w:link w:val="198"/>
    <w:autoRedefine/>
    <w:qFormat/>
    <w:uiPriority w:val="0"/>
    <w:pPr>
      <w:widowControl/>
      <w:spacing w:line="360" w:lineRule="auto"/>
      <w:ind w:firstLine="200" w:firstLineChars="200"/>
      <w:jc w:val="left"/>
    </w:pPr>
    <w:rPr>
      <w:rFonts w:ascii="宋体" w:hAnsi="宋体" w:cs="Arial"/>
      <w:sz w:val="24"/>
    </w:rPr>
  </w:style>
  <w:style w:type="character" w:customStyle="1" w:styleId="200">
    <w:name w:val="0正文 Char"/>
    <w:link w:val="201"/>
    <w:autoRedefine/>
    <w:qFormat/>
    <w:uiPriority w:val="0"/>
    <w:rPr>
      <w:rFonts w:ascii="宋体"/>
      <w:sz w:val="28"/>
      <w:szCs w:val="24"/>
    </w:rPr>
  </w:style>
  <w:style w:type="paragraph" w:customStyle="1" w:styleId="201">
    <w:name w:val="0正文"/>
    <w:basedOn w:val="1"/>
    <w:link w:val="200"/>
    <w:autoRedefine/>
    <w:qFormat/>
    <w:uiPriority w:val="0"/>
    <w:pPr>
      <w:adjustRightInd w:val="0"/>
      <w:spacing w:line="480" w:lineRule="exact"/>
      <w:ind w:firstLine="200" w:firstLineChars="200"/>
      <w:jc w:val="center"/>
      <w:textAlignment w:val="baseline"/>
    </w:pPr>
    <w:rPr>
      <w:rFonts w:ascii="宋体"/>
      <w:sz w:val="28"/>
      <w:szCs w:val="24"/>
    </w:rPr>
  </w:style>
  <w:style w:type="character" w:customStyle="1" w:styleId="202">
    <w:name w:val="标3 Char Char"/>
    <w:link w:val="203"/>
    <w:autoRedefine/>
    <w:semiHidden/>
    <w:qFormat/>
    <w:uiPriority w:val="0"/>
    <w:rPr>
      <w:rFonts w:ascii="宋体" w:hAnsi="Arial"/>
      <w:b/>
      <w:bCs/>
      <w:kern w:val="28"/>
      <w:sz w:val="24"/>
      <w:szCs w:val="28"/>
    </w:rPr>
  </w:style>
  <w:style w:type="paragraph" w:customStyle="1" w:styleId="203">
    <w:name w:val="标3"/>
    <w:basedOn w:val="1"/>
    <w:link w:val="202"/>
    <w:autoRedefine/>
    <w:semiHidden/>
    <w:qFormat/>
    <w:uiPriority w:val="0"/>
    <w:pPr>
      <w:spacing w:line="360" w:lineRule="auto"/>
      <w:ind w:firstLine="200" w:firstLineChars="200"/>
    </w:pPr>
    <w:rPr>
      <w:rFonts w:ascii="宋体" w:hAnsi="Arial"/>
      <w:b/>
      <w:bCs/>
      <w:kern w:val="28"/>
      <w:sz w:val="24"/>
      <w:szCs w:val="28"/>
    </w:rPr>
  </w:style>
  <w:style w:type="character" w:customStyle="1" w:styleId="204">
    <w:name w:val="环小四表内容 Char"/>
    <w:link w:val="205"/>
    <w:autoRedefine/>
    <w:qFormat/>
    <w:uiPriority w:val="0"/>
    <w:rPr>
      <w:rFonts w:ascii="宋体" w:hAnsi="宋体"/>
      <w:sz w:val="18"/>
      <w:szCs w:val="18"/>
    </w:rPr>
  </w:style>
  <w:style w:type="paragraph" w:customStyle="1" w:styleId="205">
    <w:name w:val="环小四表内容"/>
    <w:basedOn w:val="1"/>
    <w:link w:val="204"/>
    <w:autoRedefine/>
    <w:qFormat/>
    <w:uiPriority w:val="0"/>
    <w:pPr>
      <w:spacing w:line="240" w:lineRule="exact"/>
      <w:ind w:firstLine="200" w:firstLineChars="200"/>
      <w:jc w:val="center"/>
    </w:pPr>
    <w:rPr>
      <w:rFonts w:ascii="宋体" w:hAnsi="宋体"/>
      <w:sz w:val="18"/>
      <w:szCs w:val="18"/>
    </w:rPr>
  </w:style>
  <w:style w:type="character" w:customStyle="1" w:styleId="206">
    <w:name w:val="结束语 Char1"/>
    <w:autoRedefine/>
    <w:semiHidden/>
    <w:qFormat/>
    <w:uiPriority w:val="99"/>
    <w:rPr>
      <w:rFonts w:ascii="Times New Roman" w:hAnsi="Times New Roman" w:eastAsia="宋体" w:cs="Times New Roman"/>
      <w:szCs w:val="24"/>
    </w:rPr>
  </w:style>
  <w:style w:type="character" w:customStyle="1" w:styleId="207">
    <w:name w:val="index"/>
    <w:autoRedefine/>
    <w:qFormat/>
    <w:uiPriority w:val="0"/>
  </w:style>
  <w:style w:type="character" w:customStyle="1" w:styleId="208">
    <w:name w:val="样式 正文文本缩进正文文字缩进 Char正文文字缩进 Char Char Char Char正文文字缩进 Char Cha...1 Char"/>
    <w:link w:val="209"/>
    <w:autoRedefine/>
    <w:qFormat/>
    <w:uiPriority w:val="0"/>
    <w:rPr>
      <w:rFonts w:ascii="楷体_GB2312" w:hAnsi="楷体_GB2312" w:eastAsia="楷体_GB2312" w:cs="宋体"/>
      <w:sz w:val="24"/>
      <w:szCs w:val="28"/>
    </w:rPr>
  </w:style>
  <w:style w:type="paragraph" w:customStyle="1" w:styleId="209">
    <w:name w:val="样式 正文文本缩进正文文字缩进 Char正文文字缩进 Char Char Char Char正文文字缩进 Char Cha...1"/>
    <w:basedOn w:val="1"/>
    <w:link w:val="208"/>
    <w:autoRedefine/>
    <w:qFormat/>
    <w:uiPriority w:val="0"/>
    <w:pPr>
      <w:widowControl/>
      <w:snapToGrid w:val="0"/>
      <w:spacing w:line="288" w:lineRule="auto"/>
      <w:ind w:firstLine="200" w:firstLineChars="200"/>
      <w:jc w:val="left"/>
    </w:pPr>
    <w:rPr>
      <w:rFonts w:ascii="楷体_GB2312" w:hAnsi="楷体_GB2312" w:eastAsia="楷体_GB2312" w:cs="宋体"/>
      <w:sz w:val="24"/>
      <w:szCs w:val="28"/>
    </w:rPr>
  </w:style>
  <w:style w:type="character" w:customStyle="1" w:styleId="210">
    <w:name w:val="二线二级标题 Char"/>
    <w:link w:val="211"/>
    <w:autoRedefine/>
    <w:qFormat/>
    <w:uiPriority w:val="0"/>
    <w:rPr>
      <w:rFonts w:ascii="宋体" w:hAnsi="宋体"/>
      <w:b/>
      <w:bCs/>
      <w:sz w:val="28"/>
      <w:szCs w:val="28"/>
    </w:rPr>
  </w:style>
  <w:style w:type="paragraph" w:customStyle="1" w:styleId="211">
    <w:name w:val="二线二级标题"/>
    <w:basedOn w:val="4"/>
    <w:link w:val="210"/>
    <w:autoRedefine/>
    <w:qFormat/>
    <w:uiPriority w:val="0"/>
    <w:pPr>
      <w:spacing w:before="0" w:after="0" w:line="360" w:lineRule="auto"/>
      <w:ind w:right="240" w:rightChars="100"/>
      <w:jc w:val="center"/>
    </w:pPr>
    <w:rPr>
      <w:rFonts w:ascii="宋体" w:hAnsi="宋体" w:eastAsiaTheme="minorEastAsia" w:cstheme="minorBidi"/>
      <w:b/>
      <w:kern w:val="2"/>
      <w:sz w:val="28"/>
      <w:szCs w:val="28"/>
    </w:rPr>
  </w:style>
  <w:style w:type="character" w:customStyle="1" w:styleId="212">
    <w:name w:val="font61"/>
    <w:basedOn w:val="92"/>
    <w:autoRedefine/>
    <w:qFormat/>
    <w:uiPriority w:val="0"/>
    <w:rPr>
      <w:rFonts w:hint="default" w:ascii="Times New Roman" w:hAnsi="Times New Roman" w:cs="Times New Roman"/>
      <w:color w:val="000000"/>
      <w:sz w:val="21"/>
      <w:szCs w:val="21"/>
      <w:u w:val="none"/>
      <w:vertAlign w:val="superscript"/>
    </w:rPr>
  </w:style>
  <w:style w:type="character" w:customStyle="1" w:styleId="213">
    <w:name w:val="title9"/>
    <w:basedOn w:val="92"/>
    <w:autoRedefine/>
    <w:qFormat/>
    <w:uiPriority w:val="0"/>
  </w:style>
  <w:style w:type="character" w:customStyle="1" w:styleId="214">
    <w:name w:val="正文文本 (4) + Gungsuh5"/>
    <w:autoRedefine/>
    <w:semiHidden/>
    <w:qFormat/>
    <w:uiPriority w:val="0"/>
    <w:rPr>
      <w:rFonts w:ascii="Gungsuh" w:hAnsi="Gungsuh" w:eastAsia="Gungsuh" w:cs="Gungsuh"/>
      <w:i/>
      <w:iCs/>
      <w:color w:val="000000"/>
      <w:spacing w:val="-30"/>
      <w:w w:val="100"/>
      <w:position w:val="0"/>
      <w:sz w:val="15"/>
      <w:szCs w:val="15"/>
      <w:shd w:val="clear" w:color="auto" w:fill="FFFFFF"/>
      <w:lang w:val="zh-CN"/>
    </w:rPr>
  </w:style>
  <w:style w:type="character" w:customStyle="1" w:styleId="215">
    <w:name w:val="xxq Char"/>
    <w:link w:val="216"/>
    <w:autoRedefine/>
    <w:semiHidden/>
    <w:qFormat/>
    <w:uiPriority w:val="0"/>
    <w:rPr>
      <w:rFonts w:hAnsi="宋体"/>
      <w:sz w:val="24"/>
      <w:szCs w:val="24"/>
    </w:rPr>
  </w:style>
  <w:style w:type="paragraph" w:customStyle="1" w:styleId="216">
    <w:name w:val="xxq"/>
    <w:basedOn w:val="21"/>
    <w:link w:val="215"/>
    <w:autoRedefine/>
    <w:semiHidden/>
    <w:qFormat/>
    <w:uiPriority w:val="0"/>
    <w:pPr>
      <w:adjustRightInd w:val="0"/>
      <w:snapToGrid w:val="0"/>
      <w:spacing w:beforeLines="50"/>
      <w:ind w:firstLine="424"/>
    </w:pPr>
    <w:rPr>
      <w:rFonts w:asciiTheme="minorHAnsi" w:eastAsiaTheme="minorEastAsia" w:cstheme="minorBidi"/>
      <w:sz w:val="24"/>
      <w:szCs w:val="24"/>
    </w:rPr>
  </w:style>
  <w:style w:type="character" w:customStyle="1" w:styleId="217">
    <w:name w:val="big1"/>
    <w:autoRedefine/>
    <w:qFormat/>
    <w:uiPriority w:val="0"/>
  </w:style>
  <w:style w:type="character" w:customStyle="1" w:styleId="218">
    <w:name w:val="style101"/>
    <w:autoRedefine/>
    <w:semiHidden/>
    <w:qFormat/>
    <w:uiPriority w:val="0"/>
    <w:rPr>
      <w:b/>
      <w:bCs/>
      <w:sz w:val="27"/>
      <w:szCs w:val="27"/>
    </w:rPr>
  </w:style>
  <w:style w:type="character" w:customStyle="1" w:styleId="219">
    <w:name w:val="1  正  文 Char Char"/>
    <w:link w:val="220"/>
    <w:autoRedefine/>
    <w:qFormat/>
    <w:uiPriority w:val="0"/>
    <w:rPr>
      <w:color w:val="000000"/>
      <w:sz w:val="24"/>
      <w:szCs w:val="24"/>
    </w:rPr>
  </w:style>
  <w:style w:type="paragraph" w:customStyle="1" w:styleId="220">
    <w:name w:val="1  正  文"/>
    <w:link w:val="219"/>
    <w:autoRedefine/>
    <w:qFormat/>
    <w:uiPriority w:val="0"/>
    <w:pPr>
      <w:widowControl w:val="0"/>
      <w:spacing w:line="360" w:lineRule="auto"/>
      <w:ind w:firstLine="493"/>
      <w:jc w:val="both"/>
    </w:pPr>
    <w:rPr>
      <w:rFonts w:asciiTheme="minorHAnsi" w:hAnsiTheme="minorHAnsi" w:eastAsiaTheme="minorEastAsia" w:cstheme="minorBidi"/>
      <w:color w:val="000000"/>
      <w:kern w:val="2"/>
      <w:sz w:val="24"/>
      <w:szCs w:val="24"/>
      <w:lang w:val="en-US" w:eastAsia="zh-CN" w:bidi="ar-SA"/>
    </w:rPr>
  </w:style>
  <w:style w:type="character" w:customStyle="1" w:styleId="221">
    <w:name w:val="cr"/>
    <w:autoRedefine/>
    <w:qFormat/>
    <w:uiPriority w:val="0"/>
  </w:style>
  <w:style w:type="character" w:customStyle="1" w:styleId="222">
    <w:name w:val="纯文本 Char1"/>
    <w:autoRedefine/>
    <w:qFormat/>
    <w:locked/>
    <w:uiPriority w:val="0"/>
    <w:rPr>
      <w:rFonts w:ascii="宋体" w:hAnsi="Courier New" w:eastAsia="宋体"/>
      <w:kern w:val="2"/>
      <w:sz w:val="21"/>
      <w:lang w:val="en-US" w:eastAsia="zh-CN" w:bidi="ar-SA"/>
    </w:rPr>
  </w:style>
  <w:style w:type="character" w:customStyle="1" w:styleId="223">
    <w:name w:val="正文文本 (3)_"/>
    <w:link w:val="224"/>
    <w:autoRedefine/>
    <w:semiHidden/>
    <w:qFormat/>
    <w:uiPriority w:val="0"/>
    <w:rPr>
      <w:rFonts w:ascii="MingLiU" w:hAnsi="MingLiU" w:eastAsia="MingLiU" w:cs="MingLiU"/>
      <w:w w:val="80"/>
      <w:sz w:val="14"/>
      <w:szCs w:val="14"/>
      <w:shd w:val="clear" w:color="auto" w:fill="FFFFFF"/>
    </w:rPr>
  </w:style>
  <w:style w:type="paragraph" w:customStyle="1" w:styleId="224">
    <w:name w:val="正文文本 (3)"/>
    <w:basedOn w:val="1"/>
    <w:link w:val="223"/>
    <w:autoRedefine/>
    <w:semiHidden/>
    <w:qFormat/>
    <w:uiPriority w:val="0"/>
    <w:pPr>
      <w:widowControl/>
      <w:shd w:val="clear" w:color="auto" w:fill="FFFFFF"/>
      <w:spacing w:after="60" w:line="0" w:lineRule="atLeast"/>
      <w:ind w:firstLine="200" w:firstLineChars="200"/>
      <w:jc w:val="left"/>
    </w:pPr>
    <w:rPr>
      <w:rFonts w:ascii="MingLiU" w:hAnsi="MingLiU" w:eastAsia="MingLiU" w:cs="MingLiU"/>
      <w:w w:val="80"/>
      <w:sz w:val="14"/>
      <w:szCs w:val="14"/>
    </w:rPr>
  </w:style>
  <w:style w:type="character" w:customStyle="1" w:styleId="225">
    <w:name w:val="样式1 Char"/>
    <w:autoRedefine/>
    <w:qFormat/>
    <w:uiPriority w:val="0"/>
    <w:rPr>
      <w:rFonts w:ascii="Arial" w:hAnsi="Arial" w:eastAsia="宋体" w:cs="宋体"/>
      <w:b/>
      <w:kern w:val="44"/>
      <w:sz w:val="28"/>
      <w:szCs w:val="28"/>
      <w:lang w:val="en-US" w:eastAsia="zh-CN" w:bidi="ar-SA"/>
    </w:rPr>
  </w:style>
  <w:style w:type="character" w:customStyle="1" w:styleId="226">
    <w:name w:val="正文文字 Char Char"/>
    <w:autoRedefine/>
    <w:qFormat/>
    <w:uiPriority w:val="0"/>
    <w:rPr>
      <w:rFonts w:eastAsia="宋体"/>
      <w:sz w:val="28"/>
      <w:lang w:val="en-US" w:eastAsia="zh-CN" w:bidi="ar-SA"/>
    </w:rPr>
  </w:style>
  <w:style w:type="character" w:customStyle="1" w:styleId="227">
    <w:name w:val="表标题 Char"/>
    <w:link w:val="228"/>
    <w:autoRedefine/>
    <w:qFormat/>
    <w:locked/>
    <w:uiPriority w:val="0"/>
    <w:rPr>
      <w:rFonts w:eastAsia="黑体"/>
      <w:sz w:val="24"/>
    </w:rPr>
  </w:style>
  <w:style w:type="paragraph" w:customStyle="1" w:styleId="228">
    <w:name w:val="表标题"/>
    <w:basedOn w:val="1"/>
    <w:link w:val="227"/>
    <w:autoRedefine/>
    <w:qFormat/>
    <w:uiPriority w:val="0"/>
    <w:pPr>
      <w:adjustRightInd w:val="0"/>
      <w:snapToGrid w:val="0"/>
      <w:spacing w:line="300" w:lineRule="auto"/>
      <w:ind w:firstLine="200" w:firstLineChars="200"/>
      <w:jc w:val="center"/>
    </w:pPr>
    <w:rPr>
      <w:rFonts w:eastAsia="黑体"/>
      <w:sz w:val="24"/>
    </w:rPr>
  </w:style>
  <w:style w:type="character" w:customStyle="1" w:styleId="229">
    <w:name w:val="正文文本 (4)_"/>
    <w:link w:val="230"/>
    <w:autoRedefine/>
    <w:semiHidden/>
    <w:qFormat/>
    <w:uiPriority w:val="0"/>
    <w:rPr>
      <w:rFonts w:ascii="MingLiU" w:hAnsi="MingLiU" w:eastAsia="MingLiU" w:cs="MingLiU"/>
      <w:spacing w:val="-20"/>
      <w:sz w:val="17"/>
      <w:szCs w:val="17"/>
      <w:shd w:val="clear" w:color="auto" w:fill="FFFFFF"/>
    </w:rPr>
  </w:style>
  <w:style w:type="paragraph" w:customStyle="1" w:styleId="230">
    <w:name w:val="正文文本 (4)1"/>
    <w:basedOn w:val="1"/>
    <w:link w:val="229"/>
    <w:autoRedefine/>
    <w:semiHidden/>
    <w:qFormat/>
    <w:uiPriority w:val="0"/>
    <w:pPr>
      <w:shd w:val="clear" w:color="auto" w:fill="FFFFFF"/>
      <w:spacing w:line="0" w:lineRule="atLeast"/>
      <w:ind w:firstLine="200" w:firstLineChars="200"/>
      <w:jc w:val="distribute"/>
    </w:pPr>
    <w:rPr>
      <w:rFonts w:ascii="MingLiU" w:hAnsi="MingLiU" w:eastAsia="MingLiU" w:cs="MingLiU"/>
      <w:spacing w:val="-20"/>
      <w:sz w:val="17"/>
      <w:szCs w:val="17"/>
    </w:rPr>
  </w:style>
  <w:style w:type="character" w:customStyle="1" w:styleId="231">
    <w:name w:val="W内容 Char"/>
    <w:link w:val="232"/>
    <w:autoRedefine/>
    <w:qFormat/>
    <w:uiPriority w:val="0"/>
    <w:rPr>
      <w:rFonts w:ascii="宋体" w:hAnsi="宋体"/>
      <w:bCs/>
      <w:sz w:val="28"/>
      <w:szCs w:val="28"/>
    </w:rPr>
  </w:style>
  <w:style w:type="paragraph" w:customStyle="1" w:styleId="232">
    <w:name w:val="W内容"/>
    <w:basedOn w:val="1"/>
    <w:link w:val="231"/>
    <w:autoRedefine/>
    <w:qFormat/>
    <w:uiPriority w:val="0"/>
    <w:pPr>
      <w:spacing w:line="360" w:lineRule="auto"/>
      <w:ind w:firstLine="200" w:firstLineChars="200"/>
    </w:pPr>
    <w:rPr>
      <w:rFonts w:ascii="宋体" w:hAnsi="宋体"/>
      <w:bCs/>
      <w:sz w:val="28"/>
      <w:szCs w:val="28"/>
    </w:rPr>
  </w:style>
  <w:style w:type="character" w:customStyle="1" w:styleId="233">
    <w:name w:val="表说明 Char"/>
    <w:link w:val="234"/>
    <w:autoRedefine/>
    <w:qFormat/>
    <w:uiPriority w:val="0"/>
    <w:rPr>
      <w:rFonts w:ascii="宋体"/>
      <w:sz w:val="18"/>
      <w:szCs w:val="18"/>
    </w:rPr>
  </w:style>
  <w:style w:type="paragraph" w:customStyle="1" w:styleId="234">
    <w:name w:val="表说明"/>
    <w:link w:val="233"/>
    <w:autoRedefine/>
    <w:qFormat/>
    <w:uiPriority w:val="0"/>
    <w:pPr>
      <w:widowControl w:val="0"/>
      <w:spacing w:line="240" w:lineRule="exact"/>
      <w:jc w:val="center"/>
    </w:pPr>
    <w:rPr>
      <w:rFonts w:ascii="宋体" w:hAnsiTheme="minorHAnsi" w:eastAsiaTheme="minorEastAsia" w:cstheme="minorBidi"/>
      <w:kern w:val="2"/>
      <w:sz w:val="18"/>
      <w:szCs w:val="18"/>
      <w:lang w:val="en-US" w:eastAsia="zh-CN" w:bidi="ar-SA"/>
    </w:rPr>
  </w:style>
  <w:style w:type="character" w:customStyle="1" w:styleId="235">
    <w:name w:val="font101"/>
    <w:basedOn w:val="92"/>
    <w:autoRedefine/>
    <w:qFormat/>
    <w:uiPriority w:val="0"/>
    <w:rPr>
      <w:rFonts w:hint="default" w:ascii="Times New Roman" w:hAnsi="Times New Roman" w:cs="Times New Roman"/>
      <w:color w:val="000000"/>
      <w:sz w:val="21"/>
      <w:szCs w:val="21"/>
      <w:u w:val="none"/>
      <w:vertAlign w:val="superscript"/>
    </w:rPr>
  </w:style>
  <w:style w:type="character" w:customStyle="1" w:styleId="236">
    <w:name w:val="表格标题 Char"/>
    <w:autoRedefine/>
    <w:qFormat/>
    <w:uiPriority w:val="0"/>
    <w:rPr>
      <w:rFonts w:eastAsia="宋体"/>
      <w:b/>
      <w:sz w:val="21"/>
    </w:rPr>
  </w:style>
  <w:style w:type="character" w:customStyle="1" w:styleId="237">
    <w:name w:val="标题 #10 (2)_"/>
    <w:link w:val="238"/>
    <w:autoRedefine/>
    <w:semiHidden/>
    <w:qFormat/>
    <w:uiPriority w:val="0"/>
    <w:rPr>
      <w:rFonts w:ascii="MingLiU" w:hAnsi="MingLiU" w:eastAsia="MingLiU" w:cs="MingLiU"/>
      <w:sz w:val="16"/>
      <w:szCs w:val="16"/>
      <w:shd w:val="clear" w:color="auto" w:fill="FFFFFF"/>
    </w:rPr>
  </w:style>
  <w:style w:type="paragraph" w:customStyle="1" w:styleId="238">
    <w:name w:val="标题 #10 (2)"/>
    <w:basedOn w:val="1"/>
    <w:link w:val="237"/>
    <w:autoRedefine/>
    <w:semiHidden/>
    <w:qFormat/>
    <w:uiPriority w:val="0"/>
    <w:pPr>
      <w:widowControl/>
      <w:shd w:val="clear" w:color="auto" w:fill="FFFFFF"/>
      <w:spacing w:line="386" w:lineRule="exact"/>
      <w:ind w:firstLine="200" w:firstLineChars="200"/>
      <w:jc w:val="left"/>
    </w:pPr>
    <w:rPr>
      <w:rFonts w:ascii="MingLiU" w:hAnsi="MingLiU" w:eastAsia="MingLiU" w:cs="MingLiU"/>
      <w:sz w:val="16"/>
      <w:szCs w:val="16"/>
    </w:rPr>
  </w:style>
  <w:style w:type="character" w:customStyle="1" w:styleId="239">
    <w:name w:val="正文文本 + SimSun"/>
    <w:autoRedefine/>
    <w:semiHidden/>
    <w:qFormat/>
    <w:uiPriority w:val="0"/>
    <w:rPr>
      <w:rFonts w:ascii="宋体" w:hAnsi="宋体" w:eastAsia="宋体" w:cs="宋体"/>
      <w:color w:val="000000"/>
      <w:spacing w:val="0"/>
      <w:w w:val="100"/>
      <w:position w:val="0"/>
      <w:sz w:val="8"/>
      <w:szCs w:val="8"/>
      <w:shd w:val="clear" w:color="auto" w:fill="FFFFFF"/>
    </w:rPr>
  </w:style>
  <w:style w:type="character" w:customStyle="1" w:styleId="240">
    <w:name w:val="信息标题 Char1"/>
    <w:autoRedefine/>
    <w:semiHidden/>
    <w:qFormat/>
    <w:uiPriority w:val="99"/>
    <w:rPr>
      <w:rFonts w:ascii="Cambria" w:hAnsi="Cambria" w:eastAsia="宋体" w:cs="Times New Roman"/>
      <w:sz w:val="24"/>
      <w:szCs w:val="24"/>
      <w:shd w:val="pct20" w:color="auto" w:fill="auto"/>
    </w:rPr>
  </w:style>
  <w:style w:type="character" w:customStyle="1" w:styleId="241">
    <w:name w:val="正文文本 (2) + 8.5 pt"/>
    <w:autoRedefine/>
    <w:semiHidden/>
    <w:qFormat/>
    <w:uiPriority w:val="0"/>
    <w:rPr>
      <w:rFonts w:ascii="MingLiU" w:hAnsi="MingLiU" w:eastAsia="MingLiU" w:cs="MingLiU"/>
      <w:color w:val="000000"/>
      <w:spacing w:val="-20"/>
      <w:w w:val="100"/>
      <w:position w:val="0"/>
      <w:sz w:val="17"/>
      <w:szCs w:val="17"/>
      <w:shd w:val="clear" w:color="auto" w:fill="FFFFFF"/>
      <w:lang w:val="en-US"/>
    </w:rPr>
  </w:style>
  <w:style w:type="character" w:customStyle="1" w:styleId="242">
    <w:name w:val="正文文本 + 7.5 pt"/>
    <w:autoRedefine/>
    <w:semiHidden/>
    <w:qFormat/>
    <w:uiPriority w:val="0"/>
    <w:rPr>
      <w:rFonts w:ascii="MingLiU" w:hAnsi="MingLiU" w:eastAsia="MingLiU" w:cs="MingLiU"/>
      <w:i/>
      <w:iCs/>
      <w:color w:val="000000"/>
      <w:spacing w:val="0"/>
      <w:w w:val="100"/>
      <w:position w:val="0"/>
      <w:sz w:val="15"/>
      <w:szCs w:val="15"/>
      <w:shd w:val="clear" w:color="auto" w:fill="FFFFFF"/>
      <w:lang w:val="zh-CN"/>
    </w:rPr>
  </w:style>
  <w:style w:type="character" w:customStyle="1" w:styleId="243">
    <w:name w:val="小内容 Char"/>
    <w:link w:val="244"/>
    <w:autoRedefine/>
    <w:qFormat/>
    <w:uiPriority w:val="0"/>
    <w:rPr>
      <w:rFonts w:ascii="宋体" w:hAnsi="宋体"/>
      <w:sz w:val="24"/>
      <w:szCs w:val="24"/>
    </w:rPr>
  </w:style>
  <w:style w:type="paragraph" w:customStyle="1" w:styleId="244">
    <w:name w:val="小内容"/>
    <w:basedOn w:val="1"/>
    <w:link w:val="243"/>
    <w:autoRedefine/>
    <w:qFormat/>
    <w:uiPriority w:val="0"/>
    <w:pPr>
      <w:spacing w:line="500" w:lineRule="exact"/>
      <w:ind w:firstLine="200" w:firstLineChars="200"/>
    </w:pPr>
    <w:rPr>
      <w:rFonts w:ascii="宋体" w:hAnsi="宋体"/>
      <w:sz w:val="24"/>
      <w:szCs w:val="24"/>
    </w:rPr>
  </w:style>
  <w:style w:type="character" w:customStyle="1" w:styleId="245">
    <w:name w:val="f141"/>
    <w:autoRedefine/>
    <w:qFormat/>
    <w:uiPriority w:val="0"/>
    <w:rPr>
      <w:color w:val="000000"/>
      <w:spacing w:val="360"/>
      <w:sz w:val="21"/>
      <w:szCs w:val="21"/>
    </w:rPr>
  </w:style>
  <w:style w:type="character" w:customStyle="1" w:styleId="246">
    <w:name w:val="标题1 Char"/>
    <w:link w:val="247"/>
    <w:autoRedefine/>
    <w:qFormat/>
    <w:uiPriority w:val="0"/>
    <w:rPr>
      <w:rFonts w:eastAsia="黑体"/>
      <w:b/>
      <w:bCs/>
      <w:kern w:val="44"/>
      <w:sz w:val="30"/>
      <w:szCs w:val="44"/>
    </w:rPr>
  </w:style>
  <w:style w:type="paragraph" w:customStyle="1" w:styleId="247">
    <w:name w:val="标题1"/>
    <w:basedOn w:val="3"/>
    <w:next w:val="45"/>
    <w:link w:val="246"/>
    <w:autoRedefine/>
    <w:qFormat/>
    <w:uiPriority w:val="0"/>
    <w:pPr>
      <w:pageBreakBefore/>
      <w:spacing w:before="0" w:after="0" w:line="312" w:lineRule="auto"/>
    </w:pPr>
    <w:rPr>
      <w:rFonts w:eastAsia="黑体" w:asciiTheme="minorHAnsi" w:hAnsiTheme="minorHAnsi" w:cstheme="minorBidi"/>
      <w:sz w:val="30"/>
    </w:rPr>
  </w:style>
  <w:style w:type="character" w:customStyle="1" w:styleId="248">
    <w:name w:val="B标题 Char"/>
    <w:link w:val="249"/>
    <w:autoRedefine/>
    <w:qFormat/>
    <w:uiPriority w:val="0"/>
    <w:rPr>
      <w:rFonts w:ascii="黑体" w:hAnsi="宋体" w:eastAsia="黑体"/>
      <w:sz w:val="24"/>
      <w:szCs w:val="24"/>
    </w:rPr>
  </w:style>
  <w:style w:type="paragraph" w:customStyle="1" w:styleId="249">
    <w:name w:val="B标题"/>
    <w:basedOn w:val="1"/>
    <w:link w:val="248"/>
    <w:autoRedefine/>
    <w:qFormat/>
    <w:uiPriority w:val="0"/>
    <w:pPr>
      <w:spacing w:line="360" w:lineRule="auto"/>
      <w:ind w:firstLine="480" w:firstLineChars="200"/>
      <w:jc w:val="center"/>
    </w:pPr>
    <w:rPr>
      <w:rFonts w:ascii="黑体" w:hAnsi="宋体" w:eastAsia="黑体"/>
      <w:sz w:val="24"/>
      <w:szCs w:val="24"/>
    </w:rPr>
  </w:style>
  <w:style w:type="character" w:customStyle="1" w:styleId="250">
    <w:name w:val="font71"/>
    <w:basedOn w:val="92"/>
    <w:autoRedefine/>
    <w:qFormat/>
    <w:uiPriority w:val="0"/>
    <w:rPr>
      <w:rFonts w:hint="default" w:ascii="Times New Roman" w:hAnsi="Times New Roman" w:cs="Times New Roman"/>
      <w:color w:val="000000"/>
      <w:sz w:val="21"/>
      <w:szCs w:val="21"/>
      <w:u w:val="none"/>
      <w:vertAlign w:val="superscript"/>
    </w:rPr>
  </w:style>
  <w:style w:type="character" w:customStyle="1" w:styleId="251">
    <w:name w:val="环 表号 Char"/>
    <w:link w:val="252"/>
    <w:autoRedefine/>
    <w:semiHidden/>
    <w:qFormat/>
    <w:uiPriority w:val="0"/>
    <w:rPr>
      <w:rFonts w:ascii="宋体"/>
      <w:b/>
      <w:bCs/>
      <w:szCs w:val="21"/>
    </w:rPr>
  </w:style>
  <w:style w:type="paragraph" w:customStyle="1" w:styleId="252">
    <w:name w:val="环 表号"/>
    <w:basedOn w:val="1"/>
    <w:link w:val="251"/>
    <w:autoRedefine/>
    <w:semiHidden/>
    <w:qFormat/>
    <w:uiPriority w:val="0"/>
    <w:pPr>
      <w:spacing w:line="360" w:lineRule="auto"/>
      <w:ind w:firstLine="200" w:firstLineChars="200"/>
    </w:pPr>
    <w:rPr>
      <w:rFonts w:ascii="宋体"/>
      <w:b/>
      <w:bCs/>
      <w:szCs w:val="21"/>
    </w:rPr>
  </w:style>
  <w:style w:type="character" w:customStyle="1" w:styleId="253">
    <w:name w:val="yf_表样式1 Char"/>
    <w:autoRedefine/>
    <w:qFormat/>
    <w:uiPriority w:val="0"/>
    <w:rPr>
      <w:rFonts w:hAnsi="宋体"/>
      <w:sz w:val="21"/>
      <w:szCs w:val="21"/>
    </w:rPr>
  </w:style>
  <w:style w:type="character" w:customStyle="1" w:styleId="254">
    <w:name w:val="正文文本 + 10 pt"/>
    <w:autoRedefine/>
    <w:semiHidden/>
    <w:qFormat/>
    <w:uiPriority w:val="0"/>
    <w:rPr>
      <w:rFonts w:ascii="MingLiU" w:hAnsi="MingLiU" w:eastAsia="MingLiU" w:cs="MingLiU"/>
      <w:color w:val="000000"/>
      <w:spacing w:val="0"/>
      <w:w w:val="100"/>
      <w:position w:val="0"/>
      <w:sz w:val="20"/>
      <w:szCs w:val="20"/>
      <w:shd w:val="clear" w:color="auto" w:fill="FFFFFF"/>
    </w:rPr>
  </w:style>
  <w:style w:type="character" w:customStyle="1" w:styleId="255">
    <w:name w:val="环小四表尾 Char"/>
    <w:link w:val="256"/>
    <w:autoRedefine/>
    <w:qFormat/>
    <w:uiPriority w:val="0"/>
    <w:rPr>
      <w:rFonts w:ascii="宋体" w:eastAsia="Times New Roman"/>
      <w:b/>
      <w:bCs/>
      <w:szCs w:val="21"/>
    </w:rPr>
  </w:style>
  <w:style w:type="paragraph" w:customStyle="1" w:styleId="256">
    <w:name w:val="环小四表尾"/>
    <w:link w:val="255"/>
    <w:autoRedefine/>
    <w:qFormat/>
    <w:uiPriority w:val="0"/>
    <w:pPr>
      <w:spacing w:line="560" w:lineRule="exact"/>
      <w:jc w:val="right"/>
    </w:pPr>
    <w:rPr>
      <w:rFonts w:ascii="宋体" w:eastAsia="Times New Roman" w:hAnsiTheme="minorHAnsi" w:cstheme="minorBidi"/>
      <w:b/>
      <w:bCs/>
      <w:kern w:val="2"/>
      <w:sz w:val="21"/>
      <w:szCs w:val="21"/>
      <w:lang w:val="en-US" w:eastAsia="zh-CN" w:bidi="ar-SA"/>
    </w:rPr>
  </w:style>
  <w:style w:type="character" w:customStyle="1" w:styleId="257">
    <w:name w:val="ak1"/>
    <w:autoRedefine/>
    <w:semiHidden/>
    <w:qFormat/>
    <w:uiPriority w:val="0"/>
    <w:rPr>
      <w:rFonts w:cs="Times New Roman"/>
      <w:sz w:val="18"/>
      <w:szCs w:val="18"/>
    </w:rPr>
  </w:style>
  <w:style w:type="character" w:customStyle="1" w:styleId="258">
    <w:name w:val="wt表名 Char"/>
    <w:link w:val="259"/>
    <w:autoRedefine/>
    <w:qFormat/>
    <w:locked/>
    <w:uiPriority w:val="0"/>
    <w:rPr>
      <w:rFonts w:ascii="Arial" w:hAnsi="Arial" w:eastAsia="黑体" w:cs="宋体"/>
      <w:szCs w:val="21"/>
    </w:rPr>
  </w:style>
  <w:style w:type="paragraph" w:customStyle="1" w:styleId="259">
    <w:name w:val="wt表名"/>
    <w:basedOn w:val="1"/>
    <w:link w:val="258"/>
    <w:autoRedefine/>
    <w:qFormat/>
    <w:uiPriority w:val="0"/>
    <w:pPr>
      <w:spacing w:line="360" w:lineRule="auto"/>
      <w:ind w:firstLine="200" w:firstLineChars="200"/>
      <w:jc w:val="center"/>
    </w:pPr>
    <w:rPr>
      <w:rFonts w:ascii="Arial" w:hAnsi="Arial" w:eastAsia="黑体" w:cs="宋体"/>
      <w:szCs w:val="21"/>
    </w:rPr>
  </w:style>
  <w:style w:type="character" w:customStyle="1" w:styleId="260">
    <w:name w:val="z-窗体底端 Char"/>
    <w:link w:val="261"/>
    <w:autoRedefine/>
    <w:qFormat/>
    <w:uiPriority w:val="99"/>
    <w:rPr>
      <w:rFonts w:ascii="Arial" w:hAnsi="Arial" w:cs="Arial"/>
      <w:vanish/>
      <w:sz w:val="16"/>
      <w:szCs w:val="16"/>
    </w:rPr>
  </w:style>
  <w:style w:type="paragraph" w:customStyle="1" w:styleId="261">
    <w:name w:val="HTML Bottom of Form"/>
    <w:basedOn w:val="1"/>
    <w:next w:val="1"/>
    <w:link w:val="260"/>
    <w:autoRedefine/>
    <w:unhideWhenUsed/>
    <w:qFormat/>
    <w:uiPriority w:val="99"/>
    <w:pPr>
      <w:widowControl/>
      <w:pBdr>
        <w:top w:val="single" w:color="auto" w:sz="6" w:space="1"/>
      </w:pBdr>
      <w:spacing w:line="360" w:lineRule="auto"/>
      <w:ind w:firstLine="200" w:firstLineChars="200"/>
      <w:jc w:val="center"/>
    </w:pPr>
    <w:rPr>
      <w:rFonts w:ascii="Arial" w:hAnsi="Arial" w:cs="Arial"/>
      <w:vanish/>
      <w:sz w:val="16"/>
      <w:szCs w:val="16"/>
    </w:rPr>
  </w:style>
  <w:style w:type="character" w:customStyle="1" w:styleId="262">
    <w:name w:val="z-窗体底端 Char1"/>
    <w:basedOn w:val="92"/>
    <w:autoRedefine/>
    <w:semiHidden/>
    <w:qFormat/>
    <w:uiPriority w:val="99"/>
    <w:rPr>
      <w:rFonts w:ascii="Arial" w:hAnsi="Arial" w:cs="Arial"/>
      <w:vanish/>
      <w:sz w:val="16"/>
      <w:szCs w:val="16"/>
    </w:rPr>
  </w:style>
  <w:style w:type="character" w:customStyle="1" w:styleId="263">
    <w:name w:val="正文1 Char"/>
    <w:link w:val="264"/>
    <w:autoRedefine/>
    <w:qFormat/>
    <w:uiPriority w:val="0"/>
    <w:rPr>
      <w:sz w:val="24"/>
      <w:szCs w:val="24"/>
    </w:rPr>
  </w:style>
  <w:style w:type="paragraph" w:customStyle="1" w:styleId="264">
    <w:name w:val="正文1"/>
    <w:basedOn w:val="1"/>
    <w:link w:val="263"/>
    <w:autoRedefine/>
    <w:qFormat/>
    <w:uiPriority w:val="0"/>
    <w:pPr>
      <w:spacing w:line="480" w:lineRule="exact"/>
      <w:ind w:firstLine="200" w:firstLineChars="200"/>
    </w:pPr>
    <w:rPr>
      <w:sz w:val="24"/>
      <w:szCs w:val="24"/>
    </w:rPr>
  </w:style>
  <w:style w:type="character" w:customStyle="1" w:styleId="265">
    <w:name w:val="wt正文 Char"/>
    <w:link w:val="266"/>
    <w:autoRedefine/>
    <w:qFormat/>
    <w:locked/>
    <w:uiPriority w:val="0"/>
    <w:rPr>
      <w:rFonts w:ascii="宋体" w:hAnsi="宋体"/>
      <w:sz w:val="24"/>
      <w:szCs w:val="24"/>
    </w:rPr>
  </w:style>
  <w:style w:type="paragraph" w:customStyle="1" w:styleId="266">
    <w:name w:val="wt正文"/>
    <w:basedOn w:val="1"/>
    <w:link w:val="265"/>
    <w:autoRedefine/>
    <w:qFormat/>
    <w:uiPriority w:val="0"/>
    <w:pPr>
      <w:adjustRightInd w:val="0"/>
      <w:snapToGrid w:val="0"/>
      <w:spacing w:line="300" w:lineRule="auto"/>
      <w:ind w:firstLine="500" w:firstLineChars="200"/>
      <w:jc w:val="left"/>
    </w:pPr>
    <w:rPr>
      <w:rFonts w:ascii="宋体" w:hAnsi="宋体"/>
      <w:sz w:val="24"/>
      <w:szCs w:val="24"/>
    </w:rPr>
  </w:style>
  <w:style w:type="character" w:customStyle="1" w:styleId="267">
    <w:name w:val="表头1 Char"/>
    <w:link w:val="268"/>
    <w:autoRedefine/>
    <w:semiHidden/>
    <w:qFormat/>
    <w:uiPriority w:val="0"/>
    <w:rPr>
      <w:rFonts w:ascii="宋体"/>
      <w:b/>
      <w:kern w:val="28"/>
      <w:sz w:val="24"/>
      <w:szCs w:val="28"/>
    </w:rPr>
  </w:style>
  <w:style w:type="paragraph" w:customStyle="1" w:styleId="268">
    <w:name w:val="表头1"/>
    <w:basedOn w:val="269"/>
    <w:link w:val="267"/>
    <w:autoRedefine/>
    <w:semiHidden/>
    <w:qFormat/>
    <w:uiPriority w:val="0"/>
    <w:pPr>
      <w:ind w:firstLine="0" w:firstLineChars="0"/>
      <w:jc w:val="center"/>
    </w:pPr>
    <w:rPr>
      <w:rFonts w:hAnsiTheme="minorHAnsi" w:eastAsiaTheme="minorEastAsia" w:cstheme="minorBidi"/>
      <w:b/>
    </w:rPr>
  </w:style>
  <w:style w:type="paragraph" w:customStyle="1" w:styleId="269">
    <w:name w:val="内1"/>
    <w:basedOn w:val="34"/>
    <w:link w:val="270"/>
    <w:autoRedefine/>
    <w:qFormat/>
    <w:uiPriority w:val="0"/>
    <w:pPr>
      <w:spacing w:after="0"/>
    </w:pPr>
    <w:rPr>
      <w:rFonts w:ascii="宋体"/>
      <w:kern w:val="28"/>
      <w:szCs w:val="28"/>
    </w:rPr>
  </w:style>
  <w:style w:type="character" w:customStyle="1" w:styleId="270">
    <w:name w:val="内1 Char"/>
    <w:link w:val="269"/>
    <w:autoRedefine/>
    <w:qFormat/>
    <w:uiPriority w:val="0"/>
    <w:rPr>
      <w:rFonts w:ascii="宋体" w:hAnsi="Times New Roman" w:eastAsia="宋体" w:cs="Times New Roman"/>
      <w:kern w:val="28"/>
      <w:sz w:val="24"/>
      <w:szCs w:val="28"/>
    </w:rPr>
  </w:style>
  <w:style w:type="character" w:customStyle="1" w:styleId="271">
    <w:name w:val="环小四内容 Char Char"/>
    <w:link w:val="272"/>
    <w:autoRedefine/>
    <w:qFormat/>
    <w:uiPriority w:val="0"/>
    <w:rPr>
      <w:rFonts w:ascii="宋体" w:hAnsi="宋体"/>
      <w:sz w:val="24"/>
      <w:szCs w:val="24"/>
    </w:rPr>
  </w:style>
  <w:style w:type="paragraph" w:customStyle="1" w:styleId="272">
    <w:name w:val="环小四内容"/>
    <w:basedOn w:val="1"/>
    <w:link w:val="271"/>
    <w:autoRedefine/>
    <w:qFormat/>
    <w:uiPriority w:val="0"/>
    <w:pPr>
      <w:spacing w:line="360" w:lineRule="auto"/>
      <w:ind w:firstLine="200" w:firstLineChars="200"/>
    </w:pPr>
    <w:rPr>
      <w:rFonts w:ascii="宋体" w:hAnsi="宋体"/>
      <w:sz w:val="24"/>
      <w:szCs w:val="24"/>
    </w:rPr>
  </w:style>
  <w:style w:type="character" w:customStyle="1" w:styleId="273">
    <w:name w:val="环小四文中说明 Char"/>
    <w:link w:val="274"/>
    <w:autoRedefine/>
    <w:qFormat/>
    <w:uiPriority w:val="0"/>
    <w:rPr>
      <w:rFonts w:ascii="宋体" w:hAnsi="宋体"/>
      <w:sz w:val="24"/>
      <w:szCs w:val="24"/>
    </w:rPr>
  </w:style>
  <w:style w:type="paragraph" w:customStyle="1" w:styleId="274">
    <w:name w:val="环小四文中说明"/>
    <w:link w:val="273"/>
    <w:autoRedefine/>
    <w:qFormat/>
    <w:uiPriority w:val="0"/>
    <w:pPr>
      <w:widowControl w:val="0"/>
      <w:spacing w:line="500" w:lineRule="exact"/>
      <w:ind w:firstLine="200" w:firstLineChars="200"/>
      <w:jc w:val="both"/>
    </w:pPr>
    <w:rPr>
      <w:rFonts w:ascii="宋体" w:hAnsi="宋体" w:eastAsiaTheme="minorEastAsia" w:cstheme="minorBidi"/>
      <w:kern w:val="2"/>
      <w:sz w:val="24"/>
      <w:szCs w:val="24"/>
      <w:lang w:val="en-US" w:eastAsia="zh-CN" w:bidi="ar-SA"/>
    </w:rPr>
  </w:style>
  <w:style w:type="character" w:customStyle="1" w:styleId="275">
    <w:name w:val="样式 样式 标题 1 + 左侧:  1 字符 右侧:  1 字符 + 宋体 Char"/>
    <w:autoRedefine/>
    <w:qFormat/>
    <w:uiPriority w:val="0"/>
  </w:style>
  <w:style w:type="character" w:customStyle="1" w:styleId="276">
    <w:name w:val="Char Char"/>
    <w:autoRedefine/>
    <w:semiHidden/>
    <w:qFormat/>
    <w:locked/>
    <w:uiPriority w:val="0"/>
    <w:rPr>
      <w:rFonts w:cs="Times New Roman"/>
      <w:kern w:val="2"/>
      <w:sz w:val="18"/>
      <w:szCs w:val="18"/>
    </w:rPr>
  </w:style>
  <w:style w:type="character" w:customStyle="1" w:styleId="277">
    <w:name w:val="批注引用1"/>
    <w:autoRedefine/>
    <w:qFormat/>
    <w:uiPriority w:val="0"/>
    <w:rPr>
      <w:sz w:val="21"/>
      <w:szCs w:val="21"/>
    </w:rPr>
  </w:style>
  <w:style w:type="character" w:customStyle="1" w:styleId="278">
    <w:name w:val="z-窗体顶端 Char1"/>
    <w:autoRedefine/>
    <w:qFormat/>
    <w:uiPriority w:val="99"/>
    <w:rPr>
      <w:rFonts w:ascii="Arial" w:hAnsi="Arial" w:cs="Arial"/>
      <w:vanish/>
      <w:kern w:val="2"/>
      <w:sz w:val="16"/>
      <w:szCs w:val="16"/>
    </w:rPr>
  </w:style>
  <w:style w:type="character" w:customStyle="1" w:styleId="279">
    <w:name w:val="批注文字 Char1"/>
    <w:autoRedefine/>
    <w:qFormat/>
    <w:locked/>
    <w:uiPriority w:val="99"/>
    <w:rPr>
      <w:rFonts w:ascii="Calibri" w:hAnsi="Calibri"/>
      <w:kern w:val="2"/>
      <w:sz w:val="24"/>
      <w:szCs w:val="22"/>
    </w:rPr>
  </w:style>
  <w:style w:type="character" w:customStyle="1" w:styleId="280">
    <w:name w:val="z-窗体顶端 Char2"/>
    <w:link w:val="281"/>
    <w:autoRedefine/>
    <w:qFormat/>
    <w:uiPriority w:val="99"/>
    <w:rPr>
      <w:rFonts w:ascii="宋体" w:hAnsi="Courier New"/>
      <w:szCs w:val="21"/>
    </w:rPr>
  </w:style>
  <w:style w:type="paragraph" w:customStyle="1" w:styleId="281">
    <w:name w:val="HTML Top of Form"/>
    <w:basedOn w:val="1"/>
    <w:next w:val="1"/>
    <w:link w:val="280"/>
    <w:autoRedefine/>
    <w:qFormat/>
    <w:uiPriority w:val="99"/>
    <w:pPr>
      <w:widowControl/>
      <w:pBdr>
        <w:bottom w:val="single" w:color="auto" w:sz="6" w:space="1"/>
      </w:pBdr>
      <w:spacing w:line="360" w:lineRule="auto"/>
      <w:ind w:firstLine="480" w:firstLineChars="200"/>
      <w:jc w:val="center"/>
    </w:pPr>
    <w:rPr>
      <w:rFonts w:ascii="宋体" w:hAnsi="Courier New"/>
      <w:szCs w:val="21"/>
    </w:rPr>
  </w:style>
  <w:style w:type="character" w:customStyle="1" w:styleId="282">
    <w:name w:val="z-窗体顶端 Char"/>
    <w:basedOn w:val="92"/>
    <w:link w:val="283"/>
    <w:autoRedefine/>
    <w:qFormat/>
    <w:uiPriority w:val="0"/>
    <w:rPr>
      <w:rFonts w:ascii="Arial" w:hAnsi="Arial" w:cs="Arial"/>
      <w:vanish/>
      <w:sz w:val="16"/>
      <w:szCs w:val="16"/>
    </w:rPr>
  </w:style>
  <w:style w:type="paragraph" w:customStyle="1" w:styleId="283">
    <w:name w:val="z-窗体顶端1"/>
    <w:basedOn w:val="1"/>
    <w:next w:val="1"/>
    <w:link w:val="282"/>
    <w:autoRedefine/>
    <w:qFormat/>
    <w:uiPriority w:val="0"/>
    <w:pPr>
      <w:widowControl/>
      <w:pBdr>
        <w:bottom w:val="single" w:color="auto" w:sz="6" w:space="1"/>
      </w:pBdr>
      <w:spacing w:line="360" w:lineRule="auto"/>
      <w:ind w:firstLine="480" w:firstLineChars="200"/>
      <w:jc w:val="center"/>
    </w:pPr>
    <w:rPr>
      <w:rFonts w:ascii="Arial" w:hAnsi="Arial" w:cs="Arial"/>
      <w:vanish/>
      <w:sz w:val="16"/>
      <w:szCs w:val="16"/>
    </w:rPr>
  </w:style>
  <w:style w:type="character" w:customStyle="1" w:styleId="284">
    <w:name w:val="font21"/>
    <w:autoRedefine/>
    <w:qFormat/>
    <w:uiPriority w:val="0"/>
    <w:rPr>
      <w:rFonts w:hint="eastAsia" w:ascii="仿宋_GB2312" w:eastAsia="仿宋_GB2312"/>
      <w:color w:val="000000"/>
      <w:sz w:val="21"/>
      <w:szCs w:val="21"/>
      <w:u w:val="none"/>
    </w:rPr>
  </w:style>
  <w:style w:type="character" w:customStyle="1" w:styleId="285">
    <w:name w:val="样式 段 + 首行缩进:  2 字符 Char"/>
    <w:link w:val="286"/>
    <w:autoRedefine/>
    <w:qFormat/>
    <w:uiPriority w:val="0"/>
    <w:rPr>
      <w:szCs w:val="21"/>
    </w:rPr>
  </w:style>
  <w:style w:type="paragraph" w:customStyle="1" w:styleId="286">
    <w:name w:val="样式 段 + 首行缩进:  2 字符"/>
    <w:basedOn w:val="1"/>
    <w:link w:val="285"/>
    <w:autoRedefine/>
    <w:qFormat/>
    <w:uiPriority w:val="0"/>
    <w:pPr>
      <w:widowControl/>
      <w:autoSpaceDE w:val="0"/>
      <w:autoSpaceDN w:val="0"/>
      <w:spacing w:line="360" w:lineRule="auto"/>
      <w:ind w:firstLine="420" w:firstLineChars="200"/>
    </w:pPr>
    <w:rPr>
      <w:szCs w:val="21"/>
    </w:rPr>
  </w:style>
  <w:style w:type="character" w:customStyle="1" w:styleId="287">
    <w:name w:val="正文文本 + 5 pt"/>
    <w:autoRedefine/>
    <w:semiHidden/>
    <w:qFormat/>
    <w:uiPriority w:val="0"/>
    <w:rPr>
      <w:rFonts w:ascii="MingLiU" w:hAnsi="MingLiU" w:eastAsia="MingLiU" w:cs="MingLiU"/>
      <w:color w:val="000000"/>
      <w:spacing w:val="0"/>
      <w:w w:val="100"/>
      <w:position w:val="0"/>
      <w:sz w:val="10"/>
      <w:szCs w:val="10"/>
      <w:u w:val="none"/>
      <w:shd w:val="clear" w:color="auto" w:fill="FFFFFF"/>
      <w:lang w:val="zh-CN"/>
    </w:rPr>
  </w:style>
  <w:style w:type="character" w:customStyle="1" w:styleId="288">
    <w:name w:val="批注主题 Char1"/>
    <w:autoRedefine/>
    <w:semiHidden/>
    <w:qFormat/>
    <w:uiPriority w:val="99"/>
    <w:rPr>
      <w:rFonts w:ascii="Times New Roman" w:hAnsi="Times New Roman" w:eastAsia="宋体" w:cs="Times New Roman"/>
      <w:b/>
      <w:bCs/>
      <w:szCs w:val="24"/>
    </w:rPr>
  </w:style>
  <w:style w:type="character" w:customStyle="1" w:styleId="289">
    <w:name w:val="样式 标题 2 + 左侧:  1 字符 右侧:  1 字符 Char"/>
    <w:autoRedefine/>
    <w:qFormat/>
    <w:uiPriority w:val="0"/>
    <w:rPr>
      <w:rFonts w:ascii="Arial" w:hAnsi="Arial" w:eastAsia="宋体" w:cs="宋体"/>
      <w:bCs/>
      <w:kern w:val="2"/>
      <w:sz w:val="28"/>
      <w:szCs w:val="28"/>
      <w:lang w:val="en-US" w:eastAsia="zh-CN" w:bidi="ar-SA"/>
    </w:rPr>
  </w:style>
  <w:style w:type="character" w:customStyle="1" w:styleId="290">
    <w:name w:val="lemmatitleh1"/>
    <w:autoRedefine/>
    <w:qFormat/>
    <w:uiPriority w:val="0"/>
  </w:style>
  <w:style w:type="character" w:customStyle="1" w:styleId="291">
    <w:name w:val="图号 Char"/>
    <w:link w:val="292"/>
    <w:autoRedefine/>
    <w:semiHidden/>
    <w:qFormat/>
    <w:uiPriority w:val="0"/>
    <w:rPr>
      <w:rFonts w:ascii="宋体" w:hAnsi="宋体"/>
      <w:b/>
      <w:sz w:val="24"/>
      <w:szCs w:val="24"/>
    </w:rPr>
  </w:style>
  <w:style w:type="paragraph" w:customStyle="1" w:styleId="292">
    <w:name w:val="图号"/>
    <w:basedOn w:val="1"/>
    <w:link w:val="291"/>
    <w:autoRedefine/>
    <w:semiHidden/>
    <w:qFormat/>
    <w:uiPriority w:val="0"/>
    <w:pPr>
      <w:spacing w:line="360" w:lineRule="auto"/>
      <w:ind w:firstLine="200" w:firstLineChars="200"/>
      <w:jc w:val="center"/>
    </w:pPr>
    <w:rPr>
      <w:rFonts w:ascii="宋体" w:hAnsi="宋体"/>
      <w:b/>
      <w:sz w:val="24"/>
      <w:szCs w:val="24"/>
    </w:rPr>
  </w:style>
  <w:style w:type="character" w:customStyle="1" w:styleId="293">
    <w:name w:val="标题 1 Char Char Char"/>
    <w:autoRedefine/>
    <w:qFormat/>
    <w:uiPriority w:val="0"/>
    <w:rPr>
      <w:rFonts w:hint="eastAsia" w:ascii="宋体" w:hAnsi="宋体" w:eastAsia="宋体"/>
      <w:b/>
      <w:bCs/>
      <w:kern w:val="44"/>
      <w:sz w:val="44"/>
      <w:szCs w:val="44"/>
      <w:lang w:val="en-US" w:eastAsia="zh-CN" w:bidi="ar-SA"/>
    </w:rPr>
  </w:style>
  <w:style w:type="character" w:customStyle="1" w:styleId="294">
    <w:name w:val="zhang333333 Char"/>
    <w:link w:val="295"/>
    <w:autoRedefine/>
    <w:qFormat/>
    <w:locked/>
    <w:uiPriority w:val="0"/>
    <w:rPr>
      <w:rFonts w:ascii="黑体" w:hAnsi="宋体" w:eastAsia="黑体"/>
      <w:bCs/>
      <w:sz w:val="28"/>
      <w:szCs w:val="28"/>
    </w:rPr>
  </w:style>
  <w:style w:type="paragraph" w:customStyle="1" w:styleId="295">
    <w:name w:val="zhang333333"/>
    <w:basedOn w:val="5"/>
    <w:link w:val="294"/>
    <w:autoRedefine/>
    <w:qFormat/>
    <w:uiPriority w:val="0"/>
    <w:pPr>
      <w:tabs>
        <w:tab w:val="left" w:pos="5640"/>
      </w:tabs>
    </w:pPr>
    <w:rPr>
      <w:rFonts w:ascii="黑体" w:hAnsi="宋体" w:cstheme="minorBidi"/>
      <w:szCs w:val="28"/>
    </w:rPr>
  </w:style>
  <w:style w:type="character" w:customStyle="1" w:styleId="296">
    <w:name w:val="表号1 Char"/>
    <w:link w:val="297"/>
    <w:autoRedefine/>
    <w:semiHidden/>
    <w:qFormat/>
    <w:uiPriority w:val="0"/>
    <w:rPr>
      <w:rFonts w:ascii="宋体"/>
      <w:b/>
      <w:kern w:val="28"/>
      <w:szCs w:val="21"/>
    </w:rPr>
  </w:style>
  <w:style w:type="paragraph" w:customStyle="1" w:styleId="297">
    <w:name w:val="表号1"/>
    <w:basedOn w:val="269"/>
    <w:link w:val="296"/>
    <w:autoRedefine/>
    <w:semiHidden/>
    <w:qFormat/>
    <w:uiPriority w:val="0"/>
    <w:pPr>
      <w:ind w:firstLine="0" w:firstLineChars="0"/>
      <w:jc w:val="right"/>
    </w:pPr>
    <w:rPr>
      <w:rFonts w:hAnsiTheme="minorHAnsi" w:eastAsiaTheme="minorEastAsia" w:cstheme="minorBidi"/>
      <w:b/>
      <w:sz w:val="21"/>
      <w:szCs w:val="21"/>
    </w:rPr>
  </w:style>
  <w:style w:type="character" w:customStyle="1" w:styleId="298">
    <w:name w:val="B三级 Char"/>
    <w:link w:val="299"/>
    <w:autoRedefine/>
    <w:qFormat/>
    <w:uiPriority w:val="0"/>
    <w:rPr>
      <w:rFonts w:ascii="宋体" w:hAnsi="宋体"/>
      <w:color w:val="7030A0"/>
      <w:sz w:val="28"/>
      <w:szCs w:val="24"/>
    </w:rPr>
  </w:style>
  <w:style w:type="paragraph" w:customStyle="1" w:styleId="299">
    <w:name w:val="B三级"/>
    <w:basedOn w:val="5"/>
    <w:link w:val="298"/>
    <w:autoRedefine/>
    <w:qFormat/>
    <w:uiPriority w:val="0"/>
    <w:pPr>
      <w:adjustRightInd w:val="0"/>
      <w:snapToGrid w:val="0"/>
      <w:spacing w:before="120" w:line="312" w:lineRule="auto"/>
      <w:ind w:left="210" w:leftChars="100" w:right="210" w:rightChars="100"/>
      <w:jc w:val="left"/>
    </w:pPr>
    <w:rPr>
      <w:rFonts w:ascii="宋体" w:hAnsi="宋体" w:eastAsiaTheme="minorEastAsia" w:cstheme="minorBidi"/>
      <w:bCs w:val="0"/>
      <w:color w:val="7030A0"/>
      <w:szCs w:val="24"/>
    </w:rPr>
  </w:style>
  <w:style w:type="character" w:customStyle="1" w:styleId="300">
    <w:name w:val="标5 Char Char"/>
    <w:link w:val="301"/>
    <w:autoRedefine/>
    <w:qFormat/>
    <w:uiPriority w:val="0"/>
    <w:rPr>
      <w:rFonts w:ascii="宋体" w:hAnsi="宋体"/>
      <w:b/>
      <w:snapToGrid w:val="0"/>
      <w:sz w:val="24"/>
      <w:szCs w:val="24"/>
    </w:rPr>
  </w:style>
  <w:style w:type="paragraph" w:customStyle="1" w:styleId="301">
    <w:name w:val="标5"/>
    <w:link w:val="300"/>
    <w:autoRedefine/>
    <w:qFormat/>
    <w:uiPriority w:val="0"/>
    <w:pPr>
      <w:widowControl w:val="0"/>
      <w:ind w:firstLine="200" w:firstLineChars="200"/>
    </w:pPr>
    <w:rPr>
      <w:rFonts w:ascii="宋体" w:hAnsi="宋体" w:eastAsiaTheme="minorEastAsia" w:cstheme="minorBidi"/>
      <w:b/>
      <w:snapToGrid w:val="0"/>
      <w:kern w:val="2"/>
      <w:sz w:val="24"/>
      <w:szCs w:val="24"/>
      <w:lang w:val="en-US" w:eastAsia="zh-CN" w:bidi="ar-SA"/>
    </w:rPr>
  </w:style>
  <w:style w:type="character" w:customStyle="1" w:styleId="302">
    <w:name w:val="环小四注 Char"/>
    <w:link w:val="303"/>
    <w:autoRedefine/>
    <w:qFormat/>
    <w:uiPriority w:val="99"/>
    <w:rPr>
      <w:rFonts w:ascii="宋体" w:hAnsi="宋体" w:eastAsia="楷体_GB2312"/>
      <w:color w:val="000000"/>
      <w:sz w:val="18"/>
      <w:szCs w:val="18"/>
    </w:rPr>
  </w:style>
  <w:style w:type="paragraph" w:customStyle="1" w:styleId="303">
    <w:name w:val="环小四注"/>
    <w:basedOn w:val="1"/>
    <w:link w:val="302"/>
    <w:autoRedefine/>
    <w:qFormat/>
    <w:uiPriority w:val="99"/>
    <w:pPr>
      <w:spacing w:line="400" w:lineRule="exact"/>
      <w:ind w:firstLine="200" w:firstLineChars="200"/>
    </w:pPr>
    <w:rPr>
      <w:rFonts w:ascii="宋体" w:hAnsi="宋体" w:eastAsia="楷体_GB2312"/>
      <w:color w:val="000000"/>
      <w:sz w:val="18"/>
      <w:szCs w:val="18"/>
    </w:rPr>
  </w:style>
  <w:style w:type="character" w:customStyle="1" w:styleId="304">
    <w:name w:val="表格内容 Char"/>
    <w:link w:val="305"/>
    <w:autoRedefine/>
    <w:semiHidden/>
    <w:qFormat/>
    <w:uiPriority w:val="0"/>
    <w:rPr>
      <w:rFonts w:ascii="宋体" w:hAnsi="宋体"/>
      <w:bCs/>
      <w:sz w:val="18"/>
      <w:szCs w:val="18"/>
    </w:rPr>
  </w:style>
  <w:style w:type="paragraph" w:customStyle="1" w:styleId="305">
    <w:name w:val="表格内容"/>
    <w:basedOn w:val="1"/>
    <w:link w:val="304"/>
    <w:autoRedefine/>
    <w:semiHidden/>
    <w:qFormat/>
    <w:uiPriority w:val="0"/>
    <w:pPr>
      <w:spacing w:line="240" w:lineRule="exact"/>
      <w:ind w:firstLine="200" w:firstLineChars="200"/>
      <w:jc w:val="center"/>
    </w:pPr>
    <w:rPr>
      <w:rFonts w:ascii="宋体" w:hAnsi="宋体"/>
      <w:bCs/>
      <w:sz w:val="18"/>
      <w:szCs w:val="18"/>
    </w:rPr>
  </w:style>
  <w:style w:type="character" w:customStyle="1" w:styleId="306">
    <w:name w:val="环小四1.1.1（三级） Char"/>
    <w:link w:val="307"/>
    <w:autoRedefine/>
    <w:qFormat/>
    <w:uiPriority w:val="0"/>
    <w:rPr>
      <w:rFonts w:ascii="宋体" w:hAnsi="宋体"/>
      <w:bCs/>
      <w:snapToGrid w:val="0"/>
      <w:color w:val="000000"/>
      <w:sz w:val="24"/>
      <w:szCs w:val="24"/>
    </w:rPr>
  </w:style>
  <w:style w:type="paragraph" w:customStyle="1" w:styleId="307">
    <w:name w:val="环小四1.1.1（三级）"/>
    <w:link w:val="306"/>
    <w:autoRedefine/>
    <w:qFormat/>
    <w:uiPriority w:val="0"/>
    <w:pPr>
      <w:widowControl w:val="0"/>
      <w:ind w:left="-141" w:leftChars="-135" w:hanging="142" w:hangingChars="59"/>
      <w:jc w:val="both"/>
      <w:outlineLvl w:val="2"/>
    </w:pPr>
    <w:rPr>
      <w:rFonts w:ascii="宋体" w:hAnsi="宋体" w:eastAsiaTheme="minorEastAsia" w:cstheme="minorBidi"/>
      <w:bCs/>
      <w:snapToGrid w:val="0"/>
      <w:color w:val="000000"/>
      <w:kern w:val="2"/>
      <w:sz w:val="24"/>
      <w:szCs w:val="24"/>
      <w:lang w:val="en-US" w:eastAsia="zh-CN" w:bidi="ar-SA"/>
    </w:rPr>
  </w:style>
  <w:style w:type="character" w:customStyle="1" w:styleId="308">
    <w:name w:val="页眉或页脚_"/>
    <w:link w:val="309"/>
    <w:autoRedefine/>
    <w:semiHidden/>
    <w:qFormat/>
    <w:uiPriority w:val="0"/>
    <w:rPr>
      <w:rFonts w:ascii="MingLiU" w:hAnsi="MingLiU" w:eastAsia="MingLiU" w:cs="MingLiU"/>
      <w:b/>
      <w:bCs/>
      <w:sz w:val="13"/>
      <w:szCs w:val="13"/>
      <w:shd w:val="clear" w:color="auto" w:fill="FFFFFF"/>
    </w:rPr>
  </w:style>
  <w:style w:type="paragraph" w:customStyle="1" w:styleId="309">
    <w:name w:val="页眉或页脚"/>
    <w:basedOn w:val="1"/>
    <w:link w:val="308"/>
    <w:autoRedefine/>
    <w:semiHidden/>
    <w:qFormat/>
    <w:uiPriority w:val="0"/>
    <w:pPr>
      <w:widowControl/>
      <w:shd w:val="clear" w:color="auto" w:fill="FFFFFF"/>
      <w:spacing w:line="0" w:lineRule="atLeast"/>
      <w:ind w:firstLine="200" w:firstLineChars="200"/>
      <w:jc w:val="left"/>
    </w:pPr>
    <w:rPr>
      <w:rFonts w:ascii="MingLiU" w:hAnsi="MingLiU" w:eastAsia="MingLiU" w:cs="MingLiU"/>
      <w:b/>
      <w:bCs/>
      <w:sz w:val="13"/>
      <w:szCs w:val="13"/>
    </w:rPr>
  </w:style>
  <w:style w:type="character" w:customStyle="1" w:styleId="310">
    <w:name w:val="环小四表题 Char"/>
    <w:link w:val="311"/>
    <w:autoRedefine/>
    <w:qFormat/>
    <w:uiPriority w:val="0"/>
    <w:rPr>
      <w:rFonts w:ascii="宋体"/>
      <w:b/>
      <w:sz w:val="24"/>
      <w:szCs w:val="24"/>
    </w:rPr>
  </w:style>
  <w:style w:type="paragraph" w:customStyle="1" w:styleId="311">
    <w:name w:val="环小四表题"/>
    <w:basedOn w:val="1"/>
    <w:link w:val="310"/>
    <w:autoRedefine/>
    <w:qFormat/>
    <w:uiPriority w:val="0"/>
    <w:pPr>
      <w:wordWrap w:val="0"/>
      <w:spacing w:line="360" w:lineRule="auto"/>
      <w:ind w:firstLine="200" w:firstLineChars="200"/>
      <w:jc w:val="right"/>
    </w:pPr>
    <w:rPr>
      <w:rFonts w:ascii="宋体"/>
      <w:b/>
      <w:sz w:val="24"/>
      <w:szCs w:val="24"/>
    </w:rPr>
  </w:style>
  <w:style w:type="character" w:customStyle="1" w:styleId="312">
    <w:name w:val="正文文本缩进 2 Char Char Char"/>
    <w:link w:val="313"/>
    <w:autoRedefine/>
    <w:qFormat/>
    <w:uiPriority w:val="0"/>
    <w:rPr>
      <w:sz w:val="24"/>
      <w:szCs w:val="24"/>
    </w:rPr>
  </w:style>
  <w:style w:type="paragraph" w:customStyle="1" w:styleId="313">
    <w:name w:val="正文文本缩进 21"/>
    <w:basedOn w:val="1"/>
    <w:link w:val="312"/>
    <w:autoRedefine/>
    <w:qFormat/>
    <w:uiPriority w:val="0"/>
    <w:pPr>
      <w:spacing w:after="120" w:line="480" w:lineRule="auto"/>
      <w:ind w:left="420" w:leftChars="200" w:firstLine="880" w:firstLineChars="200"/>
    </w:pPr>
    <w:rPr>
      <w:sz w:val="24"/>
      <w:szCs w:val="24"/>
    </w:rPr>
  </w:style>
  <w:style w:type="character" w:customStyle="1" w:styleId="314">
    <w:name w:val="表注 Char"/>
    <w:link w:val="315"/>
    <w:autoRedefine/>
    <w:semiHidden/>
    <w:qFormat/>
    <w:uiPriority w:val="0"/>
    <w:rPr>
      <w:rFonts w:ascii="楷体_GB2312" w:hAnsi="宋体" w:eastAsia="楷体_GB2312"/>
      <w:szCs w:val="21"/>
    </w:rPr>
  </w:style>
  <w:style w:type="paragraph" w:customStyle="1" w:styleId="315">
    <w:name w:val="表注"/>
    <w:basedOn w:val="1"/>
    <w:link w:val="314"/>
    <w:autoRedefine/>
    <w:semiHidden/>
    <w:qFormat/>
    <w:uiPriority w:val="0"/>
    <w:pPr>
      <w:tabs>
        <w:tab w:val="left" w:pos="3105"/>
      </w:tabs>
      <w:wordWrap w:val="0"/>
      <w:spacing w:line="360" w:lineRule="exact"/>
      <w:ind w:left="350" w:leftChars="150" w:hanging="200" w:hangingChars="200"/>
    </w:pPr>
    <w:rPr>
      <w:rFonts w:ascii="楷体_GB2312" w:hAnsi="宋体" w:eastAsia="楷体_GB2312"/>
      <w:szCs w:val="21"/>
    </w:rPr>
  </w:style>
  <w:style w:type="character" w:customStyle="1" w:styleId="316">
    <w:name w:val="正文文本1"/>
    <w:autoRedefine/>
    <w:semiHidden/>
    <w:qFormat/>
    <w:uiPriority w:val="0"/>
    <w:rPr>
      <w:rFonts w:ascii="MingLiU" w:hAnsi="MingLiU" w:eastAsia="MingLiU" w:cs="MingLiU"/>
      <w:color w:val="000000"/>
      <w:spacing w:val="0"/>
      <w:w w:val="100"/>
      <w:position w:val="0"/>
      <w:sz w:val="16"/>
      <w:szCs w:val="16"/>
      <w:shd w:val="clear" w:color="auto" w:fill="FFFFFF"/>
      <w:lang w:val="zh-TW"/>
    </w:rPr>
  </w:style>
  <w:style w:type="character" w:customStyle="1" w:styleId="317">
    <w:name w:val="环 表内容 Char Char"/>
    <w:link w:val="318"/>
    <w:autoRedefine/>
    <w:semiHidden/>
    <w:qFormat/>
    <w:uiPriority w:val="0"/>
    <w:rPr>
      <w:rFonts w:ascii="宋体" w:hAnsi="宋体"/>
      <w:sz w:val="18"/>
      <w:szCs w:val="21"/>
    </w:rPr>
  </w:style>
  <w:style w:type="paragraph" w:customStyle="1" w:styleId="318">
    <w:name w:val="环 表内容"/>
    <w:basedOn w:val="1"/>
    <w:link w:val="317"/>
    <w:autoRedefine/>
    <w:semiHidden/>
    <w:qFormat/>
    <w:uiPriority w:val="0"/>
    <w:pPr>
      <w:wordWrap w:val="0"/>
      <w:spacing w:line="240" w:lineRule="exact"/>
      <w:ind w:firstLine="200" w:firstLineChars="200"/>
      <w:jc w:val="center"/>
    </w:pPr>
    <w:rPr>
      <w:rFonts w:ascii="宋体" w:hAnsi="宋体"/>
      <w:sz w:val="18"/>
      <w:szCs w:val="21"/>
    </w:rPr>
  </w:style>
  <w:style w:type="character" w:customStyle="1" w:styleId="319">
    <w:name w:val="样式 正文文本 + 宋体 Char"/>
    <w:link w:val="320"/>
    <w:autoRedefine/>
    <w:qFormat/>
    <w:uiPriority w:val="0"/>
    <w:rPr>
      <w:rFonts w:ascii="宋体" w:hAnsi="宋体"/>
      <w:szCs w:val="21"/>
    </w:rPr>
  </w:style>
  <w:style w:type="paragraph" w:customStyle="1" w:styleId="320">
    <w:name w:val="样式 正文文本 + 宋体"/>
    <w:basedOn w:val="34"/>
    <w:link w:val="319"/>
    <w:autoRedefine/>
    <w:qFormat/>
    <w:uiPriority w:val="0"/>
    <w:pPr>
      <w:spacing w:after="0"/>
      <w:ind w:firstLine="420"/>
    </w:pPr>
    <w:rPr>
      <w:rFonts w:ascii="宋体" w:hAnsi="宋体" w:eastAsiaTheme="minorEastAsia" w:cstheme="minorBidi"/>
      <w:sz w:val="21"/>
      <w:szCs w:val="21"/>
    </w:rPr>
  </w:style>
  <w:style w:type="character" w:customStyle="1" w:styleId="321">
    <w:name w:val="文档正文 Char"/>
    <w:link w:val="322"/>
    <w:autoRedefine/>
    <w:qFormat/>
    <w:uiPriority w:val="0"/>
    <w:rPr>
      <w:rFonts w:ascii="仿宋_GB2312" w:hAnsi="宋体" w:eastAsia="仿宋_GB2312"/>
      <w:sz w:val="28"/>
      <w:szCs w:val="28"/>
    </w:rPr>
  </w:style>
  <w:style w:type="paragraph" w:customStyle="1" w:styleId="322">
    <w:name w:val="文档正文"/>
    <w:basedOn w:val="1"/>
    <w:link w:val="321"/>
    <w:autoRedefine/>
    <w:qFormat/>
    <w:uiPriority w:val="0"/>
    <w:pPr>
      <w:widowControl/>
      <w:adjustRightInd w:val="0"/>
      <w:spacing w:line="480" w:lineRule="atLeast"/>
      <w:ind w:firstLine="567" w:firstLineChars="200"/>
      <w:jc w:val="left"/>
      <w:textAlignment w:val="baseline"/>
    </w:pPr>
    <w:rPr>
      <w:rFonts w:ascii="仿宋_GB2312" w:hAnsi="宋体" w:eastAsia="仿宋_GB2312"/>
      <w:sz w:val="28"/>
      <w:szCs w:val="28"/>
    </w:rPr>
  </w:style>
  <w:style w:type="character" w:customStyle="1" w:styleId="323">
    <w:name w:val="B一级 Char"/>
    <w:link w:val="324"/>
    <w:autoRedefine/>
    <w:qFormat/>
    <w:uiPriority w:val="0"/>
    <w:rPr>
      <w:rFonts w:ascii="宋体" w:hAnsi="宋体"/>
      <w:b/>
      <w:sz w:val="28"/>
      <w:szCs w:val="28"/>
    </w:rPr>
  </w:style>
  <w:style w:type="paragraph" w:customStyle="1" w:styleId="324">
    <w:name w:val="B一级"/>
    <w:basedOn w:val="1"/>
    <w:link w:val="323"/>
    <w:autoRedefine/>
    <w:qFormat/>
    <w:uiPriority w:val="0"/>
    <w:pPr>
      <w:adjustRightInd w:val="0"/>
      <w:snapToGrid w:val="0"/>
      <w:spacing w:line="336" w:lineRule="auto"/>
      <w:ind w:left="210" w:leftChars="100" w:right="105" w:rightChars="50" w:firstLine="480" w:firstLineChars="200"/>
      <w:jc w:val="center"/>
      <w:outlineLvl w:val="0"/>
    </w:pPr>
    <w:rPr>
      <w:rFonts w:ascii="宋体" w:hAnsi="宋体"/>
      <w:b/>
      <w:sz w:val="28"/>
      <w:szCs w:val="28"/>
    </w:rPr>
  </w:style>
  <w:style w:type="character" w:customStyle="1" w:styleId="325">
    <w:name w:val="样式一 Char"/>
    <w:link w:val="326"/>
    <w:autoRedefine/>
    <w:qFormat/>
    <w:uiPriority w:val="0"/>
    <w:rPr>
      <w:color w:val="000000"/>
      <w:sz w:val="24"/>
      <w:szCs w:val="24"/>
    </w:rPr>
  </w:style>
  <w:style w:type="paragraph" w:customStyle="1" w:styleId="326">
    <w:name w:val="样式一"/>
    <w:basedOn w:val="1"/>
    <w:link w:val="325"/>
    <w:autoRedefine/>
    <w:qFormat/>
    <w:uiPriority w:val="0"/>
    <w:pPr>
      <w:widowControl/>
      <w:snapToGrid w:val="0"/>
      <w:spacing w:line="360" w:lineRule="auto"/>
      <w:ind w:left="240" w:leftChars="100" w:right="240" w:rightChars="100" w:firstLine="480" w:firstLineChars="200"/>
      <w:jc w:val="left"/>
      <w:textAlignment w:val="baseline"/>
    </w:pPr>
    <w:rPr>
      <w:color w:val="000000"/>
      <w:sz w:val="24"/>
      <w:szCs w:val="24"/>
    </w:rPr>
  </w:style>
  <w:style w:type="character" w:customStyle="1" w:styleId="327">
    <w:name w:val="王 表名四黑 Char"/>
    <w:link w:val="328"/>
    <w:autoRedefine/>
    <w:semiHidden/>
    <w:qFormat/>
    <w:uiPriority w:val="0"/>
    <w:rPr>
      <w:rFonts w:ascii="Calibri" w:hAnsi="Calibri" w:eastAsia="黑体" w:cs="Arial"/>
      <w:bCs/>
      <w:szCs w:val="21"/>
    </w:rPr>
  </w:style>
  <w:style w:type="paragraph" w:customStyle="1" w:styleId="328">
    <w:name w:val="王 表名四黑"/>
    <w:basedOn w:val="1"/>
    <w:link w:val="327"/>
    <w:autoRedefine/>
    <w:semiHidden/>
    <w:qFormat/>
    <w:uiPriority w:val="0"/>
    <w:pPr>
      <w:widowControl/>
      <w:spacing w:line="360" w:lineRule="auto"/>
      <w:ind w:firstLine="200" w:firstLineChars="200"/>
      <w:jc w:val="center"/>
    </w:pPr>
    <w:rPr>
      <w:rFonts w:ascii="Calibri" w:hAnsi="Calibri" w:eastAsia="黑体" w:cs="Arial"/>
      <w:bCs/>
      <w:szCs w:val="21"/>
    </w:rPr>
  </w:style>
  <w:style w:type="character" w:customStyle="1" w:styleId="329">
    <w:name w:val="样式 四号"/>
    <w:autoRedefine/>
    <w:qFormat/>
    <w:uiPriority w:val="0"/>
  </w:style>
  <w:style w:type="character" w:customStyle="1" w:styleId="330">
    <w:name w:val="opt"/>
    <w:autoRedefine/>
    <w:qFormat/>
    <w:uiPriority w:val="0"/>
  </w:style>
  <w:style w:type="character" w:customStyle="1" w:styleId="331">
    <w:name w:val="样式4 Char"/>
    <w:link w:val="332"/>
    <w:autoRedefine/>
    <w:qFormat/>
    <w:uiPriority w:val="0"/>
    <w:rPr>
      <w:rFonts w:ascii="宋体" w:hAnsi="宋体" w:cs="宋体"/>
      <w:b/>
      <w:bCs/>
      <w:sz w:val="28"/>
      <w:szCs w:val="28"/>
    </w:rPr>
  </w:style>
  <w:style w:type="paragraph" w:customStyle="1" w:styleId="332">
    <w:name w:val="样式4"/>
    <w:basedOn w:val="333"/>
    <w:link w:val="331"/>
    <w:autoRedefine/>
    <w:qFormat/>
    <w:uiPriority w:val="0"/>
    <w:pPr>
      <w:spacing w:before="0" w:after="0" w:line="360" w:lineRule="auto"/>
    </w:pPr>
    <w:rPr>
      <w:rFonts w:cs="宋体" w:eastAsiaTheme="minorEastAsia"/>
      <w:kern w:val="2"/>
      <w:sz w:val="28"/>
      <w:szCs w:val="28"/>
    </w:rPr>
  </w:style>
  <w:style w:type="paragraph" w:customStyle="1" w:styleId="333">
    <w:name w:val="标题3"/>
    <w:basedOn w:val="4"/>
    <w:link w:val="334"/>
    <w:autoRedefine/>
    <w:qFormat/>
    <w:uiPriority w:val="0"/>
    <w:rPr>
      <w:rFonts w:ascii="宋体" w:hAnsi="宋体" w:eastAsia="宋体"/>
      <w:b/>
      <w:sz w:val="32"/>
      <w:szCs w:val="32"/>
    </w:rPr>
  </w:style>
  <w:style w:type="character" w:customStyle="1" w:styleId="334">
    <w:name w:val="标题3 Char"/>
    <w:link w:val="333"/>
    <w:autoRedefine/>
    <w:qFormat/>
    <w:uiPriority w:val="0"/>
    <w:rPr>
      <w:rFonts w:ascii="宋体" w:hAnsi="宋体" w:eastAsia="宋体" w:cs="Times New Roman"/>
      <w:b/>
      <w:bCs/>
      <w:kern w:val="0"/>
      <w:sz w:val="32"/>
      <w:szCs w:val="32"/>
    </w:rPr>
  </w:style>
  <w:style w:type="character" w:customStyle="1" w:styleId="335">
    <w:name w:val="font112"/>
    <w:basedOn w:val="92"/>
    <w:autoRedefine/>
    <w:qFormat/>
    <w:uiPriority w:val="0"/>
    <w:rPr>
      <w:rFonts w:hint="default" w:ascii="Times New Roman" w:hAnsi="Times New Roman" w:cs="Times New Roman"/>
      <w:color w:val="000000"/>
      <w:sz w:val="21"/>
      <w:szCs w:val="21"/>
      <w:u w:val="none"/>
      <w:vertAlign w:val="superscript"/>
    </w:rPr>
  </w:style>
  <w:style w:type="character" w:customStyle="1" w:styleId="336">
    <w:name w:val="正文 1 Char"/>
    <w:link w:val="337"/>
    <w:autoRedefine/>
    <w:semiHidden/>
    <w:qFormat/>
    <w:uiPriority w:val="99"/>
    <w:rPr>
      <w:rFonts w:ascii="仿宋_GB2312" w:hAnsi="宋体"/>
      <w:bCs/>
      <w:sz w:val="28"/>
      <w:szCs w:val="28"/>
      <w:lang w:val="zh-CN"/>
    </w:rPr>
  </w:style>
  <w:style w:type="paragraph" w:customStyle="1" w:styleId="337">
    <w:name w:val="正文 1"/>
    <w:basedOn w:val="1"/>
    <w:link w:val="336"/>
    <w:autoRedefine/>
    <w:semiHidden/>
    <w:qFormat/>
    <w:uiPriority w:val="99"/>
    <w:pPr>
      <w:adjustRightInd w:val="0"/>
      <w:snapToGrid w:val="0"/>
      <w:spacing w:line="360" w:lineRule="auto"/>
      <w:ind w:left="280" w:leftChars="100" w:right="280" w:rightChars="100" w:firstLine="560" w:firstLineChars="200"/>
      <w:jc w:val="left"/>
      <w:textAlignment w:val="center"/>
    </w:pPr>
    <w:rPr>
      <w:rFonts w:ascii="仿宋_GB2312" w:hAnsi="宋体"/>
      <w:bCs/>
      <w:sz w:val="28"/>
      <w:szCs w:val="28"/>
      <w:lang w:val="zh-CN"/>
    </w:rPr>
  </w:style>
  <w:style w:type="character" w:customStyle="1" w:styleId="338">
    <w:name w:val="表号 Char"/>
    <w:link w:val="339"/>
    <w:autoRedefine/>
    <w:semiHidden/>
    <w:qFormat/>
    <w:uiPriority w:val="0"/>
    <w:rPr>
      <w:rFonts w:ascii="Arial" w:hAnsi="宋体"/>
      <w:b/>
      <w:caps/>
      <w:sz w:val="18"/>
    </w:rPr>
  </w:style>
  <w:style w:type="paragraph" w:customStyle="1" w:styleId="339">
    <w:name w:val="表号"/>
    <w:basedOn w:val="1"/>
    <w:link w:val="338"/>
    <w:autoRedefine/>
    <w:semiHidden/>
    <w:qFormat/>
    <w:uiPriority w:val="0"/>
    <w:pPr>
      <w:overflowPunct w:val="0"/>
      <w:spacing w:line="320" w:lineRule="exact"/>
      <w:ind w:firstLine="200" w:firstLineChars="200"/>
      <w:jc w:val="right"/>
      <w:textAlignment w:val="baseline"/>
    </w:pPr>
    <w:rPr>
      <w:rFonts w:ascii="Arial" w:hAnsi="宋体"/>
      <w:b/>
      <w:caps/>
      <w:sz w:val="18"/>
    </w:rPr>
  </w:style>
  <w:style w:type="character" w:customStyle="1" w:styleId="340">
    <w:name w:val="正文文本 (4)"/>
    <w:autoRedefine/>
    <w:semiHidden/>
    <w:qFormat/>
    <w:uiPriority w:val="0"/>
    <w:rPr>
      <w:rFonts w:ascii="MingLiU" w:hAnsi="MingLiU" w:eastAsia="MingLiU" w:cs="MingLiU"/>
      <w:color w:val="000000"/>
      <w:spacing w:val="-20"/>
      <w:w w:val="100"/>
      <w:position w:val="0"/>
      <w:sz w:val="17"/>
      <w:szCs w:val="17"/>
      <w:u w:val="single"/>
      <w:shd w:val="clear" w:color="auto" w:fill="FFFFFF"/>
      <w:lang w:val="en-US"/>
    </w:rPr>
  </w:style>
  <w:style w:type="character" w:customStyle="1" w:styleId="341">
    <w:name w:val="font31"/>
    <w:autoRedefine/>
    <w:qFormat/>
    <w:uiPriority w:val="0"/>
    <w:rPr>
      <w:rFonts w:hint="eastAsia" w:ascii="宋体" w:hAnsi="宋体" w:eastAsia="宋体"/>
      <w:color w:val="000000"/>
      <w:sz w:val="21"/>
      <w:szCs w:val="21"/>
      <w:u w:val="none"/>
    </w:rPr>
  </w:style>
  <w:style w:type="character" w:customStyle="1" w:styleId="342">
    <w:name w:val="正文文本 (2)_"/>
    <w:link w:val="343"/>
    <w:autoRedefine/>
    <w:semiHidden/>
    <w:qFormat/>
    <w:uiPriority w:val="0"/>
    <w:rPr>
      <w:rFonts w:ascii="MingLiU" w:hAnsi="MingLiU" w:eastAsia="MingLiU" w:cs="MingLiU"/>
      <w:sz w:val="16"/>
      <w:szCs w:val="16"/>
      <w:shd w:val="clear" w:color="auto" w:fill="FFFFFF"/>
    </w:rPr>
  </w:style>
  <w:style w:type="paragraph" w:customStyle="1" w:styleId="343">
    <w:name w:val="正文文本 (2)"/>
    <w:basedOn w:val="1"/>
    <w:link w:val="342"/>
    <w:autoRedefine/>
    <w:semiHidden/>
    <w:qFormat/>
    <w:uiPriority w:val="0"/>
    <w:pPr>
      <w:widowControl/>
      <w:shd w:val="clear" w:color="auto" w:fill="FFFFFF"/>
      <w:spacing w:after="60" w:line="0" w:lineRule="atLeast"/>
      <w:ind w:firstLine="200" w:firstLineChars="200"/>
      <w:jc w:val="distribute"/>
    </w:pPr>
    <w:rPr>
      <w:rFonts w:ascii="MingLiU" w:hAnsi="MingLiU" w:eastAsia="MingLiU" w:cs="MingLiU"/>
      <w:sz w:val="16"/>
      <w:szCs w:val="16"/>
    </w:rPr>
  </w:style>
  <w:style w:type="character" w:customStyle="1" w:styleId="344">
    <w:name w:val="font81"/>
    <w:autoRedefine/>
    <w:qFormat/>
    <w:uiPriority w:val="0"/>
    <w:rPr>
      <w:rFonts w:hint="eastAsia" w:ascii="仿宋_GB2312" w:eastAsia="仿宋_GB2312"/>
      <w:color w:val="000000"/>
      <w:sz w:val="21"/>
      <w:szCs w:val="21"/>
      <w:u w:val="none"/>
      <w:vertAlign w:val="superscript"/>
    </w:rPr>
  </w:style>
  <w:style w:type="character" w:customStyle="1" w:styleId="345">
    <w:name w:val="图标标题B Char"/>
    <w:link w:val="346"/>
    <w:autoRedefine/>
    <w:qFormat/>
    <w:uiPriority w:val="0"/>
    <w:rPr>
      <w:rFonts w:ascii="黑体" w:hAnsi="宋体" w:eastAsia="黑体"/>
      <w:sz w:val="24"/>
    </w:rPr>
  </w:style>
  <w:style w:type="paragraph" w:customStyle="1" w:styleId="346">
    <w:name w:val="图标标题B"/>
    <w:basedOn w:val="1"/>
    <w:link w:val="345"/>
    <w:autoRedefine/>
    <w:qFormat/>
    <w:uiPriority w:val="0"/>
    <w:pPr>
      <w:spacing w:line="360" w:lineRule="auto"/>
      <w:ind w:right="210" w:rightChars="100" w:firstLine="240" w:firstLineChars="100"/>
      <w:jc w:val="center"/>
    </w:pPr>
    <w:rPr>
      <w:rFonts w:ascii="黑体" w:hAnsi="宋体" w:eastAsia="黑体"/>
      <w:sz w:val="24"/>
    </w:rPr>
  </w:style>
  <w:style w:type="character" w:customStyle="1" w:styleId="347">
    <w:name w:val="font41"/>
    <w:autoRedefine/>
    <w:qFormat/>
    <w:uiPriority w:val="0"/>
    <w:rPr>
      <w:rFonts w:hint="default" w:ascii="Calibri" w:hAnsi="Calibri"/>
      <w:color w:val="000000"/>
      <w:sz w:val="21"/>
      <w:szCs w:val="21"/>
      <w:u w:val="none"/>
    </w:rPr>
  </w:style>
  <w:style w:type="character" w:customStyle="1" w:styleId="348">
    <w:name w:val="环小四说明 Char"/>
    <w:link w:val="349"/>
    <w:autoRedefine/>
    <w:qFormat/>
    <w:uiPriority w:val="0"/>
    <w:rPr>
      <w:rFonts w:ascii="宋体" w:hAnsi="宋体"/>
      <w:snapToGrid w:val="0"/>
      <w:color w:val="3366FF"/>
      <w:sz w:val="24"/>
      <w:szCs w:val="24"/>
    </w:rPr>
  </w:style>
  <w:style w:type="paragraph" w:customStyle="1" w:styleId="349">
    <w:name w:val="环小四说明"/>
    <w:link w:val="348"/>
    <w:autoRedefine/>
    <w:qFormat/>
    <w:uiPriority w:val="0"/>
    <w:pPr>
      <w:widowControl w:val="0"/>
      <w:ind w:firstLine="480" w:firstLineChars="200"/>
      <w:jc w:val="both"/>
    </w:pPr>
    <w:rPr>
      <w:rFonts w:ascii="宋体" w:hAnsi="宋体" w:eastAsiaTheme="minorEastAsia" w:cstheme="minorBidi"/>
      <w:snapToGrid w:val="0"/>
      <w:color w:val="3366FF"/>
      <w:kern w:val="2"/>
      <w:sz w:val="24"/>
      <w:szCs w:val="24"/>
      <w:lang w:val="en-US" w:eastAsia="zh-CN" w:bidi="ar-SA"/>
    </w:rPr>
  </w:style>
  <w:style w:type="character" w:customStyle="1" w:styleId="350">
    <w:name w:val="注释标题 Char1"/>
    <w:autoRedefine/>
    <w:semiHidden/>
    <w:qFormat/>
    <w:uiPriority w:val="99"/>
    <w:rPr>
      <w:rFonts w:ascii="Times New Roman" w:hAnsi="Times New Roman" w:eastAsia="宋体" w:cs="Times New Roman"/>
      <w:szCs w:val="24"/>
    </w:rPr>
  </w:style>
  <w:style w:type="character" w:customStyle="1" w:styleId="351">
    <w:name w:val="报告正文 Char"/>
    <w:autoRedefine/>
    <w:qFormat/>
    <w:uiPriority w:val="0"/>
    <w:rPr>
      <w:rFonts w:ascii="宋体" w:eastAsia="宋体"/>
      <w:kern w:val="2"/>
      <w:sz w:val="28"/>
      <w:lang w:val="en-US" w:eastAsia="zh-CN" w:bidi="ar-SA"/>
    </w:rPr>
  </w:style>
  <w:style w:type="character" w:customStyle="1" w:styleId="352">
    <w:name w:val="headline-content2"/>
    <w:autoRedefine/>
    <w:qFormat/>
    <w:uiPriority w:val="0"/>
  </w:style>
  <w:style w:type="character" w:customStyle="1" w:styleId="353">
    <w:name w:val="表格文字 Char"/>
    <w:link w:val="354"/>
    <w:autoRedefine/>
    <w:qFormat/>
    <w:uiPriority w:val="99"/>
    <w:rPr>
      <w:szCs w:val="21"/>
    </w:rPr>
  </w:style>
  <w:style w:type="paragraph" w:customStyle="1" w:styleId="354">
    <w:name w:val="表格文字"/>
    <w:basedOn w:val="1"/>
    <w:link w:val="353"/>
    <w:autoRedefine/>
    <w:qFormat/>
    <w:uiPriority w:val="99"/>
    <w:pPr>
      <w:adjustRightInd w:val="0"/>
      <w:snapToGrid w:val="0"/>
      <w:spacing w:line="400" w:lineRule="exact"/>
      <w:ind w:firstLine="200" w:firstLineChars="200"/>
      <w:jc w:val="center"/>
    </w:pPr>
    <w:rPr>
      <w:szCs w:val="21"/>
    </w:rPr>
  </w:style>
  <w:style w:type="character" w:customStyle="1" w:styleId="355">
    <w:name w:val="16"/>
    <w:autoRedefine/>
    <w:qFormat/>
    <w:uiPriority w:val="0"/>
    <w:rPr>
      <w:rFonts w:hint="default" w:ascii="Times New Roman" w:hAnsi="Times New Roman" w:cs="Times New Roman"/>
    </w:rPr>
  </w:style>
  <w:style w:type="character" w:customStyle="1" w:styleId="356">
    <w:name w:val="表格编号 Char"/>
    <w:link w:val="357"/>
    <w:autoRedefine/>
    <w:semiHidden/>
    <w:qFormat/>
    <w:locked/>
    <w:uiPriority w:val="0"/>
    <w:rPr>
      <w:rFonts w:ascii="Calibri" w:hAnsi="Calibri" w:cs="Arial"/>
      <w:b/>
      <w:szCs w:val="21"/>
      <w:lang w:val="zh-CN"/>
    </w:rPr>
  </w:style>
  <w:style w:type="paragraph" w:customStyle="1" w:styleId="357">
    <w:name w:val="表格编号"/>
    <w:basedOn w:val="1"/>
    <w:link w:val="356"/>
    <w:autoRedefine/>
    <w:semiHidden/>
    <w:qFormat/>
    <w:uiPriority w:val="0"/>
    <w:pPr>
      <w:keepNext/>
      <w:widowControl/>
      <w:wordWrap w:val="0"/>
      <w:adjustRightInd w:val="0"/>
      <w:snapToGrid w:val="0"/>
      <w:spacing w:line="360" w:lineRule="auto"/>
      <w:ind w:firstLine="200" w:firstLineChars="200"/>
      <w:jc w:val="right"/>
    </w:pPr>
    <w:rPr>
      <w:rFonts w:ascii="Calibri" w:hAnsi="Calibri" w:cs="Arial"/>
      <w:b/>
      <w:szCs w:val="21"/>
      <w:lang w:val="zh-CN"/>
    </w:rPr>
  </w:style>
  <w:style w:type="character" w:customStyle="1" w:styleId="358">
    <w:name w:val="B图表 Char"/>
    <w:link w:val="359"/>
    <w:autoRedefine/>
    <w:qFormat/>
    <w:uiPriority w:val="0"/>
    <w:rPr>
      <w:rFonts w:ascii="宋体" w:hAnsi="宋体"/>
      <w:sz w:val="28"/>
      <w:szCs w:val="28"/>
    </w:rPr>
  </w:style>
  <w:style w:type="paragraph" w:customStyle="1" w:styleId="359">
    <w:name w:val="B图表"/>
    <w:basedOn w:val="1"/>
    <w:link w:val="358"/>
    <w:autoRedefine/>
    <w:qFormat/>
    <w:uiPriority w:val="0"/>
    <w:pPr>
      <w:spacing w:line="360" w:lineRule="auto"/>
      <w:ind w:left="240" w:leftChars="100" w:right="240" w:rightChars="100" w:firstLine="560" w:firstLineChars="200"/>
      <w:jc w:val="center"/>
    </w:pPr>
    <w:rPr>
      <w:rFonts w:ascii="宋体" w:hAnsi="宋体"/>
      <w:sz w:val="28"/>
      <w:szCs w:val="28"/>
    </w:rPr>
  </w:style>
  <w:style w:type="character" w:customStyle="1" w:styleId="360">
    <w:name w:val="font91"/>
    <w:autoRedefine/>
    <w:qFormat/>
    <w:uiPriority w:val="0"/>
    <w:rPr>
      <w:rFonts w:hint="default" w:ascii="Times New Roman" w:hAnsi="Times New Roman" w:cs="Times New Roman"/>
      <w:color w:val="000000"/>
      <w:sz w:val="21"/>
      <w:szCs w:val="21"/>
      <w:u w:val="none"/>
      <w:vertAlign w:val="superscript"/>
    </w:rPr>
  </w:style>
  <w:style w:type="character" w:customStyle="1" w:styleId="361">
    <w:name w:val="样式 正文缩进 + (西文) Arial 小四 Char"/>
    <w:autoRedefine/>
    <w:qFormat/>
    <w:uiPriority w:val="0"/>
    <w:rPr>
      <w:rFonts w:eastAsia="宋体"/>
      <w:kern w:val="2"/>
      <w:sz w:val="28"/>
      <w:lang w:val="en-US" w:eastAsia="zh-CN" w:bidi="ar-SA"/>
    </w:rPr>
  </w:style>
  <w:style w:type="character" w:customStyle="1" w:styleId="362">
    <w:name w:val="H正文 Char"/>
    <w:link w:val="363"/>
    <w:autoRedefine/>
    <w:semiHidden/>
    <w:qFormat/>
    <w:locked/>
    <w:uiPriority w:val="0"/>
    <w:rPr>
      <w:rFonts w:ascii="宋体" w:hAnsi="宋体"/>
      <w:sz w:val="28"/>
      <w:szCs w:val="28"/>
    </w:rPr>
  </w:style>
  <w:style w:type="paragraph" w:customStyle="1" w:styleId="363">
    <w:name w:val="H正文"/>
    <w:basedOn w:val="1"/>
    <w:link w:val="362"/>
    <w:autoRedefine/>
    <w:semiHidden/>
    <w:qFormat/>
    <w:uiPriority w:val="0"/>
    <w:pPr>
      <w:widowControl/>
      <w:spacing w:line="360" w:lineRule="auto"/>
      <w:ind w:firstLine="200" w:firstLineChars="200"/>
      <w:jc w:val="left"/>
    </w:pPr>
    <w:rPr>
      <w:rFonts w:ascii="宋体" w:hAnsi="宋体"/>
      <w:sz w:val="28"/>
      <w:szCs w:val="28"/>
    </w:rPr>
  </w:style>
  <w:style w:type="character" w:customStyle="1" w:styleId="364">
    <w:name w:val="表头 Char"/>
    <w:link w:val="365"/>
    <w:autoRedefine/>
    <w:qFormat/>
    <w:uiPriority w:val="0"/>
    <w:rPr>
      <w:rFonts w:ascii="黑体" w:eastAsia="黑体"/>
      <w:sz w:val="24"/>
      <w:szCs w:val="28"/>
    </w:rPr>
  </w:style>
  <w:style w:type="paragraph" w:customStyle="1" w:styleId="365">
    <w:name w:val="表头"/>
    <w:basedOn w:val="1"/>
    <w:next w:val="366"/>
    <w:link w:val="364"/>
    <w:autoRedefine/>
    <w:qFormat/>
    <w:uiPriority w:val="0"/>
    <w:pPr>
      <w:suppressAutoHyphens/>
      <w:adjustRightInd w:val="0"/>
      <w:spacing w:before="240" w:after="120" w:line="360" w:lineRule="auto"/>
      <w:ind w:firstLine="200" w:firstLineChars="200"/>
      <w:jc w:val="center"/>
    </w:pPr>
    <w:rPr>
      <w:rFonts w:ascii="黑体" w:eastAsia="黑体"/>
      <w:sz w:val="24"/>
      <w:szCs w:val="28"/>
    </w:rPr>
  </w:style>
  <w:style w:type="paragraph" w:customStyle="1" w:styleId="366">
    <w:name w:val="表格"/>
    <w:basedOn w:val="1"/>
    <w:link w:val="367"/>
    <w:autoRedefine/>
    <w:qFormat/>
    <w:uiPriority w:val="0"/>
    <w:pPr>
      <w:adjustRightInd w:val="0"/>
      <w:spacing w:line="360" w:lineRule="auto"/>
      <w:ind w:right="-40" w:rightChars="-40" w:firstLine="200" w:firstLineChars="200"/>
      <w:jc w:val="left"/>
      <w:textAlignment w:val="baseline"/>
    </w:pPr>
    <w:rPr>
      <w:rFonts w:ascii="TIME" w:hAnsi="TIME" w:eastAsia="宋体" w:cs="Times New Roman"/>
      <w:szCs w:val="20"/>
    </w:rPr>
  </w:style>
  <w:style w:type="character" w:customStyle="1" w:styleId="367">
    <w:name w:val="表格 Char"/>
    <w:link w:val="366"/>
    <w:autoRedefine/>
    <w:qFormat/>
    <w:uiPriority w:val="0"/>
    <w:rPr>
      <w:rFonts w:ascii="TIME" w:hAnsi="TIME" w:eastAsia="宋体" w:cs="Times New Roman"/>
      <w:szCs w:val="20"/>
    </w:rPr>
  </w:style>
  <w:style w:type="character" w:customStyle="1" w:styleId="368">
    <w:name w:val="标题2T Char"/>
    <w:link w:val="369"/>
    <w:autoRedefine/>
    <w:qFormat/>
    <w:uiPriority w:val="0"/>
    <w:rPr>
      <w:sz w:val="28"/>
      <w:szCs w:val="24"/>
    </w:rPr>
  </w:style>
  <w:style w:type="paragraph" w:customStyle="1" w:styleId="369">
    <w:name w:val="标题2T"/>
    <w:basedOn w:val="1"/>
    <w:next w:val="1"/>
    <w:link w:val="368"/>
    <w:autoRedefine/>
    <w:qFormat/>
    <w:uiPriority w:val="0"/>
    <w:pPr>
      <w:keepNext/>
      <w:keepLines/>
      <w:adjustRightInd w:val="0"/>
      <w:snapToGrid w:val="0"/>
      <w:spacing w:beforeLines="50" w:afterLines="50" w:line="440" w:lineRule="exact"/>
      <w:ind w:firstLine="480" w:firstLineChars="200"/>
      <w:jc w:val="center"/>
      <w:outlineLvl w:val="0"/>
    </w:pPr>
    <w:rPr>
      <w:sz w:val="28"/>
      <w:szCs w:val="24"/>
    </w:rPr>
  </w:style>
  <w:style w:type="character" w:customStyle="1" w:styleId="370">
    <w:name w:val="正文文本 + 4.5 pt"/>
    <w:autoRedefine/>
    <w:semiHidden/>
    <w:qFormat/>
    <w:uiPriority w:val="0"/>
    <w:rPr>
      <w:rFonts w:ascii="MingLiU" w:hAnsi="MingLiU" w:eastAsia="MingLiU" w:cs="MingLiU"/>
      <w:color w:val="000000"/>
      <w:spacing w:val="0"/>
      <w:w w:val="100"/>
      <w:position w:val="0"/>
      <w:sz w:val="9"/>
      <w:szCs w:val="9"/>
      <w:u w:val="none"/>
      <w:shd w:val="clear" w:color="auto" w:fill="FFFFFF"/>
    </w:rPr>
  </w:style>
  <w:style w:type="character" w:customStyle="1" w:styleId="371">
    <w:name w:val="表格字 Char"/>
    <w:link w:val="372"/>
    <w:autoRedefine/>
    <w:qFormat/>
    <w:uiPriority w:val="0"/>
    <w:rPr>
      <w:rFonts w:ascii="宋体" w:hAnsi="宋体" w:cs="宋体"/>
      <w:sz w:val="18"/>
      <w:szCs w:val="21"/>
    </w:rPr>
  </w:style>
  <w:style w:type="paragraph" w:customStyle="1" w:styleId="372">
    <w:name w:val="表格字"/>
    <w:basedOn w:val="1"/>
    <w:link w:val="371"/>
    <w:autoRedefine/>
    <w:qFormat/>
    <w:uiPriority w:val="0"/>
    <w:pPr>
      <w:widowControl/>
      <w:spacing w:line="240" w:lineRule="exact"/>
      <w:ind w:firstLine="200" w:firstLineChars="200"/>
      <w:jc w:val="center"/>
    </w:pPr>
    <w:rPr>
      <w:rFonts w:ascii="宋体" w:hAnsi="宋体" w:cs="宋体"/>
      <w:sz w:val="18"/>
      <w:szCs w:val="21"/>
    </w:rPr>
  </w:style>
  <w:style w:type="character" w:customStyle="1" w:styleId="373">
    <w:name w:val="headline-content4"/>
    <w:autoRedefine/>
    <w:qFormat/>
    <w:uiPriority w:val="0"/>
  </w:style>
  <w:style w:type="character" w:customStyle="1" w:styleId="374">
    <w:name w:val="电子邮件签名 Char1"/>
    <w:autoRedefine/>
    <w:semiHidden/>
    <w:qFormat/>
    <w:uiPriority w:val="99"/>
    <w:rPr>
      <w:rFonts w:ascii="Times New Roman" w:hAnsi="Times New Roman" w:eastAsia="宋体" w:cs="Times New Roman"/>
      <w:szCs w:val="24"/>
    </w:rPr>
  </w:style>
  <w:style w:type="character" w:customStyle="1" w:styleId="375">
    <w:name w:val="表格标题 (7)_"/>
    <w:link w:val="376"/>
    <w:autoRedefine/>
    <w:semiHidden/>
    <w:qFormat/>
    <w:uiPriority w:val="0"/>
    <w:rPr>
      <w:rFonts w:ascii="MingLiU" w:hAnsi="MingLiU" w:eastAsia="MingLiU" w:cs="MingLiU"/>
      <w:sz w:val="16"/>
      <w:szCs w:val="16"/>
      <w:shd w:val="clear" w:color="auto" w:fill="FFFFFF"/>
    </w:rPr>
  </w:style>
  <w:style w:type="paragraph" w:customStyle="1" w:styleId="376">
    <w:name w:val="表格标题 (7)"/>
    <w:basedOn w:val="1"/>
    <w:link w:val="375"/>
    <w:autoRedefine/>
    <w:semiHidden/>
    <w:qFormat/>
    <w:uiPriority w:val="0"/>
    <w:pPr>
      <w:widowControl/>
      <w:shd w:val="clear" w:color="auto" w:fill="FFFFFF"/>
      <w:spacing w:line="0" w:lineRule="atLeast"/>
      <w:ind w:firstLine="200" w:firstLineChars="200"/>
      <w:jc w:val="left"/>
    </w:pPr>
    <w:rPr>
      <w:rFonts w:ascii="MingLiU" w:hAnsi="MingLiU" w:eastAsia="MingLiU" w:cs="MingLiU"/>
      <w:sz w:val="16"/>
      <w:szCs w:val="16"/>
    </w:rPr>
  </w:style>
  <w:style w:type="character" w:customStyle="1" w:styleId="377">
    <w:name w:val="c1653_date"/>
    <w:autoRedefine/>
    <w:qFormat/>
    <w:uiPriority w:val="0"/>
  </w:style>
  <w:style w:type="character" w:customStyle="1" w:styleId="378">
    <w:name w:val="text_edit"/>
    <w:autoRedefine/>
    <w:qFormat/>
    <w:uiPriority w:val="0"/>
  </w:style>
  <w:style w:type="character" w:customStyle="1" w:styleId="379">
    <w:name w:val="font121"/>
    <w:autoRedefine/>
    <w:qFormat/>
    <w:uiPriority w:val="0"/>
    <w:rPr>
      <w:rFonts w:hint="default" w:ascii="Times New Roman" w:hAnsi="Times New Roman" w:cs="Times New Roman"/>
      <w:color w:val="000000"/>
      <w:sz w:val="21"/>
      <w:szCs w:val="21"/>
      <w:u w:val="none"/>
      <w:vertAlign w:val="superscript"/>
    </w:rPr>
  </w:style>
  <w:style w:type="character" w:customStyle="1" w:styleId="380">
    <w:name w:val="标2 Char"/>
    <w:autoRedefine/>
    <w:qFormat/>
    <w:uiPriority w:val="0"/>
    <w:rPr>
      <w:rFonts w:ascii="楷体_GB2312" w:hAnsi="宋体" w:eastAsia="楷体_GB2312" w:cs="Arial"/>
      <w:b/>
      <w:bCs/>
      <w:snapToGrid/>
      <w:color w:val="000000"/>
      <w:kern w:val="2"/>
      <w:sz w:val="21"/>
      <w:szCs w:val="28"/>
    </w:rPr>
  </w:style>
  <w:style w:type="character" w:customStyle="1" w:styleId="381">
    <w:name w:val="font51"/>
    <w:autoRedefine/>
    <w:qFormat/>
    <w:uiPriority w:val="0"/>
    <w:rPr>
      <w:rFonts w:hint="default" w:ascii="Times New Roman" w:hAnsi="Times New Roman" w:cs="Times New Roman"/>
      <w:color w:val="000000"/>
      <w:sz w:val="21"/>
      <w:szCs w:val="21"/>
      <w:u w:val="none"/>
      <w:vertAlign w:val="superscript"/>
    </w:rPr>
  </w:style>
  <w:style w:type="character" w:customStyle="1" w:styleId="382">
    <w:name w:val="W表头 Char"/>
    <w:link w:val="383"/>
    <w:autoRedefine/>
    <w:semiHidden/>
    <w:qFormat/>
    <w:uiPriority w:val="0"/>
    <w:rPr>
      <w:rFonts w:ascii="Arial" w:hAnsi="宋体"/>
      <w:b/>
      <w:caps/>
      <w:color w:val="000000"/>
      <w:kern w:val="28"/>
      <w:sz w:val="28"/>
      <w:szCs w:val="28"/>
    </w:rPr>
  </w:style>
  <w:style w:type="paragraph" w:customStyle="1" w:styleId="383">
    <w:name w:val="W表头"/>
    <w:basedOn w:val="1"/>
    <w:link w:val="382"/>
    <w:autoRedefine/>
    <w:semiHidden/>
    <w:qFormat/>
    <w:uiPriority w:val="0"/>
    <w:pPr>
      <w:spacing w:line="360" w:lineRule="auto"/>
      <w:ind w:firstLine="200" w:firstLineChars="200"/>
    </w:pPr>
    <w:rPr>
      <w:rFonts w:ascii="Arial" w:hAnsi="宋体"/>
      <w:b/>
      <w:caps/>
      <w:color w:val="000000"/>
      <w:kern w:val="28"/>
      <w:sz w:val="28"/>
      <w:szCs w:val="28"/>
    </w:rPr>
  </w:style>
  <w:style w:type="character" w:customStyle="1" w:styleId="384">
    <w:name w:val="内容 Char"/>
    <w:link w:val="385"/>
    <w:autoRedefine/>
    <w:qFormat/>
    <w:uiPriority w:val="0"/>
    <w:rPr>
      <w:bCs/>
      <w:sz w:val="24"/>
      <w:szCs w:val="24"/>
    </w:rPr>
  </w:style>
  <w:style w:type="paragraph" w:customStyle="1" w:styleId="385">
    <w:name w:val="内容"/>
    <w:basedOn w:val="1"/>
    <w:link w:val="384"/>
    <w:autoRedefine/>
    <w:qFormat/>
    <w:uiPriority w:val="0"/>
    <w:pPr>
      <w:snapToGrid w:val="0"/>
      <w:spacing w:line="336" w:lineRule="auto"/>
      <w:ind w:firstLine="480" w:firstLineChars="200"/>
      <w:textAlignment w:val="baseline"/>
    </w:pPr>
    <w:rPr>
      <w:bCs/>
      <w:sz w:val="24"/>
      <w:szCs w:val="24"/>
    </w:rPr>
  </w:style>
  <w:style w:type="character" w:customStyle="1" w:styleId="386">
    <w:name w:val="正文文字缩进 Char Char"/>
    <w:autoRedefine/>
    <w:qFormat/>
    <w:uiPriority w:val="0"/>
    <w:rPr>
      <w:rFonts w:ascii="宋体" w:eastAsia="宋体"/>
      <w:kern w:val="2"/>
      <w:sz w:val="24"/>
      <w:lang w:val="en-US" w:eastAsia="zh-CN" w:bidi="ar-SA"/>
    </w:rPr>
  </w:style>
  <w:style w:type="character" w:customStyle="1" w:styleId="387">
    <w:name w:val="B图表标题 Char"/>
    <w:link w:val="388"/>
    <w:autoRedefine/>
    <w:qFormat/>
    <w:uiPriority w:val="0"/>
    <w:rPr>
      <w:rFonts w:ascii="宋体" w:hAnsi="宋体"/>
      <w:sz w:val="28"/>
      <w:szCs w:val="28"/>
    </w:rPr>
  </w:style>
  <w:style w:type="paragraph" w:customStyle="1" w:styleId="388">
    <w:name w:val="B图表标题"/>
    <w:basedOn w:val="1"/>
    <w:link w:val="387"/>
    <w:autoRedefine/>
    <w:qFormat/>
    <w:uiPriority w:val="0"/>
    <w:pPr>
      <w:adjustRightInd w:val="0"/>
      <w:snapToGrid w:val="0"/>
      <w:spacing w:line="360" w:lineRule="auto"/>
      <w:ind w:left="240" w:leftChars="100" w:right="240" w:rightChars="100" w:firstLine="482" w:firstLineChars="200"/>
      <w:jc w:val="center"/>
    </w:pPr>
    <w:rPr>
      <w:rFonts w:ascii="宋体" w:hAnsi="宋体"/>
      <w:sz w:val="28"/>
      <w:szCs w:val="28"/>
    </w:rPr>
  </w:style>
  <w:style w:type="character" w:customStyle="1" w:styleId="389">
    <w:name w:val="c1653_title"/>
    <w:autoRedefine/>
    <w:qFormat/>
    <w:uiPriority w:val="0"/>
  </w:style>
  <w:style w:type="character" w:customStyle="1" w:styleId="390">
    <w:name w:val="样式 样式 文本正文 + (符号) Times New Roman + 首行缩进:  2 字符 Char"/>
    <w:link w:val="391"/>
    <w:autoRedefine/>
    <w:qFormat/>
    <w:locked/>
    <w:uiPriority w:val="0"/>
    <w:rPr>
      <w:sz w:val="24"/>
      <w:szCs w:val="24"/>
    </w:rPr>
  </w:style>
  <w:style w:type="paragraph" w:customStyle="1" w:styleId="391">
    <w:name w:val="样式 样式 文本正文 + (符号) Times New Roman + 首行缩进:  2 字符"/>
    <w:basedOn w:val="1"/>
    <w:link w:val="390"/>
    <w:autoRedefine/>
    <w:qFormat/>
    <w:uiPriority w:val="0"/>
    <w:pPr>
      <w:spacing w:line="500" w:lineRule="exact"/>
      <w:ind w:firstLine="480" w:firstLineChars="200"/>
      <w:jc w:val="left"/>
    </w:pPr>
    <w:rPr>
      <w:sz w:val="24"/>
      <w:szCs w:val="24"/>
    </w:rPr>
  </w:style>
  <w:style w:type="character" w:customStyle="1" w:styleId="392">
    <w:name w:val="正文文本 + 4 pt"/>
    <w:autoRedefine/>
    <w:semiHidden/>
    <w:qFormat/>
    <w:uiPriority w:val="0"/>
    <w:rPr>
      <w:rFonts w:ascii="MingLiU" w:hAnsi="MingLiU" w:eastAsia="MingLiU" w:cs="MingLiU"/>
      <w:color w:val="000000"/>
      <w:spacing w:val="0"/>
      <w:w w:val="100"/>
      <w:position w:val="0"/>
      <w:sz w:val="8"/>
      <w:szCs w:val="8"/>
      <w:shd w:val="clear" w:color="auto" w:fill="FFFFFF"/>
    </w:rPr>
  </w:style>
  <w:style w:type="character" w:customStyle="1" w:styleId="393">
    <w:name w:val="环 内容 Char"/>
    <w:link w:val="394"/>
    <w:autoRedefine/>
    <w:qFormat/>
    <w:uiPriority w:val="0"/>
    <w:rPr>
      <w:rFonts w:ascii="宋体" w:hAnsi="宋体"/>
      <w:sz w:val="24"/>
      <w:szCs w:val="24"/>
    </w:rPr>
  </w:style>
  <w:style w:type="paragraph" w:customStyle="1" w:styleId="394">
    <w:name w:val="环 内容"/>
    <w:basedOn w:val="1"/>
    <w:link w:val="393"/>
    <w:autoRedefine/>
    <w:qFormat/>
    <w:uiPriority w:val="0"/>
    <w:pPr>
      <w:spacing w:line="500" w:lineRule="exact"/>
      <w:ind w:firstLine="480" w:firstLineChars="200"/>
    </w:pPr>
    <w:rPr>
      <w:rFonts w:ascii="宋体" w:hAnsi="宋体"/>
      <w:sz w:val="24"/>
      <w:szCs w:val="24"/>
    </w:rPr>
  </w:style>
  <w:style w:type="character" w:customStyle="1" w:styleId="395">
    <w:name w:val="正文11111111111111111111 Char"/>
    <w:link w:val="396"/>
    <w:autoRedefine/>
    <w:qFormat/>
    <w:locked/>
    <w:uiPriority w:val="0"/>
    <w:rPr>
      <w:rFonts w:ascii="仿宋_GB2312" w:hAnsi="宋体"/>
      <w:sz w:val="24"/>
      <w:szCs w:val="24"/>
    </w:rPr>
  </w:style>
  <w:style w:type="paragraph" w:customStyle="1" w:styleId="396">
    <w:name w:val="正文11111111111111111111"/>
    <w:basedOn w:val="1"/>
    <w:link w:val="395"/>
    <w:autoRedefine/>
    <w:qFormat/>
    <w:uiPriority w:val="0"/>
    <w:pPr>
      <w:spacing w:line="360" w:lineRule="auto"/>
      <w:ind w:firstLine="480" w:firstLineChars="200"/>
      <w:jc w:val="right"/>
    </w:pPr>
    <w:rPr>
      <w:rFonts w:ascii="仿宋_GB2312" w:hAnsi="宋体"/>
      <w:sz w:val="24"/>
      <w:szCs w:val="24"/>
    </w:rPr>
  </w:style>
  <w:style w:type="character" w:customStyle="1" w:styleId="397">
    <w:name w:val="正文文本最新 Char Char Char Char1 Char Char Char Char Char Char1 Char Char"/>
    <w:link w:val="398"/>
    <w:autoRedefine/>
    <w:qFormat/>
    <w:uiPriority w:val="0"/>
    <w:rPr>
      <w:bCs/>
      <w:sz w:val="28"/>
      <w:szCs w:val="24"/>
    </w:rPr>
  </w:style>
  <w:style w:type="paragraph" w:customStyle="1" w:styleId="398">
    <w:name w:val="正文文本最新 Char Char Char Char1 Char Char Char Char Char Char1"/>
    <w:basedOn w:val="1"/>
    <w:link w:val="397"/>
    <w:autoRedefine/>
    <w:qFormat/>
    <w:uiPriority w:val="0"/>
    <w:pPr>
      <w:spacing w:line="360" w:lineRule="auto"/>
      <w:ind w:firstLine="200" w:firstLineChars="200"/>
    </w:pPr>
    <w:rPr>
      <w:bCs/>
      <w:sz w:val="28"/>
      <w:szCs w:val="24"/>
    </w:rPr>
  </w:style>
  <w:style w:type="character" w:customStyle="1" w:styleId="399">
    <w:name w:val="表格标题_"/>
    <w:link w:val="400"/>
    <w:autoRedefine/>
    <w:qFormat/>
    <w:uiPriority w:val="0"/>
    <w:rPr>
      <w:rFonts w:ascii="MingLiU" w:hAnsi="MingLiU" w:eastAsia="MingLiU" w:cs="MingLiU"/>
      <w:w w:val="60"/>
      <w:sz w:val="16"/>
      <w:szCs w:val="16"/>
      <w:shd w:val="clear" w:color="auto" w:fill="FFFFFF"/>
    </w:rPr>
  </w:style>
  <w:style w:type="paragraph" w:customStyle="1" w:styleId="400">
    <w:name w:val="表格标题"/>
    <w:basedOn w:val="1"/>
    <w:link w:val="399"/>
    <w:autoRedefine/>
    <w:qFormat/>
    <w:uiPriority w:val="0"/>
    <w:pPr>
      <w:widowControl/>
      <w:shd w:val="clear" w:color="auto" w:fill="FFFFFF"/>
      <w:spacing w:line="0" w:lineRule="atLeast"/>
      <w:ind w:firstLine="200" w:firstLineChars="200"/>
      <w:jc w:val="left"/>
    </w:pPr>
    <w:rPr>
      <w:rFonts w:ascii="MingLiU" w:hAnsi="MingLiU" w:eastAsia="MingLiU" w:cs="MingLiU"/>
      <w:w w:val="60"/>
      <w:sz w:val="16"/>
      <w:szCs w:val="16"/>
    </w:rPr>
  </w:style>
  <w:style w:type="character" w:customStyle="1" w:styleId="401">
    <w:name w:val="表格标题 (2) + 5 pt"/>
    <w:autoRedefine/>
    <w:semiHidden/>
    <w:qFormat/>
    <w:uiPriority w:val="0"/>
    <w:rPr>
      <w:rFonts w:ascii="MingLiU" w:hAnsi="MingLiU" w:eastAsia="MingLiU" w:cs="MingLiU"/>
      <w:color w:val="000000"/>
      <w:spacing w:val="0"/>
      <w:w w:val="100"/>
      <w:position w:val="0"/>
      <w:sz w:val="10"/>
      <w:szCs w:val="10"/>
      <w:u w:val="none"/>
    </w:rPr>
  </w:style>
  <w:style w:type="character" w:customStyle="1" w:styleId="402">
    <w:name w:val="样式 正文缩进 + 小三 Char Char Char"/>
    <w:autoRedefine/>
    <w:qFormat/>
    <w:uiPriority w:val="0"/>
    <w:rPr>
      <w:rFonts w:ascii="宋体" w:hAnsi="宋体" w:eastAsia="宋体" w:cs="宋体-18030"/>
      <w:spacing w:val="4"/>
      <w:kern w:val="2"/>
      <w:sz w:val="30"/>
      <w:lang w:val="en-US" w:eastAsia="zh-CN" w:bidi="ar-SA"/>
    </w:rPr>
  </w:style>
  <w:style w:type="character" w:customStyle="1" w:styleId="403">
    <w:name w:val="even Char Char"/>
    <w:autoRedefine/>
    <w:qFormat/>
    <w:locked/>
    <w:uiPriority w:val="0"/>
    <w:rPr>
      <w:rFonts w:cs="Times New Roman"/>
      <w:kern w:val="2"/>
      <w:sz w:val="18"/>
      <w:szCs w:val="18"/>
    </w:rPr>
  </w:style>
  <w:style w:type="character" w:customStyle="1" w:styleId="404">
    <w:name w:val="公正文 Char"/>
    <w:link w:val="405"/>
    <w:autoRedefine/>
    <w:qFormat/>
    <w:uiPriority w:val="0"/>
    <w:rPr>
      <w:rFonts w:ascii="宋体" w:hAnsi="宋体" w:eastAsia="仿宋_GB2312"/>
      <w:sz w:val="28"/>
      <w:szCs w:val="21"/>
    </w:rPr>
  </w:style>
  <w:style w:type="paragraph" w:customStyle="1" w:styleId="405">
    <w:name w:val="公正文"/>
    <w:basedOn w:val="1"/>
    <w:link w:val="404"/>
    <w:autoRedefine/>
    <w:qFormat/>
    <w:uiPriority w:val="0"/>
    <w:pPr>
      <w:adjustRightInd w:val="0"/>
      <w:snapToGrid w:val="0"/>
      <w:spacing w:line="355" w:lineRule="auto"/>
      <w:ind w:firstLine="200" w:firstLineChars="200"/>
      <w:jc w:val="center"/>
    </w:pPr>
    <w:rPr>
      <w:rFonts w:ascii="宋体" w:hAnsi="宋体" w:eastAsia="仿宋_GB2312"/>
      <w:sz w:val="28"/>
      <w:szCs w:val="21"/>
    </w:rPr>
  </w:style>
  <w:style w:type="character" w:customStyle="1" w:styleId="406">
    <w:name w:val="环 表题 Char"/>
    <w:link w:val="407"/>
    <w:autoRedefine/>
    <w:semiHidden/>
    <w:qFormat/>
    <w:uiPriority w:val="0"/>
    <w:rPr>
      <w:rFonts w:ascii="宋体" w:hAnsi="Calibri" w:cs="Arial"/>
      <w:b/>
      <w:sz w:val="24"/>
    </w:rPr>
  </w:style>
  <w:style w:type="paragraph" w:customStyle="1" w:styleId="407">
    <w:name w:val="环 表题"/>
    <w:basedOn w:val="1"/>
    <w:link w:val="406"/>
    <w:autoRedefine/>
    <w:semiHidden/>
    <w:qFormat/>
    <w:uiPriority w:val="0"/>
    <w:pPr>
      <w:widowControl/>
      <w:wordWrap w:val="0"/>
      <w:spacing w:line="360" w:lineRule="auto"/>
      <w:ind w:firstLine="200" w:firstLineChars="200"/>
      <w:jc w:val="center"/>
    </w:pPr>
    <w:rPr>
      <w:rFonts w:ascii="宋体" w:hAnsi="Calibri" w:cs="Arial"/>
      <w:b/>
      <w:sz w:val="24"/>
    </w:rPr>
  </w:style>
  <w:style w:type="character" w:customStyle="1" w:styleId="408">
    <w:name w:val="zhang222222 Char"/>
    <w:link w:val="409"/>
    <w:autoRedefine/>
    <w:qFormat/>
    <w:locked/>
    <w:uiPriority w:val="0"/>
    <w:rPr>
      <w:rFonts w:ascii="黑体" w:eastAsia="黑体"/>
      <w:color w:val="FF0000"/>
      <w:sz w:val="30"/>
      <w:szCs w:val="30"/>
    </w:rPr>
  </w:style>
  <w:style w:type="paragraph" w:customStyle="1" w:styleId="409">
    <w:name w:val="zhang222222"/>
    <w:basedOn w:val="4"/>
    <w:link w:val="408"/>
    <w:autoRedefine/>
    <w:qFormat/>
    <w:uiPriority w:val="0"/>
    <w:pPr>
      <w:tabs>
        <w:tab w:val="left" w:pos="5640"/>
      </w:tabs>
      <w:spacing w:before="0" w:after="0" w:line="360" w:lineRule="auto"/>
    </w:pPr>
    <w:rPr>
      <w:rFonts w:ascii="黑体" w:hAnsiTheme="minorHAnsi" w:cstheme="minorBidi"/>
      <w:bCs w:val="0"/>
      <w:color w:val="FF0000"/>
      <w:kern w:val="2"/>
    </w:rPr>
  </w:style>
  <w:style w:type="character" w:customStyle="1" w:styleId="410">
    <w:name w:val="称呼 Char1"/>
    <w:autoRedefine/>
    <w:semiHidden/>
    <w:qFormat/>
    <w:uiPriority w:val="99"/>
    <w:rPr>
      <w:rFonts w:ascii="Times New Roman" w:hAnsi="Times New Roman" w:eastAsia="宋体" w:cs="Times New Roman"/>
      <w:szCs w:val="24"/>
    </w:rPr>
  </w:style>
  <w:style w:type="character" w:customStyle="1" w:styleId="411">
    <w:name w:val="li-正文 Char1"/>
    <w:link w:val="412"/>
    <w:autoRedefine/>
    <w:qFormat/>
    <w:locked/>
    <w:uiPriority w:val="0"/>
    <w:rPr>
      <w:rFonts w:ascii="宋体" w:hAnsi="宋体" w:cs="宋体"/>
      <w:sz w:val="24"/>
    </w:rPr>
  </w:style>
  <w:style w:type="paragraph" w:customStyle="1" w:styleId="412">
    <w:name w:val="li-正文"/>
    <w:basedOn w:val="1"/>
    <w:link w:val="411"/>
    <w:autoRedefine/>
    <w:qFormat/>
    <w:uiPriority w:val="0"/>
    <w:pPr>
      <w:spacing w:line="360" w:lineRule="auto"/>
      <w:ind w:firstLine="480" w:firstLineChars="200"/>
    </w:pPr>
    <w:rPr>
      <w:rFonts w:ascii="宋体" w:hAnsi="宋体" w:cs="宋体"/>
      <w:sz w:val="24"/>
    </w:rPr>
  </w:style>
  <w:style w:type="character" w:customStyle="1" w:styleId="413">
    <w:name w:val="tit2"/>
    <w:autoRedefine/>
    <w:qFormat/>
    <w:uiPriority w:val="0"/>
    <w:rPr>
      <w:rFonts w:ascii="仿宋_GB2312" w:eastAsia="仿宋_GB2312"/>
      <w:b/>
      <w:bCs/>
      <w:kern w:val="2"/>
      <w:sz w:val="48"/>
      <w:szCs w:val="48"/>
      <w:lang w:val="en-US" w:eastAsia="zh-CN" w:bidi="ar-SA"/>
    </w:rPr>
  </w:style>
  <w:style w:type="character" w:customStyle="1" w:styleId="414">
    <w:name w:val="种描述标题"/>
    <w:autoRedefine/>
    <w:semiHidden/>
    <w:qFormat/>
    <w:uiPriority w:val="0"/>
    <w:rPr>
      <w:rFonts w:eastAsia="黑体"/>
      <w:color w:val="FF0000"/>
    </w:rPr>
  </w:style>
  <w:style w:type="character" w:customStyle="1" w:styleId="415">
    <w:name w:val="环小四图名 Char Char"/>
    <w:autoRedefine/>
    <w:qFormat/>
    <w:uiPriority w:val="99"/>
    <w:rPr>
      <w:rFonts w:ascii="宋体" w:hAnsi="宋体"/>
      <w:b/>
      <w:kern w:val="2"/>
      <w:sz w:val="21"/>
      <w:szCs w:val="21"/>
    </w:rPr>
  </w:style>
  <w:style w:type="character" w:customStyle="1" w:styleId="416">
    <w:name w:val="章标题 Char"/>
    <w:link w:val="417"/>
    <w:autoRedefine/>
    <w:qFormat/>
    <w:uiPriority w:val="0"/>
    <w:rPr>
      <w:rFonts w:ascii="黑体" w:eastAsia="黑体"/>
    </w:rPr>
  </w:style>
  <w:style w:type="paragraph" w:customStyle="1" w:styleId="417">
    <w:name w:val="章标题"/>
    <w:next w:val="1"/>
    <w:link w:val="416"/>
    <w:autoRedefine/>
    <w:qFormat/>
    <w:uiPriority w:val="0"/>
    <w:pPr>
      <w:spacing w:beforeLines="100" w:afterLines="100"/>
      <w:jc w:val="both"/>
      <w:outlineLvl w:val="1"/>
    </w:pPr>
    <w:rPr>
      <w:rFonts w:ascii="黑体" w:eastAsia="黑体" w:hAnsiTheme="minorHAnsi" w:cstheme="minorBidi"/>
      <w:kern w:val="2"/>
      <w:sz w:val="21"/>
      <w:szCs w:val="22"/>
      <w:lang w:val="en-US" w:eastAsia="zh-CN" w:bidi="ar-SA"/>
    </w:rPr>
  </w:style>
  <w:style w:type="character" w:customStyle="1" w:styleId="418">
    <w:name w:val="普通文字 Char1"/>
    <w:autoRedefine/>
    <w:qFormat/>
    <w:uiPriority w:val="0"/>
    <w:rPr>
      <w:rFonts w:ascii="宋体" w:hAnsi="Courier New" w:eastAsia="宋体" w:cs="Courier New"/>
      <w:kern w:val="2"/>
      <w:sz w:val="21"/>
      <w:szCs w:val="21"/>
      <w:lang w:val="en-US" w:eastAsia="zh-CN" w:bidi="ar-SA"/>
    </w:rPr>
  </w:style>
  <w:style w:type="character" w:customStyle="1" w:styleId="419">
    <w:name w:val="content1"/>
    <w:autoRedefine/>
    <w:semiHidden/>
    <w:qFormat/>
    <w:uiPriority w:val="0"/>
    <w:rPr>
      <w:rFonts w:hint="default" w:ascii="Tahoma" w:hAnsi="Tahoma" w:cs="Tahoma"/>
      <w:color w:val="640000"/>
      <w:spacing w:val="336"/>
      <w:w w:val="100"/>
      <w:sz w:val="28"/>
      <w:szCs w:val="28"/>
    </w:rPr>
  </w:style>
  <w:style w:type="character" w:styleId="420">
    <w:name w:val="Placeholder Text"/>
    <w:autoRedefine/>
    <w:semiHidden/>
    <w:qFormat/>
    <w:uiPriority w:val="99"/>
    <w:rPr>
      <w:color w:val="808080"/>
    </w:rPr>
  </w:style>
  <w:style w:type="character" w:customStyle="1" w:styleId="421">
    <w:name w:val="二线图表 Char"/>
    <w:link w:val="422"/>
    <w:autoRedefine/>
    <w:qFormat/>
    <w:uiPriority w:val="0"/>
    <w:rPr>
      <w:rFonts w:ascii="宋体" w:hAnsi="宋体"/>
      <w:sz w:val="28"/>
      <w:szCs w:val="28"/>
    </w:rPr>
  </w:style>
  <w:style w:type="paragraph" w:customStyle="1" w:styleId="422">
    <w:name w:val="二线图表"/>
    <w:basedOn w:val="1"/>
    <w:link w:val="421"/>
    <w:autoRedefine/>
    <w:qFormat/>
    <w:uiPriority w:val="0"/>
    <w:pPr>
      <w:spacing w:line="360" w:lineRule="auto"/>
      <w:ind w:firstLine="480" w:firstLineChars="200"/>
      <w:jc w:val="center"/>
    </w:pPr>
    <w:rPr>
      <w:rFonts w:ascii="宋体" w:hAnsi="宋体"/>
      <w:sz w:val="28"/>
      <w:szCs w:val="28"/>
    </w:rPr>
  </w:style>
  <w:style w:type="character" w:customStyle="1" w:styleId="423">
    <w:name w:val="表格标题 (2) + Angsana New"/>
    <w:autoRedefine/>
    <w:semiHidden/>
    <w:qFormat/>
    <w:uiPriority w:val="0"/>
    <w:rPr>
      <w:rFonts w:ascii="Angsana New" w:hAnsi="Angsana New" w:eastAsia="Angsana New" w:cs="Angsana New"/>
      <w:color w:val="000000"/>
      <w:spacing w:val="0"/>
      <w:w w:val="100"/>
      <w:position w:val="0"/>
      <w:sz w:val="24"/>
      <w:szCs w:val="24"/>
      <w:u w:val="none"/>
      <w:lang w:val="zh-CN"/>
    </w:rPr>
  </w:style>
  <w:style w:type="character" w:customStyle="1" w:styleId="424">
    <w:name w:val="Book Title"/>
    <w:autoRedefine/>
    <w:qFormat/>
    <w:uiPriority w:val="0"/>
    <w:rPr>
      <w:rFonts w:ascii="Calibri" w:hAnsi="Calibri" w:eastAsia="宋体"/>
      <w:b/>
      <w:smallCaps/>
      <w:spacing w:val="5"/>
      <w:sz w:val="21"/>
    </w:rPr>
  </w:style>
  <w:style w:type="character" w:customStyle="1" w:styleId="425">
    <w:name w:val="正文文本 + Arial Unicode MS"/>
    <w:autoRedefine/>
    <w:semiHidden/>
    <w:qFormat/>
    <w:uiPriority w:val="0"/>
    <w:rPr>
      <w:rFonts w:ascii="Arial Unicode MS" w:hAnsi="Arial Unicode MS" w:eastAsia="Arial Unicode MS" w:cs="Arial Unicode MS"/>
      <w:color w:val="000000"/>
      <w:spacing w:val="0"/>
      <w:w w:val="100"/>
      <w:position w:val="0"/>
      <w:sz w:val="12"/>
      <w:szCs w:val="12"/>
      <w:u w:val="none"/>
      <w:shd w:val="clear" w:color="auto" w:fill="FFFFFF"/>
      <w:lang w:val="zh-CN"/>
    </w:rPr>
  </w:style>
  <w:style w:type="character" w:customStyle="1" w:styleId="426">
    <w:name w:val="环小四12345 Char"/>
    <w:link w:val="427"/>
    <w:autoRedefine/>
    <w:qFormat/>
    <w:uiPriority w:val="0"/>
    <w:rPr>
      <w:rFonts w:ascii="宋体" w:hAnsi="宋体" w:eastAsia="Times New Roman"/>
      <w:b/>
      <w:snapToGrid w:val="0"/>
      <w:sz w:val="24"/>
      <w:szCs w:val="24"/>
    </w:rPr>
  </w:style>
  <w:style w:type="paragraph" w:customStyle="1" w:styleId="427">
    <w:name w:val="环小四12345"/>
    <w:link w:val="426"/>
    <w:autoRedefine/>
    <w:qFormat/>
    <w:uiPriority w:val="0"/>
    <w:pPr>
      <w:widowControl w:val="0"/>
      <w:ind w:firstLine="200" w:firstLineChars="200"/>
    </w:pPr>
    <w:rPr>
      <w:rFonts w:ascii="宋体" w:hAnsi="宋体" w:eastAsia="Times New Roman" w:cstheme="minorBidi"/>
      <w:b/>
      <w:snapToGrid w:val="0"/>
      <w:kern w:val="2"/>
      <w:sz w:val="24"/>
      <w:szCs w:val="24"/>
      <w:lang w:val="en-US" w:eastAsia="zh-CN" w:bidi="ar-SA"/>
    </w:rPr>
  </w:style>
  <w:style w:type="character" w:customStyle="1" w:styleId="428">
    <w:name w:val="二线四级标题 Char"/>
    <w:link w:val="429"/>
    <w:autoRedefine/>
    <w:qFormat/>
    <w:uiPriority w:val="0"/>
    <w:rPr>
      <w:rFonts w:ascii="宋体" w:hAnsi="宋体" w:cs="宋体"/>
      <w:bCs/>
      <w:sz w:val="28"/>
      <w:szCs w:val="28"/>
    </w:rPr>
  </w:style>
  <w:style w:type="paragraph" w:customStyle="1" w:styleId="429">
    <w:name w:val="二线四级标题"/>
    <w:basedOn w:val="1"/>
    <w:link w:val="428"/>
    <w:autoRedefine/>
    <w:qFormat/>
    <w:uiPriority w:val="0"/>
    <w:pPr>
      <w:tabs>
        <w:tab w:val="right" w:leader="dot" w:pos="9706"/>
      </w:tabs>
      <w:adjustRightInd w:val="0"/>
      <w:snapToGrid w:val="0"/>
      <w:spacing w:line="360" w:lineRule="auto"/>
      <w:ind w:right="100" w:rightChars="100" w:firstLine="250" w:firstLineChars="250"/>
      <w:jc w:val="center"/>
      <w:outlineLvl w:val="3"/>
    </w:pPr>
    <w:rPr>
      <w:rFonts w:ascii="宋体" w:hAnsi="宋体" w:cs="宋体"/>
      <w:bCs/>
      <w:sz w:val="28"/>
      <w:szCs w:val="28"/>
    </w:rPr>
  </w:style>
  <w:style w:type="character" w:customStyle="1" w:styleId="430">
    <w:name w:val="我的文章内容 Char"/>
    <w:link w:val="431"/>
    <w:autoRedefine/>
    <w:semiHidden/>
    <w:qFormat/>
    <w:uiPriority w:val="0"/>
    <w:rPr>
      <w:rFonts w:ascii="宋体"/>
      <w:kern w:val="28"/>
      <w:sz w:val="28"/>
      <w:szCs w:val="28"/>
    </w:rPr>
  </w:style>
  <w:style w:type="paragraph" w:customStyle="1" w:styleId="431">
    <w:name w:val="我的文章内容"/>
    <w:basedOn w:val="1"/>
    <w:link w:val="430"/>
    <w:autoRedefine/>
    <w:semiHidden/>
    <w:qFormat/>
    <w:uiPriority w:val="0"/>
    <w:pPr>
      <w:spacing w:line="360" w:lineRule="auto"/>
      <w:ind w:firstLine="200" w:firstLineChars="200"/>
    </w:pPr>
    <w:rPr>
      <w:rFonts w:ascii="宋体"/>
      <w:kern w:val="28"/>
      <w:sz w:val="28"/>
      <w:szCs w:val="28"/>
    </w:rPr>
  </w:style>
  <w:style w:type="character" w:customStyle="1" w:styleId="432">
    <w:name w:val="B二级 Char"/>
    <w:link w:val="433"/>
    <w:autoRedefine/>
    <w:qFormat/>
    <w:uiPriority w:val="0"/>
    <w:rPr>
      <w:rFonts w:ascii="宋体" w:hAnsi="宋体"/>
      <w:b/>
      <w:bCs/>
      <w:color w:val="FF0000"/>
      <w:sz w:val="24"/>
      <w:szCs w:val="24"/>
    </w:rPr>
  </w:style>
  <w:style w:type="paragraph" w:customStyle="1" w:styleId="433">
    <w:name w:val="B二级"/>
    <w:basedOn w:val="4"/>
    <w:link w:val="432"/>
    <w:autoRedefine/>
    <w:qFormat/>
    <w:uiPriority w:val="0"/>
    <w:pPr>
      <w:tabs>
        <w:tab w:val="left" w:pos="2685"/>
      </w:tabs>
      <w:adjustRightInd w:val="0"/>
      <w:spacing w:before="0" w:beforeLines="100" w:after="0" w:afterLines="30" w:line="336" w:lineRule="auto"/>
      <w:ind w:left="210" w:leftChars="100" w:right="210" w:rightChars="100"/>
      <w:jc w:val="center"/>
    </w:pPr>
    <w:rPr>
      <w:rFonts w:ascii="宋体" w:hAnsi="宋体" w:eastAsiaTheme="minorEastAsia" w:cstheme="minorBidi"/>
      <w:b/>
      <w:color w:val="FF0000"/>
      <w:kern w:val="2"/>
      <w:sz w:val="24"/>
      <w:szCs w:val="24"/>
    </w:rPr>
  </w:style>
  <w:style w:type="character" w:customStyle="1" w:styleId="434">
    <w:name w:val="环小四1.1（二级） Char"/>
    <w:link w:val="435"/>
    <w:autoRedefine/>
    <w:qFormat/>
    <w:uiPriority w:val="99"/>
    <w:rPr>
      <w:rFonts w:ascii="宋体"/>
      <w:bCs/>
      <w:color w:val="FF0000"/>
      <w:kern w:val="24"/>
      <w:sz w:val="24"/>
      <w:szCs w:val="36"/>
      <w:lang w:val="zh-CN"/>
    </w:rPr>
  </w:style>
  <w:style w:type="paragraph" w:customStyle="1" w:styleId="435">
    <w:name w:val="环小四1.1（二级）"/>
    <w:link w:val="434"/>
    <w:autoRedefine/>
    <w:qFormat/>
    <w:uiPriority w:val="99"/>
    <w:pPr>
      <w:widowControl w:val="0"/>
      <w:ind w:left="-212" w:leftChars="-101" w:firstLine="141"/>
      <w:outlineLvl w:val="1"/>
    </w:pPr>
    <w:rPr>
      <w:rFonts w:ascii="宋体" w:hAnsiTheme="minorHAnsi" w:eastAsiaTheme="minorEastAsia" w:cstheme="minorBidi"/>
      <w:bCs/>
      <w:color w:val="FF0000"/>
      <w:kern w:val="24"/>
      <w:sz w:val="24"/>
      <w:szCs w:val="36"/>
      <w:lang w:val="zh-CN" w:eastAsia="zh-CN" w:bidi="ar-SA"/>
    </w:rPr>
  </w:style>
  <w:style w:type="character" w:customStyle="1" w:styleId="436">
    <w:name w:val="正文文本 + 缩放 70%"/>
    <w:autoRedefine/>
    <w:semiHidden/>
    <w:qFormat/>
    <w:uiPriority w:val="0"/>
    <w:rPr>
      <w:rFonts w:ascii="MingLiU" w:hAnsi="MingLiU" w:eastAsia="MingLiU" w:cs="MingLiU"/>
      <w:color w:val="000000"/>
      <w:spacing w:val="0"/>
      <w:w w:val="70"/>
      <w:position w:val="0"/>
      <w:sz w:val="16"/>
      <w:szCs w:val="16"/>
      <w:u w:val="none"/>
      <w:shd w:val="clear" w:color="auto" w:fill="FFFFFF"/>
      <w:lang w:val="zh-CN"/>
    </w:rPr>
  </w:style>
  <w:style w:type="character" w:customStyle="1" w:styleId="437">
    <w:name w:val="333333333333333 Char"/>
    <w:link w:val="438"/>
    <w:autoRedefine/>
    <w:qFormat/>
    <w:locked/>
    <w:uiPriority w:val="0"/>
    <w:rPr>
      <w:rFonts w:ascii="宋体" w:hAnsi="宋体" w:eastAsia="仿宋_GB2312"/>
      <w:b/>
      <w:bCs/>
      <w:kern w:val="44"/>
      <w:sz w:val="28"/>
      <w:szCs w:val="24"/>
    </w:rPr>
  </w:style>
  <w:style w:type="paragraph" w:customStyle="1" w:styleId="438">
    <w:name w:val="333333333333333"/>
    <w:basedOn w:val="3"/>
    <w:link w:val="437"/>
    <w:autoRedefine/>
    <w:qFormat/>
    <w:uiPriority w:val="0"/>
    <w:pPr>
      <w:spacing w:before="0" w:after="0" w:line="360" w:lineRule="auto"/>
      <w:ind w:firstLine="482"/>
    </w:pPr>
    <w:rPr>
      <w:rFonts w:ascii="宋体" w:hAnsi="宋体" w:eastAsia="仿宋_GB2312" w:cstheme="minorBidi"/>
      <w:sz w:val="28"/>
      <w:szCs w:val="24"/>
    </w:rPr>
  </w:style>
  <w:style w:type="character" w:customStyle="1" w:styleId="439">
    <w:name w:val="标题 #1 + CordiaUPC"/>
    <w:autoRedefine/>
    <w:semiHidden/>
    <w:qFormat/>
    <w:uiPriority w:val="0"/>
    <w:rPr>
      <w:rFonts w:ascii="CordiaUPC" w:hAnsi="CordiaUPC" w:eastAsia="CordiaUPC" w:cs="CordiaUPC"/>
      <w:color w:val="000000"/>
      <w:spacing w:val="0"/>
      <w:w w:val="100"/>
      <w:position w:val="0"/>
      <w:sz w:val="54"/>
      <w:szCs w:val="54"/>
      <w:u w:val="none"/>
      <w:lang w:val="zh-CN"/>
    </w:rPr>
  </w:style>
  <w:style w:type="character" w:customStyle="1" w:styleId="440">
    <w:name w:val="orange"/>
    <w:autoRedefine/>
    <w:qFormat/>
    <w:uiPriority w:val="0"/>
  </w:style>
  <w:style w:type="character" w:customStyle="1" w:styleId="441">
    <w:name w:val="样式 首行缩进:  2 字符 Char"/>
    <w:link w:val="442"/>
    <w:autoRedefine/>
    <w:qFormat/>
    <w:uiPriority w:val="0"/>
    <w:rPr>
      <w:rFonts w:cs="宋体"/>
      <w:sz w:val="24"/>
      <w:szCs w:val="24"/>
    </w:rPr>
  </w:style>
  <w:style w:type="paragraph" w:customStyle="1" w:styleId="442">
    <w:name w:val="样式 首行缩进:  2 字符"/>
    <w:basedOn w:val="1"/>
    <w:link w:val="441"/>
    <w:autoRedefine/>
    <w:qFormat/>
    <w:uiPriority w:val="0"/>
    <w:pPr>
      <w:adjustRightInd w:val="0"/>
      <w:snapToGrid w:val="0"/>
      <w:spacing w:line="360" w:lineRule="auto"/>
      <w:ind w:firstLine="480" w:firstLineChars="200"/>
      <w:jc w:val="center"/>
    </w:pPr>
    <w:rPr>
      <w:rFonts w:cs="宋体"/>
      <w:sz w:val="24"/>
      <w:szCs w:val="24"/>
    </w:rPr>
  </w:style>
  <w:style w:type="character" w:customStyle="1" w:styleId="443">
    <w:name w:val="环小四图名 Char"/>
    <w:link w:val="444"/>
    <w:autoRedefine/>
    <w:qFormat/>
    <w:uiPriority w:val="99"/>
    <w:rPr>
      <w:rFonts w:ascii="宋体" w:hAnsi="宋体"/>
      <w:b/>
      <w:szCs w:val="21"/>
    </w:rPr>
  </w:style>
  <w:style w:type="paragraph" w:customStyle="1" w:styleId="444">
    <w:name w:val="环小四图名"/>
    <w:basedOn w:val="1"/>
    <w:link w:val="443"/>
    <w:autoRedefine/>
    <w:qFormat/>
    <w:uiPriority w:val="99"/>
    <w:pPr>
      <w:tabs>
        <w:tab w:val="left" w:pos="1460"/>
      </w:tabs>
      <w:spacing w:line="360" w:lineRule="auto"/>
      <w:ind w:firstLine="200" w:firstLineChars="200"/>
      <w:jc w:val="center"/>
    </w:pPr>
    <w:rPr>
      <w:rFonts w:ascii="宋体" w:hAnsi="宋体"/>
      <w:b/>
      <w:szCs w:val="21"/>
    </w:rPr>
  </w:style>
  <w:style w:type="character" w:customStyle="1" w:styleId="445">
    <w:name w:val="样式67 Char"/>
    <w:link w:val="446"/>
    <w:autoRedefine/>
    <w:qFormat/>
    <w:uiPriority w:val="0"/>
    <w:rPr>
      <w:rFonts w:cs="宋体"/>
      <w:sz w:val="24"/>
      <w:szCs w:val="24"/>
    </w:rPr>
  </w:style>
  <w:style w:type="paragraph" w:customStyle="1" w:styleId="446">
    <w:name w:val="样式67"/>
    <w:basedOn w:val="333"/>
    <w:link w:val="445"/>
    <w:autoRedefine/>
    <w:qFormat/>
    <w:uiPriority w:val="0"/>
    <w:pPr>
      <w:adjustRightInd w:val="0"/>
      <w:spacing w:before="0" w:after="0"/>
      <w:textAlignment w:val="baseline"/>
      <w:outlineLvl w:val="2"/>
    </w:pPr>
    <w:rPr>
      <w:rFonts w:cs="宋体" w:asciiTheme="minorHAnsi" w:hAnsiTheme="minorHAnsi" w:eastAsiaTheme="minorEastAsia"/>
      <w:b w:val="0"/>
      <w:bCs w:val="0"/>
      <w:kern w:val="2"/>
      <w:sz w:val="24"/>
      <w:szCs w:val="24"/>
    </w:rPr>
  </w:style>
  <w:style w:type="character" w:customStyle="1" w:styleId="447">
    <w:name w:val="图名1 Char"/>
    <w:link w:val="448"/>
    <w:autoRedefine/>
    <w:semiHidden/>
    <w:qFormat/>
    <w:locked/>
    <w:uiPriority w:val="0"/>
    <w:rPr>
      <w:rFonts w:ascii="宋体" w:hAnsi="宋体"/>
      <w:b/>
      <w:kern w:val="28"/>
      <w:sz w:val="24"/>
      <w:szCs w:val="24"/>
    </w:rPr>
  </w:style>
  <w:style w:type="paragraph" w:customStyle="1" w:styleId="448">
    <w:name w:val="图名1"/>
    <w:basedOn w:val="34"/>
    <w:link w:val="447"/>
    <w:autoRedefine/>
    <w:semiHidden/>
    <w:qFormat/>
    <w:uiPriority w:val="0"/>
    <w:pPr>
      <w:spacing w:after="0"/>
      <w:jc w:val="center"/>
    </w:pPr>
    <w:rPr>
      <w:rFonts w:ascii="宋体" w:hAnsi="宋体" w:eastAsiaTheme="minorEastAsia" w:cstheme="minorBidi"/>
      <w:b/>
      <w:kern w:val="28"/>
    </w:rPr>
  </w:style>
  <w:style w:type="character" w:customStyle="1" w:styleId="449">
    <w:name w:val="表字 Char Char"/>
    <w:link w:val="450"/>
    <w:autoRedefine/>
    <w:qFormat/>
    <w:uiPriority w:val="0"/>
    <w:rPr>
      <w:rFonts w:ascii="宋体" w:hAnsi="宋体"/>
      <w:sz w:val="18"/>
      <w:szCs w:val="18"/>
    </w:rPr>
  </w:style>
  <w:style w:type="paragraph" w:customStyle="1" w:styleId="450">
    <w:name w:val="表字"/>
    <w:basedOn w:val="1"/>
    <w:link w:val="449"/>
    <w:autoRedefine/>
    <w:qFormat/>
    <w:uiPriority w:val="0"/>
    <w:pPr>
      <w:snapToGrid w:val="0"/>
      <w:spacing w:line="360" w:lineRule="auto"/>
      <w:ind w:firstLine="200" w:firstLineChars="200"/>
      <w:jc w:val="center"/>
    </w:pPr>
    <w:rPr>
      <w:rFonts w:ascii="宋体" w:hAnsi="宋体"/>
      <w:sz w:val="18"/>
      <w:szCs w:val="18"/>
    </w:rPr>
  </w:style>
  <w:style w:type="character" w:customStyle="1" w:styleId="451">
    <w:name w:val="样式 333333333333333 + 四号 加粗 Char"/>
    <w:link w:val="452"/>
    <w:autoRedefine/>
    <w:qFormat/>
    <w:locked/>
    <w:uiPriority w:val="0"/>
    <w:rPr>
      <w:rFonts w:ascii="宋体" w:hAnsi="宋体" w:eastAsia="仿宋_GB2312"/>
      <w:b/>
      <w:bCs/>
      <w:kern w:val="44"/>
      <w:sz w:val="28"/>
      <w:szCs w:val="24"/>
    </w:rPr>
  </w:style>
  <w:style w:type="paragraph" w:customStyle="1" w:styleId="452">
    <w:name w:val="样式 333333333333333 + 四号 加粗"/>
    <w:basedOn w:val="438"/>
    <w:link w:val="451"/>
    <w:autoRedefine/>
    <w:qFormat/>
    <w:uiPriority w:val="0"/>
  </w:style>
  <w:style w:type="paragraph" w:customStyle="1" w:styleId="453">
    <w:name w:val="样式 标题 2l2H2Underrubrik1prop2Heading2No NumberAoHeading ..."/>
    <w:basedOn w:val="4"/>
    <w:autoRedefine/>
    <w:qFormat/>
    <w:uiPriority w:val="0"/>
    <w:pPr>
      <w:numPr>
        <w:ilvl w:val="1"/>
        <w:numId w:val="11"/>
      </w:numPr>
      <w:adjustRightInd w:val="0"/>
      <w:spacing w:before="240" w:after="120" w:line="360" w:lineRule="auto"/>
      <w:ind w:firstLine="0"/>
      <w:jc w:val="center"/>
    </w:pPr>
    <w:rPr>
      <w:rFonts w:cs="宋体"/>
      <w:bCs w:val="0"/>
      <w:color w:val="000000"/>
      <w:kern w:val="2"/>
      <w:szCs w:val="20"/>
    </w:rPr>
  </w:style>
  <w:style w:type="paragraph" w:customStyle="1" w:styleId="454">
    <w:name w:val="xl67"/>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360" w:lineRule="auto"/>
      <w:ind w:firstLine="200" w:firstLineChars="200"/>
      <w:jc w:val="center"/>
      <w:textAlignment w:val="center"/>
    </w:pPr>
    <w:rPr>
      <w:rFonts w:ascii="仿宋" w:hAnsi="宋体" w:eastAsia="仿宋" w:cs="宋体"/>
      <w:kern w:val="0"/>
      <w:sz w:val="18"/>
      <w:szCs w:val="18"/>
    </w:rPr>
  </w:style>
  <w:style w:type="paragraph" w:customStyle="1" w:styleId="455">
    <w:name w:val="样式8"/>
    <w:basedOn w:val="3"/>
    <w:autoRedefine/>
    <w:semiHidden/>
    <w:qFormat/>
    <w:uiPriority w:val="0"/>
    <w:pPr>
      <w:widowControl/>
      <w:tabs>
        <w:tab w:val="left" w:pos="432"/>
        <w:tab w:val="left" w:pos="465"/>
        <w:tab w:val="left" w:pos="567"/>
      </w:tabs>
      <w:adjustRightInd w:val="0"/>
      <w:snapToGrid w:val="0"/>
      <w:spacing w:before="240" w:after="20" w:line="360" w:lineRule="auto"/>
      <w:ind w:left="465" w:hanging="465"/>
      <w:jc w:val="center"/>
    </w:pPr>
    <w:rPr>
      <w:rFonts w:eastAsia="黑体"/>
      <w:b w:val="0"/>
      <w:bCs w:val="0"/>
      <w:sz w:val="30"/>
      <w:szCs w:val="32"/>
    </w:rPr>
  </w:style>
  <w:style w:type="paragraph" w:customStyle="1" w:styleId="456">
    <w:name w:val="样式 标题 2l2H2Underrubrik1prop2Heading2No NumberAoHeading ...1"/>
    <w:basedOn w:val="4"/>
    <w:autoRedefine/>
    <w:qFormat/>
    <w:uiPriority w:val="0"/>
    <w:pPr>
      <w:tabs>
        <w:tab w:val="left" w:pos="4262"/>
      </w:tabs>
      <w:spacing w:before="240" w:after="120" w:line="360" w:lineRule="auto"/>
      <w:ind w:left="4262" w:hanging="576" w:firstLineChars="200"/>
      <w:jc w:val="center"/>
    </w:pPr>
    <w:rPr>
      <w:kern w:val="2"/>
      <w:sz w:val="28"/>
      <w:szCs w:val="32"/>
    </w:rPr>
  </w:style>
  <w:style w:type="paragraph" w:customStyle="1" w:styleId="457">
    <w:name w:val="样式 样式 标题 3 + 行距: 固定值 22 磅 + 加粗"/>
    <w:basedOn w:val="1"/>
    <w:autoRedefine/>
    <w:semiHidden/>
    <w:qFormat/>
    <w:uiPriority w:val="0"/>
    <w:pPr>
      <w:keepNext/>
      <w:keepLines/>
      <w:widowControl/>
      <w:tabs>
        <w:tab w:val="left" w:pos="897"/>
        <w:tab w:val="left" w:pos="1361"/>
      </w:tabs>
      <w:adjustRightInd w:val="0"/>
      <w:spacing w:before="100" w:beforeAutospacing="1" w:after="100" w:afterAutospacing="1" w:line="600" w:lineRule="exact"/>
      <w:ind w:firstLine="200" w:firstLineChars="200"/>
      <w:jc w:val="left"/>
      <w:outlineLvl w:val="2"/>
    </w:pPr>
    <w:rPr>
      <w:rFonts w:ascii="Calibri" w:hAnsi="Calibri" w:eastAsia="黑体" w:cs="Arial"/>
      <w:b/>
      <w:bCs/>
      <w:color w:val="0000FF"/>
      <w:kern w:val="0"/>
      <w:sz w:val="48"/>
      <w:szCs w:val="48"/>
    </w:rPr>
  </w:style>
  <w:style w:type="paragraph" w:customStyle="1" w:styleId="458">
    <w:name w:val="样式 目录 1 + 段前: 0 磅 段后: 0 磅1"/>
    <w:basedOn w:val="59"/>
    <w:autoRedefine/>
    <w:qFormat/>
    <w:uiPriority w:val="0"/>
    <w:pPr>
      <w:tabs>
        <w:tab w:val="right" w:leader="middleDot" w:pos="9072"/>
        <w:tab w:val="clear" w:pos="9060"/>
      </w:tabs>
    </w:pPr>
    <w:rPr>
      <w:rFonts w:cs="宋体"/>
      <w:bCs w:val="0"/>
      <w:caps w:val="0"/>
    </w:rPr>
  </w:style>
  <w:style w:type="paragraph" w:customStyle="1" w:styleId="459">
    <w:name w:val="Default"/>
    <w:autoRedefine/>
    <w:qFormat/>
    <w:uiPriority w:val="0"/>
    <w:pPr>
      <w:widowControl w:val="0"/>
      <w:autoSpaceDE w:val="0"/>
      <w:autoSpaceDN w:val="0"/>
      <w:adjustRightInd w:val="0"/>
    </w:pPr>
    <w:rPr>
      <w:rFonts w:ascii="楷体_GB2312" w:hAnsi="Times New Roman" w:eastAsia="楷体_GB2312" w:cs="楷体_GB2312"/>
      <w:color w:val="000000"/>
      <w:kern w:val="0"/>
      <w:sz w:val="24"/>
      <w:szCs w:val="24"/>
      <w:lang w:val="en-US" w:eastAsia="zh-CN" w:bidi="ar-SA"/>
    </w:rPr>
  </w:style>
  <w:style w:type="paragraph" w:customStyle="1" w:styleId="460">
    <w:name w:val="xl124"/>
    <w:basedOn w:val="1"/>
    <w:autoRedefine/>
    <w:qFormat/>
    <w:uiPriority w:val="0"/>
    <w:pPr>
      <w:widowControl/>
      <w:pBdr>
        <w:top w:val="single" w:color="auto" w:sz="4" w:space="0"/>
        <w:left w:val="single" w:color="auto" w:sz="4" w:space="0"/>
        <w:right w:val="single" w:color="auto" w:sz="8"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461">
    <w:name w:val="样式 样式 样式 标题 1 + 段前: 1 行 + 行距: 固定值 22 磅 + 加粗"/>
    <w:basedOn w:val="1"/>
    <w:autoRedefine/>
    <w:semiHidden/>
    <w:qFormat/>
    <w:uiPriority w:val="0"/>
    <w:pPr>
      <w:keepNext/>
      <w:keepLines/>
      <w:widowControl/>
      <w:tabs>
        <w:tab w:val="left" w:pos="432"/>
      </w:tabs>
      <w:adjustRightInd w:val="0"/>
      <w:spacing w:beforeLines="100" w:after="100" w:afterAutospacing="1" w:line="740" w:lineRule="exact"/>
      <w:ind w:left="432" w:hanging="432" w:firstLineChars="200"/>
      <w:jc w:val="center"/>
      <w:outlineLvl w:val="0"/>
    </w:pPr>
    <w:rPr>
      <w:rFonts w:ascii="Calibri" w:hAnsi="Calibri" w:eastAsia="黑体" w:cs="Arial"/>
      <w:b/>
      <w:bCs/>
      <w:color w:val="FF0000"/>
      <w:kern w:val="44"/>
      <w:sz w:val="52"/>
      <w:szCs w:val="52"/>
    </w:rPr>
  </w:style>
  <w:style w:type="paragraph" w:customStyle="1" w:styleId="462">
    <w:name w:val="附录表标题"/>
    <w:next w:val="1"/>
    <w:autoRedefine/>
    <w:qFormat/>
    <w:uiPriority w:val="0"/>
    <w:pPr>
      <w:numPr>
        <w:ilvl w:val="0"/>
        <w:numId w:val="12"/>
      </w:numPr>
      <w:jc w:val="center"/>
      <w:textAlignment w:val="baseline"/>
    </w:pPr>
    <w:rPr>
      <w:rFonts w:ascii="黑体" w:hAnsi="Times New Roman" w:eastAsia="黑体" w:cs="Times New Roman"/>
      <w:kern w:val="21"/>
      <w:sz w:val="21"/>
      <w:szCs w:val="20"/>
      <w:lang w:val="en-US" w:eastAsia="zh-CN" w:bidi="ar-SA"/>
    </w:rPr>
  </w:style>
  <w:style w:type="paragraph" w:customStyle="1" w:styleId="463">
    <w:name w:val="xl63"/>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4"/>
    </w:rPr>
  </w:style>
  <w:style w:type="paragraph" w:customStyle="1" w:styleId="464">
    <w:name w:val="Char1"/>
    <w:basedOn w:val="1"/>
    <w:autoRedefine/>
    <w:qFormat/>
    <w:uiPriority w:val="0"/>
    <w:pPr>
      <w:spacing w:beforeLines="50" w:line="360" w:lineRule="auto"/>
      <w:ind w:firstLine="560" w:firstLineChars="200"/>
    </w:pPr>
    <w:rPr>
      <w:rFonts w:ascii="Times New Roman" w:hAnsi="Times New Roman" w:eastAsia="仿宋_GB2312" w:cs="Times New Roman"/>
      <w:sz w:val="28"/>
      <w:szCs w:val="28"/>
    </w:rPr>
  </w:style>
  <w:style w:type="paragraph" w:customStyle="1" w:styleId="465">
    <w:name w:val="xl13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466">
    <w:name w:val="xl84"/>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467">
    <w:name w:val="Char2"/>
    <w:basedOn w:val="1"/>
    <w:autoRedefine/>
    <w:qFormat/>
    <w:uiPriority w:val="0"/>
    <w:pPr>
      <w:spacing w:line="360" w:lineRule="auto"/>
      <w:ind w:left="-48" w:firstLine="200" w:firstLineChars="200"/>
    </w:pPr>
    <w:rPr>
      <w:rFonts w:ascii="Times New Roman" w:hAnsi="Times New Roman" w:eastAsia="仿宋_GB2312" w:cs="Times New Roman"/>
      <w:sz w:val="24"/>
      <w:szCs w:val="24"/>
    </w:rPr>
  </w:style>
  <w:style w:type="paragraph" w:customStyle="1" w:styleId="468">
    <w:name w:val="样式 标题 4 + 行距: 固定值 22 磅"/>
    <w:basedOn w:val="6"/>
    <w:autoRedefine/>
    <w:semiHidden/>
    <w:qFormat/>
    <w:uiPriority w:val="0"/>
    <w:pPr>
      <w:tabs>
        <w:tab w:val="left" w:pos="1134"/>
      </w:tabs>
      <w:adjustRightInd w:val="0"/>
      <w:spacing w:before="100" w:beforeAutospacing="1" w:after="100" w:afterAutospacing="1" w:line="600" w:lineRule="exact"/>
      <w:jc w:val="left"/>
    </w:pPr>
    <w:rPr>
      <w:rFonts w:ascii="Times New Roman" w:hAnsi="Times New Roman" w:eastAsia="楷体_GB2312"/>
      <w:color w:val="0000FF"/>
      <w:kern w:val="0"/>
      <w:sz w:val="48"/>
      <w:szCs w:val="48"/>
    </w:rPr>
  </w:style>
  <w:style w:type="paragraph" w:customStyle="1" w:styleId="469">
    <w:name w:val="xl51"/>
    <w:basedOn w:val="1"/>
    <w:autoRedefine/>
    <w:semiHidden/>
    <w:qFormat/>
    <w:uiPriority w:val="0"/>
    <w:pPr>
      <w:widowControl/>
      <w:pBdr>
        <w:right w:val="single" w:color="auto" w:sz="4" w:space="0"/>
      </w:pBdr>
      <w:spacing w:before="100" w:beforeAutospacing="1" w:after="100" w:afterAutospacing="1" w:line="360" w:lineRule="auto"/>
      <w:ind w:firstLine="200" w:firstLineChars="200"/>
      <w:jc w:val="center"/>
      <w:textAlignment w:val="center"/>
    </w:pPr>
    <w:rPr>
      <w:rFonts w:ascii="Calibri" w:hAnsi="Calibri" w:eastAsia="仿宋_GB2312" w:cs="Arial"/>
      <w:kern w:val="0"/>
      <w:sz w:val="20"/>
      <w:szCs w:val="20"/>
    </w:rPr>
  </w:style>
  <w:style w:type="paragraph" w:customStyle="1" w:styleId="470">
    <w:name w:val="font15"/>
    <w:basedOn w:val="1"/>
    <w:autoRedefine/>
    <w:qFormat/>
    <w:uiPriority w:val="0"/>
    <w:pPr>
      <w:widowControl/>
      <w:spacing w:before="100" w:beforeAutospacing="1" w:after="100" w:afterAutospacing="1" w:line="360" w:lineRule="auto"/>
      <w:ind w:firstLine="200" w:firstLineChars="200"/>
      <w:jc w:val="left"/>
    </w:pPr>
    <w:rPr>
      <w:rFonts w:ascii="Times New Roman" w:hAnsi="Times New Roman" w:eastAsia="仿宋_GB2312" w:cs="Times New Roman"/>
      <w:color w:val="000000"/>
      <w:kern w:val="0"/>
      <w:sz w:val="20"/>
      <w:szCs w:val="20"/>
    </w:rPr>
  </w:style>
  <w:style w:type="paragraph" w:customStyle="1" w:styleId="471">
    <w:name w:val="p20"/>
    <w:basedOn w:val="1"/>
    <w:autoRedefine/>
    <w:qFormat/>
    <w:uiPriority w:val="0"/>
    <w:pPr>
      <w:widowControl/>
      <w:spacing w:after="156" w:line="360" w:lineRule="auto"/>
      <w:ind w:firstLine="200" w:firstLineChars="200"/>
      <w:jc w:val="center"/>
    </w:pPr>
    <w:rPr>
      <w:rFonts w:ascii="Times New Roman" w:hAnsi="Times New Roman" w:eastAsia="仿宋_GB2312" w:cs="Times New Roman"/>
      <w:kern w:val="0"/>
      <w:szCs w:val="21"/>
    </w:rPr>
  </w:style>
  <w:style w:type="paragraph" w:customStyle="1" w:styleId="472">
    <w:name w:val="xl86"/>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473">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474">
    <w:name w:val="Char Char Char Char"/>
    <w:basedOn w:val="26"/>
    <w:autoRedefine/>
    <w:qFormat/>
    <w:uiPriority w:val="0"/>
    <w:pPr>
      <w:shd w:val="clear" w:color="auto" w:fill="000080"/>
      <w:adjustRightInd w:val="0"/>
      <w:spacing w:line="436" w:lineRule="exact"/>
      <w:ind w:left="357"/>
      <w:jc w:val="left"/>
      <w:outlineLvl w:val="3"/>
    </w:pPr>
    <w:rPr>
      <w:rFonts w:ascii="Tahoma" w:hAnsi="Tahoma"/>
      <w:b/>
      <w:kern w:val="28"/>
      <w:sz w:val="24"/>
      <w:szCs w:val="28"/>
    </w:rPr>
  </w:style>
  <w:style w:type="paragraph" w:customStyle="1" w:styleId="475">
    <w:name w:val="xl125"/>
    <w:basedOn w:val="1"/>
    <w:autoRedefine/>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20"/>
      <w:szCs w:val="20"/>
    </w:rPr>
  </w:style>
  <w:style w:type="paragraph" w:customStyle="1" w:styleId="476">
    <w:name w:val="A标题3"/>
    <w:basedOn w:val="5"/>
    <w:autoRedefine/>
    <w:qFormat/>
    <w:uiPriority w:val="0"/>
    <w:pPr>
      <w:keepNext w:val="0"/>
      <w:keepLines w:val="0"/>
      <w:adjustRightInd w:val="0"/>
      <w:snapToGrid w:val="0"/>
      <w:spacing w:before="240" w:after="240" w:line="480" w:lineRule="exact"/>
      <w:jc w:val="center"/>
    </w:pPr>
    <w:rPr>
      <w:rFonts w:eastAsia="方正楷体简体"/>
      <w:szCs w:val="28"/>
    </w:rPr>
  </w:style>
  <w:style w:type="paragraph" w:customStyle="1" w:styleId="477">
    <w:name w:val="样式 标题 1H1h11st levelSection Headl1my标题1章 + 非加粗"/>
    <w:basedOn w:val="3"/>
    <w:autoRedefine/>
    <w:qFormat/>
    <w:uiPriority w:val="0"/>
    <w:pPr>
      <w:tabs>
        <w:tab w:val="left" w:pos="432"/>
        <w:tab w:val="left" w:pos="567"/>
      </w:tabs>
      <w:spacing w:before="240" w:after="120" w:line="360" w:lineRule="auto"/>
      <w:ind w:left="432" w:hanging="432"/>
      <w:jc w:val="center"/>
    </w:pPr>
    <w:rPr>
      <w:rFonts w:eastAsia="黑体"/>
      <w:b w:val="0"/>
      <w:bCs w:val="0"/>
      <w:sz w:val="30"/>
    </w:rPr>
  </w:style>
  <w:style w:type="paragraph" w:customStyle="1" w:styleId="478">
    <w:name w:val="附录标识"/>
    <w:basedOn w:val="1"/>
    <w:autoRedefine/>
    <w:qFormat/>
    <w:uiPriority w:val="0"/>
    <w:pPr>
      <w:widowControl/>
      <w:shd w:val="clear" w:color="FFFFFF" w:fill="FFFFFF"/>
      <w:tabs>
        <w:tab w:val="left" w:pos="3600"/>
        <w:tab w:val="left" w:pos="6405"/>
      </w:tabs>
      <w:spacing w:before="640" w:after="200" w:line="360" w:lineRule="auto"/>
      <w:ind w:left="3240" w:firstLine="200" w:firstLineChars="200"/>
      <w:jc w:val="center"/>
      <w:outlineLvl w:val="0"/>
    </w:pPr>
    <w:rPr>
      <w:rFonts w:ascii="黑体" w:hAnsi="Times New Roman" w:eastAsia="黑体" w:cs="Times New Roman"/>
      <w:kern w:val="0"/>
      <w:szCs w:val="20"/>
    </w:rPr>
  </w:style>
  <w:style w:type="paragraph" w:customStyle="1" w:styleId="479">
    <w:name w:val="xl37"/>
    <w:basedOn w:val="1"/>
    <w:autoRedefine/>
    <w:qFormat/>
    <w:uiPriority w:val="0"/>
    <w:pPr>
      <w:widowControl/>
      <w:pBdr>
        <w:top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480">
    <w:name w:val="3"/>
    <w:basedOn w:val="1"/>
    <w:next w:val="35"/>
    <w:autoRedefine/>
    <w:qFormat/>
    <w:uiPriority w:val="0"/>
    <w:pPr>
      <w:adjustRightInd w:val="0"/>
      <w:snapToGrid w:val="0"/>
      <w:spacing w:line="360" w:lineRule="auto"/>
      <w:ind w:firstLine="420" w:firstLineChars="200"/>
    </w:pPr>
    <w:rPr>
      <w:rFonts w:ascii="宋体" w:hAnsi="Times New Roman" w:eastAsia="仿宋_GB2312" w:cs="Times New Roman"/>
      <w:sz w:val="24"/>
      <w:szCs w:val="24"/>
    </w:rPr>
  </w:style>
  <w:style w:type="paragraph" w:customStyle="1" w:styleId="481">
    <w:name w:val="xl44"/>
    <w:basedOn w:val="1"/>
    <w:autoRedefine/>
    <w:semiHidden/>
    <w:qFormat/>
    <w:uiPriority w:val="0"/>
    <w:pPr>
      <w:widowControl/>
      <w:pBdr>
        <w:left w:val="single" w:color="auto" w:sz="8" w:space="0"/>
        <w:bottom w:val="single" w:color="000000"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482">
    <w:name w:val="Char Char Char Char Char Char"/>
    <w:basedOn w:val="1"/>
    <w:next w:val="84"/>
    <w:autoRedefine/>
    <w:semiHidden/>
    <w:qFormat/>
    <w:uiPriority w:val="0"/>
    <w:pPr>
      <w:snapToGrid w:val="0"/>
      <w:spacing w:line="300" w:lineRule="auto"/>
      <w:ind w:firstLine="480" w:firstLineChars="200"/>
      <w:jc w:val="center"/>
    </w:pPr>
    <w:rPr>
      <w:rFonts w:ascii="Times New Roman" w:hAnsi="Times New Roman" w:eastAsia="仿宋_GB2312" w:cs="宋体"/>
      <w:sz w:val="24"/>
    </w:rPr>
  </w:style>
  <w:style w:type="paragraph" w:customStyle="1" w:styleId="483">
    <w:name w:val="xx正文"/>
    <w:basedOn w:val="1"/>
    <w:autoRedefine/>
    <w:qFormat/>
    <w:uiPriority w:val="0"/>
    <w:pPr>
      <w:spacing w:line="360" w:lineRule="auto"/>
      <w:ind w:firstLine="200" w:firstLineChars="200"/>
    </w:pPr>
    <w:rPr>
      <w:rFonts w:ascii="Times New Roman" w:hAnsi="Times New Roman" w:eastAsia="仿宋_GB2312" w:cs="Times New Roman"/>
      <w:sz w:val="24"/>
      <w:szCs w:val="28"/>
    </w:rPr>
  </w:style>
  <w:style w:type="paragraph" w:customStyle="1" w:styleId="484">
    <w:name w:val="正文文本缩进1"/>
    <w:basedOn w:val="1"/>
    <w:autoRedefine/>
    <w:qFormat/>
    <w:uiPriority w:val="0"/>
    <w:pPr>
      <w:tabs>
        <w:tab w:val="left" w:pos="1620"/>
      </w:tabs>
      <w:adjustRightInd w:val="0"/>
      <w:spacing w:line="360" w:lineRule="atLeast"/>
      <w:ind w:left="280" w:leftChars="600" w:hanging="200" w:hangingChars="200"/>
      <w:jc w:val="left"/>
      <w:textAlignment w:val="baseline"/>
    </w:pPr>
    <w:rPr>
      <w:rFonts w:ascii="Times New Roman" w:hAnsi="Times New Roman" w:eastAsia="仿宋_GB2312" w:cs="Times New Roman"/>
      <w:kern w:val="0"/>
      <w:sz w:val="24"/>
      <w:szCs w:val="24"/>
    </w:rPr>
  </w:style>
  <w:style w:type="paragraph" w:customStyle="1" w:styleId="485">
    <w:name w:val="xl73"/>
    <w:basedOn w:val="1"/>
    <w:autoRedefine/>
    <w:qFormat/>
    <w:uiPriority w:val="0"/>
    <w:pPr>
      <w:widowControl/>
      <w:shd w:val="clear" w:color="000000" w:fill="FFFFFF"/>
      <w:spacing w:before="100" w:beforeAutospacing="1" w:after="100" w:afterAutospacing="1" w:line="360" w:lineRule="auto"/>
      <w:ind w:firstLine="200" w:firstLineChars="200"/>
      <w:jc w:val="center"/>
    </w:pPr>
    <w:rPr>
      <w:rFonts w:ascii="宋体" w:hAnsi="宋体" w:eastAsia="仿宋_GB2312" w:cs="宋体"/>
      <w:color w:val="000000"/>
      <w:kern w:val="0"/>
      <w:sz w:val="18"/>
      <w:szCs w:val="18"/>
    </w:rPr>
  </w:style>
  <w:style w:type="paragraph" w:customStyle="1" w:styleId="486">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487">
    <w:name w:val="Char1 Char Char Char Char Char Char Char Char Char Char Char Char"/>
    <w:basedOn w:val="26"/>
    <w:autoRedefine/>
    <w:semiHidden/>
    <w:qFormat/>
    <w:uiPriority w:val="0"/>
    <w:pPr>
      <w:widowControl/>
      <w:shd w:val="clear" w:color="auto" w:fill="000080"/>
      <w:adjustRightInd w:val="0"/>
      <w:spacing w:line="436" w:lineRule="exact"/>
      <w:ind w:left="357"/>
      <w:jc w:val="left"/>
      <w:outlineLvl w:val="3"/>
    </w:pPr>
    <w:rPr>
      <w:rFonts w:ascii="Tahoma" w:hAnsi="Tahoma" w:cs="Arial"/>
      <w:b/>
      <w:kern w:val="28"/>
      <w:sz w:val="24"/>
      <w:szCs w:val="22"/>
    </w:rPr>
  </w:style>
  <w:style w:type="paragraph" w:customStyle="1" w:styleId="488">
    <w:name w:val="xl41"/>
    <w:basedOn w:val="1"/>
    <w:autoRedefine/>
    <w:semiHidden/>
    <w:qFormat/>
    <w:uiPriority w:val="0"/>
    <w:pPr>
      <w:widowControl/>
      <w:pBdr>
        <w:top w:val="single" w:color="auto" w:sz="8"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489">
    <w:name w:val="xl1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center"/>
    </w:pPr>
    <w:rPr>
      <w:rFonts w:ascii="Times New Roman" w:hAnsi="Times New Roman" w:eastAsia="仿宋_GB2312" w:cs="Times New Roman"/>
      <w:color w:val="000000"/>
      <w:kern w:val="0"/>
      <w:sz w:val="20"/>
      <w:szCs w:val="20"/>
    </w:rPr>
  </w:style>
  <w:style w:type="paragraph" w:customStyle="1" w:styleId="490">
    <w:name w:val="样式 (中文) 仿宋_GB2312 加粗 居中 行距: 1.5 倍行距"/>
    <w:basedOn w:val="1"/>
    <w:autoRedefine/>
    <w:qFormat/>
    <w:uiPriority w:val="0"/>
    <w:pPr>
      <w:spacing w:line="360" w:lineRule="auto"/>
      <w:ind w:firstLine="200" w:firstLineChars="200"/>
      <w:jc w:val="center"/>
    </w:pPr>
    <w:rPr>
      <w:rFonts w:ascii="Times New Roman" w:hAnsi="Times New Roman" w:eastAsia="仿宋_GB2312" w:cs="宋体"/>
      <w:b/>
      <w:bCs/>
      <w:szCs w:val="20"/>
    </w:rPr>
  </w:style>
  <w:style w:type="paragraph" w:customStyle="1" w:styleId="491">
    <w:name w:val="xl132"/>
    <w:basedOn w:val="1"/>
    <w:autoRedefine/>
    <w:qFormat/>
    <w:uiPriority w:val="0"/>
    <w:pPr>
      <w:widowControl/>
      <w:pBdr>
        <w:top w:val="single" w:color="auto" w:sz="8"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492">
    <w:name w:val="表格文字2"/>
    <w:basedOn w:val="1"/>
    <w:autoRedefine/>
    <w:qFormat/>
    <w:uiPriority w:val="0"/>
    <w:pPr>
      <w:spacing w:line="360" w:lineRule="auto"/>
      <w:ind w:firstLine="480" w:firstLineChars="200"/>
      <w:jc w:val="center"/>
    </w:pPr>
    <w:rPr>
      <w:rFonts w:ascii="Times New Roman" w:hAnsi="Times New Roman" w:eastAsia="仿宋_GB2312" w:cs="Times New Roman"/>
      <w:sz w:val="24"/>
      <w:szCs w:val="24"/>
    </w:rPr>
  </w:style>
  <w:style w:type="paragraph" w:customStyle="1" w:styleId="493">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仿宋" w:hAnsi="宋体" w:eastAsia="仿宋" w:cs="宋体"/>
      <w:kern w:val="0"/>
      <w:sz w:val="18"/>
      <w:szCs w:val="18"/>
    </w:rPr>
  </w:style>
  <w:style w:type="paragraph" w:customStyle="1" w:styleId="494">
    <w:name w:val="p15"/>
    <w:basedOn w:val="1"/>
    <w:autoRedefine/>
    <w:qFormat/>
    <w:uiPriority w:val="0"/>
    <w:pPr>
      <w:widowControl/>
      <w:spacing w:after="120" w:line="360" w:lineRule="auto"/>
      <w:ind w:firstLine="482" w:firstLineChars="200"/>
    </w:pPr>
    <w:rPr>
      <w:rFonts w:ascii="宋体" w:hAnsi="宋体" w:eastAsia="仿宋_GB2312" w:cs="宋体"/>
      <w:kern w:val="0"/>
      <w:sz w:val="24"/>
      <w:szCs w:val="24"/>
    </w:rPr>
  </w:style>
  <w:style w:type="paragraph" w:customStyle="1" w:styleId="495">
    <w:name w:val="标准"/>
    <w:basedOn w:val="1"/>
    <w:autoRedefine/>
    <w:qFormat/>
    <w:uiPriority w:val="0"/>
    <w:pPr>
      <w:adjustRightInd w:val="0"/>
      <w:spacing w:before="120" w:line="336" w:lineRule="auto"/>
      <w:ind w:firstLine="480" w:firstLineChars="200"/>
      <w:jc w:val="center"/>
      <w:textAlignment w:val="baseline"/>
    </w:pPr>
    <w:rPr>
      <w:rFonts w:ascii="黑体" w:hAnsi="Times New Roman" w:eastAsia="黑体" w:cs="Times New Roman"/>
      <w:szCs w:val="20"/>
    </w:rPr>
  </w:style>
  <w:style w:type="paragraph" w:customStyle="1" w:styleId="496">
    <w:name w:val="Char Char Char Char Char Char Char Char Char Char Char Char Char Char Char Char Char Char Char Char Char Char Char Char Char Char Char Char Char Char Char"/>
    <w:basedOn w:val="1"/>
    <w:autoRedefine/>
    <w:qFormat/>
    <w:uiPriority w:val="0"/>
    <w:pPr>
      <w:spacing w:line="360" w:lineRule="auto"/>
      <w:ind w:firstLine="480" w:firstLineChars="200"/>
      <w:jc w:val="center"/>
    </w:pPr>
    <w:rPr>
      <w:rFonts w:ascii="Times New Roman" w:hAnsi="Times New Roman" w:eastAsia="仿宋_GB2312" w:cs="Times New Roman"/>
      <w:szCs w:val="24"/>
    </w:rPr>
  </w:style>
  <w:style w:type="paragraph" w:customStyle="1" w:styleId="49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498">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499">
    <w:name w:val="pic-info"/>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24"/>
      <w:szCs w:val="24"/>
    </w:rPr>
  </w:style>
  <w:style w:type="paragraph" w:customStyle="1" w:styleId="500">
    <w:name w:val="Char Char Char Char Char Char Char Char Char Char Char Char Char Char Char Char11"/>
    <w:basedOn w:val="1"/>
    <w:autoRedefine/>
    <w:qFormat/>
    <w:uiPriority w:val="0"/>
    <w:pPr>
      <w:spacing w:line="360" w:lineRule="auto"/>
      <w:ind w:firstLine="480" w:firstLineChars="200"/>
      <w:jc w:val="center"/>
    </w:pPr>
    <w:rPr>
      <w:rFonts w:ascii="Times New Roman" w:hAnsi="Times New Roman" w:eastAsia="仿宋_GB2312" w:cs="Times New Roman"/>
      <w:sz w:val="24"/>
      <w:szCs w:val="24"/>
    </w:rPr>
  </w:style>
  <w:style w:type="paragraph" w:customStyle="1" w:styleId="501">
    <w:name w:val="xl43"/>
    <w:basedOn w:val="1"/>
    <w:autoRedefine/>
    <w:semiHidden/>
    <w:qFormat/>
    <w:uiPriority w:val="0"/>
    <w:pPr>
      <w:widowControl/>
      <w:pBdr>
        <w:left w:val="single" w:color="auto" w:sz="8" w:space="0"/>
        <w:bottom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rPr>
  </w:style>
  <w:style w:type="paragraph" w:customStyle="1" w:styleId="502">
    <w:name w:val="xl52"/>
    <w:basedOn w:val="1"/>
    <w:autoRedefine/>
    <w:semiHidden/>
    <w:qFormat/>
    <w:uiPriority w:val="0"/>
    <w:pPr>
      <w:widowControl/>
      <w:pBdr>
        <w:bottom w:val="single" w:color="auto" w:sz="4" w:space="0"/>
        <w:right w:val="single" w:color="auto" w:sz="4" w:space="0"/>
      </w:pBdr>
      <w:shd w:val="clear" w:color="auto" w:fill="FFFFFF"/>
      <w:spacing w:before="100" w:beforeAutospacing="1" w:after="100" w:afterAutospacing="1" w:line="360" w:lineRule="auto"/>
      <w:ind w:firstLine="200" w:firstLineChars="200"/>
      <w:jc w:val="center"/>
      <w:textAlignment w:val="center"/>
    </w:pPr>
    <w:rPr>
      <w:rFonts w:ascii="Calibri" w:hAnsi="Calibri" w:eastAsia="仿宋_GB2312" w:cs="Arial"/>
      <w:kern w:val="0"/>
      <w:sz w:val="22"/>
    </w:rPr>
  </w:style>
  <w:style w:type="paragraph" w:customStyle="1" w:styleId="503">
    <w:name w:val="p0"/>
    <w:basedOn w:val="1"/>
    <w:autoRedefine/>
    <w:qFormat/>
    <w:uiPriority w:val="0"/>
    <w:pPr>
      <w:widowControl/>
      <w:spacing w:line="360" w:lineRule="auto"/>
      <w:ind w:firstLine="200" w:firstLineChars="200"/>
      <w:jc w:val="left"/>
    </w:pPr>
    <w:rPr>
      <w:rFonts w:ascii="Calibri" w:hAnsi="Calibri" w:eastAsia="仿宋_GB2312" w:cs="宋体"/>
      <w:kern w:val="0"/>
      <w:szCs w:val="21"/>
    </w:rPr>
  </w:style>
  <w:style w:type="paragraph" w:customStyle="1" w:styleId="504">
    <w:name w:val="标0"/>
    <w:basedOn w:val="1"/>
    <w:autoRedefine/>
    <w:semiHidden/>
    <w:qFormat/>
    <w:uiPriority w:val="0"/>
    <w:pPr>
      <w:widowControl/>
      <w:spacing w:beforeLines="50" w:afterLines="50" w:line="360" w:lineRule="auto"/>
      <w:ind w:firstLine="200" w:firstLineChars="200"/>
      <w:jc w:val="center"/>
      <w:outlineLvl w:val="0"/>
    </w:pPr>
    <w:rPr>
      <w:rFonts w:ascii="宋体" w:hAnsi="宋体" w:eastAsia="仿宋_GB2312" w:cs="Arial"/>
      <w:b/>
      <w:sz w:val="32"/>
      <w:szCs w:val="32"/>
    </w:rPr>
  </w:style>
  <w:style w:type="paragraph" w:customStyle="1" w:styleId="505">
    <w:name w:val="xl91"/>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506">
    <w:name w:val="样式 样式 标题 2 + 左侧:  1 字符 右侧:  1 字符 + (西文) 黑体1"/>
    <w:basedOn w:val="1"/>
    <w:autoRedefine/>
    <w:qFormat/>
    <w:uiPriority w:val="0"/>
    <w:pPr>
      <w:keepNext/>
      <w:keepLines/>
      <w:snapToGrid w:val="0"/>
      <w:spacing w:line="360" w:lineRule="auto"/>
      <w:ind w:left="240" w:leftChars="100" w:right="240" w:rightChars="100" w:firstLine="480" w:firstLineChars="200"/>
      <w:jc w:val="center"/>
      <w:outlineLvl w:val="1"/>
    </w:pPr>
    <w:rPr>
      <w:rFonts w:ascii="Arial" w:hAnsi="Arial" w:eastAsia="仿宋_GB2312" w:cs="宋体"/>
      <w:sz w:val="28"/>
      <w:szCs w:val="28"/>
    </w:rPr>
  </w:style>
  <w:style w:type="paragraph" w:customStyle="1" w:styleId="507">
    <w:name w:val="xl72"/>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508">
    <w:name w:val="xl3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509">
    <w:name w:val="二级标题 Char Char Char"/>
    <w:basedOn w:val="1"/>
    <w:next w:val="1"/>
    <w:autoRedefine/>
    <w:qFormat/>
    <w:uiPriority w:val="0"/>
    <w:pPr>
      <w:spacing w:line="529" w:lineRule="exact"/>
      <w:ind w:firstLine="200" w:firstLineChars="200"/>
    </w:pPr>
    <w:rPr>
      <w:rFonts w:ascii="宋体" w:hAnsi="宋体" w:eastAsia="仿宋_GB2312" w:cs="宋体"/>
      <w:sz w:val="24"/>
      <w:szCs w:val="24"/>
    </w:rPr>
  </w:style>
  <w:style w:type="paragraph" w:customStyle="1" w:styleId="510">
    <w:name w:val="Char Char Char Char Char Char1 Char1"/>
    <w:basedOn w:val="1"/>
    <w:autoRedefine/>
    <w:qFormat/>
    <w:uiPriority w:val="0"/>
    <w:pPr>
      <w:widowControl/>
      <w:spacing w:after="160" w:line="240" w:lineRule="exact"/>
      <w:ind w:firstLine="480" w:firstLineChars="200"/>
      <w:jc w:val="left"/>
    </w:pPr>
    <w:rPr>
      <w:rFonts w:ascii="Times New Roman" w:hAnsi="Times New Roman" w:eastAsia="仿宋_GB2312" w:cs="Times New Roman"/>
      <w:sz w:val="24"/>
      <w:szCs w:val="24"/>
    </w:rPr>
  </w:style>
  <w:style w:type="paragraph" w:customStyle="1" w:styleId="51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仿宋" w:hAnsi="宋体" w:eastAsia="仿宋" w:cs="宋体"/>
      <w:kern w:val="0"/>
      <w:sz w:val="18"/>
      <w:szCs w:val="18"/>
    </w:rPr>
  </w:style>
  <w:style w:type="paragraph" w:customStyle="1" w:styleId="512">
    <w:name w:val="Char Char Char Char11"/>
    <w:basedOn w:val="26"/>
    <w:autoRedefine/>
    <w:qFormat/>
    <w:uiPriority w:val="0"/>
    <w:pPr>
      <w:adjustRightInd w:val="0"/>
      <w:spacing w:line="436" w:lineRule="exact"/>
      <w:ind w:left="357"/>
      <w:jc w:val="left"/>
      <w:outlineLvl w:val="3"/>
    </w:pPr>
    <w:rPr>
      <w:rFonts w:ascii="Tahoma" w:hAnsi="Tahoma"/>
      <w:b/>
      <w:kern w:val="28"/>
      <w:szCs w:val="28"/>
    </w:rPr>
  </w:style>
  <w:style w:type="paragraph" w:customStyle="1" w:styleId="513">
    <w:name w:val="Char Char Char Char2"/>
    <w:basedOn w:val="1"/>
    <w:autoRedefine/>
    <w:qFormat/>
    <w:uiPriority w:val="0"/>
    <w:pPr>
      <w:spacing w:line="360" w:lineRule="auto"/>
      <w:ind w:firstLine="480" w:firstLineChars="200"/>
      <w:jc w:val="center"/>
    </w:pPr>
    <w:rPr>
      <w:rFonts w:ascii="Times New Roman" w:hAnsi="Times New Roman" w:eastAsia="仿宋_GB2312" w:cs="Times New Roman"/>
      <w:szCs w:val="24"/>
    </w:rPr>
  </w:style>
  <w:style w:type="paragraph" w:customStyle="1" w:styleId="514">
    <w:name w:val="封面标准名称"/>
    <w:autoRedefine/>
    <w:qFormat/>
    <w:uiPriority w:val="0"/>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515">
    <w:name w:val="表格内部"/>
    <w:basedOn w:val="1"/>
    <w:autoRedefine/>
    <w:qFormat/>
    <w:uiPriority w:val="0"/>
    <w:pPr>
      <w:adjustRightInd w:val="0"/>
      <w:snapToGrid w:val="0"/>
      <w:spacing w:line="240" w:lineRule="atLeast"/>
      <w:ind w:firstLine="200" w:firstLineChars="200"/>
      <w:jc w:val="center"/>
      <w:textAlignment w:val="baseline"/>
    </w:pPr>
    <w:rPr>
      <w:rFonts w:ascii="Arial" w:hAnsi="Arial" w:eastAsia="仿宋_GB2312" w:cs="Arial"/>
      <w:kern w:val="0"/>
      <w:szCs w:val="20"/>
    </w:rPr>
  </w:style>
  <w:style w:type="paragraph" w:customStyle="1" w:styleId="516">
    <w:name w:val="xl54"/>
    <w:basedOn w:val="1"/>
    <w:autoRedefine/>
    <w:semiHidden/>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517">
    <w:name w:val="样式 样式 样式 样式 标题 2 + 左侧:  1 字符 右侧:  1 字符 + (西文) 黑体1 + (西文) 黑体 + 加粗"/>
    <w:basedOn w:val="518"/>
    <w:autoRedefine/>
    <w:qFormat/>
    <w:uiPriority w:val="0"/>
  </w:style>
  <w:style w:type="paragraph" w:customStyle="1" w:styleId="518">
    <w:name w:val="样式 样式 样式 标题 2 + 左侧:  1 字符 右侧:  1 字符 + (西文) 黑体1 + (西文) 黑体"/>
    <w:basedOn w:val="506"/>
    <w:autoRedefine/>
    <w:qFormat/>
    <w:uiPriority w:val="0"/>
  </w:style>
  <w:style w:type="paragraph" w:customStyle="1" w:styleId="519">
    <w:name w:val="索引 11"/>
    <w:basedOn w:val="1"/>
    <w:next w:val="1"/>
    <w:autoRedefine/>
    <w:qFormat/>
    <w:uiPriority w:val="0"/>
    <w:pPr>
      <w:widowControl/>
      <w:spacing w:line="360" w:lineRule="auto"/>
      <w:ind w:firstLine="200" w:firstLineChars="200"/>
      <w:jc w:val="left"/>
    </w:pPr>
    <w:rPr>
      <w:rFonts w:ascii="Calibri" w:hAnsi="Calibri" w:eastAsia="仿宋_GB2312" w:cs="Times New Roman"/>
      <w:szCs w:val="20"/>
    </w:rPr>
  </w:style>
  <w:style w:type="paragraph" w:customStyle="1" w:styleId="520">
    <w:name w:val="xl98"/>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20"/>
      <w:szCs w:val="20"/>
    </w:rPr>
  </w:style>
  <w:style w:type="paragraph" w:customStyle="1" w:styleId="521">
    <w:name w:val="xl76"/>
    <w:basedOn w:val="1"/>
    <w:autoRedefine/>
    <w:qFormat/>
    <w:uiPriority w:val="0"/>
    <w:pPr>
      <w:widowControl/>
      <w:shd w:val="clear" w:color="000000" w:fill="FFFFFF"/>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522">
    <w:name w:val="Char1 Char Char Char"/>
    <w:basedOn w:val="1"/>
    <w:autoRedefine/>
    <w:qFormat/>
    <w:uiPriority w:val="0"/>
    <w:pPr>
      <w:spacing w:line="360" w:lineRule="auto"/>
      <w:ind w:firstLine="200" w:firstLineChars="200"/>
    </w:pPr>
    <w:rPr>
      <w:rFonts w:ascii="Times New Roman" w:hAnsi="Times New Roman" w:eastAsia="仿宋_GB2312" w:cs="Times New Roman"/>
      <w:sz w:val="24"/>
      <w:szCs w:val="20"/>
    </w:rPr>
  </w:style>
  <w:style w:type="paragraph" w:customStyle="1" w:styleId="523">
    <w:name w:val="font6"/>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24"/>
      <w:szCs w:val="24"/>
    </w:rPr>
  </w:style>
  <w:style w:type="paragraph" w:customStyle="1" w:styleId="524">
    <w:name w:val="style1"/>
    <w:basedOn w:val="1"/>
    <w:autoRedefine/>
    <w:semiHidden/>
    <w:qFormat/>
    <w:uiPriority w:val="0"/>
    <w:pPr>
      <w:widowControl/>
      <w:spacing w:before="100" w:beforeAutospacing="1" w:after="100" w:afterAutospacing="1" w:line="360" w:lineRule="auto"/>
      <w:ind w:firstLine="200" w:firstLineChars="200"/>
      <w:jc w:val="left"/>
    </w:pPr>
    <w:rPr>
      <w:rFonts w:ascii="Arial Unicode MS" w:hAnsi="Arial Unicode MS" w:eastAsia="仿宋_GB2312" w:cs="Arial"/>
      <w:kern w:val="0"/>
      <w:sz w:val="24"/>
    </w:rPr>
  </w:style>
  <w:style w:type="paragraph" w:styleId="525">
    <w:name w:val="List Paragraph"/>
    <w:basedOn w:val="1"/>
    <w:autoRedefine/>
    <w:qFormat/>
    <w:uiPriority w:val="34"/>
    <w:pPr>
      <w:spacing w:line="360" w:lineRule="auto"/>
      <w:ind w:firstLine="420" w:firstLineChars="200"/>
    </w:pPr>
    <w:rPr>
      <w:rFonts w:ascii="Calibri" w:hAnsi="Calibri" w:eastAsia="仿宋_GB2312" w:cs="Times New Roman"/>
    </w:rPr>
  </w:style>
  <w:style w:type="paragraph" w:customStyle="1" w:styleId="526">
    <w:name w:val="表格正文"/>
    <w:basedOn w:val="1"/>
    <w:autoRedefine/>
    <w:qFormat/>
    <w:uiPriority w:val="0"/>
    <w:pPr>
      <w:autoSpaceDE w:val="0"/>
      <w:autoSpaceDN w:val="0"/>
      <w:adjustRightInd w:val="0"/>
      <w:snapToGrid w:val="0"/>
      <w:spacing w:before="60" w:line="360" w:lineRule="auto"/>
      <w:ind w:right="-96" w:firstLine="480" w:firstLineChars="200"/>
      <w:jc w:val="center"/>
    </w:pPr>
    <w:rPr>
      <w:rFonts w:ascii="宋体" w:hAnsi="宋体" w:eastAsia="仿宋_GB2312" w:cs="Arial"/>
      <w:color w:val="000000"/>
      <w:sz w:val="24"/>
      <w:szCs w:val="21"/>
    </w:rPr>
  </w:style>
  <w:style w:type="paragraph" w:customStyle="1" w:styleId="527">
    <w:name w:val="样式 小四 首行缩进:  0.85 厘米 行距: 1.5 倍行距"/>
    <w:basedOn w:val="1"/>
    <w:autoRedefine/>
    <w:qFormat/>
    <w:uiPriority w:val="0"/>
    <w:pPr>
      <w:spacing w:line="360" w:lineRule="auto"/>
      <w:ind w:firstLine="480" w:firstLineChars="200"/>
    </w:pPr>
    <w:rPr>
      <w:rFonts w:ascii="Times New Roman" w:hAnsi="Times New Roman" w:eastAsia="仿宋_GB2312" w:cs="宋体"/>
      <w:sz w:val="24"/>
      <w:szCs w:val="20"/>
    </w:rPr>
  </w:style>
  <w:style w:type="paragraph" w:customStyle="1" w:styleId="528">
    <w:name w:val="表文文"/>
    <w:basedOn w:val="1"/>
    <w:autoRedefine/>
    <w:semiHidden/>
    <w:qFormat/>
    <w:uiPriority w:val="0"/>
    <w:pPr>
      <w:widowControl/>
      <w:spacing w:line="240" w:lineRule="exact"/>
      <w:ind w:firstLine="200" w:firstLineChars="200"/>
      <w:jc w:val="center"/>
      <w:textAlignment w:val="baseline"/>
    </w:pPr>
    <w:rPr>
      <w:rFonts w:ascii="宋体" w:hAnsi="Calibri" w:eastAsia="仿宋_GB2312" w:cs="Arial"/>
      <w:color w:val="000000"/>
      <w:kern w:val="28"/>
      <w:sz w:val="18"/>
      <w:szCs w:val="20"/>
    </w:rPr>
  </w:style>
  <w:style w:type="paragraph" w:customStyle="1" w:styleId="529">
    <w:name w:val="样式 正文缩进 + (西文) Arial 小四"/>
    <w:basedOn w:val="21"/>
    <w:autoRedefine/>
    <w:qFormat/>
    <w:uiPriority w:val="0"/>
    <w:pPr>
      <w:snapToGrid w:val="0"/>
      <w:ind w:firstLine="0"/>
      <w:jc w:val="center"/>
    </w:pPr>
    <w:rPr>
      <w:rFonts w:ascii="Times New Roman" w:hAnsi="Times New Roman"/>
      <w:sz w:val="28"/>
    </w:rPr>
  </w:style>
  <w:style w:type="paragraph" w:customStyle="1" w:styleId="530">
    <w:name w:val="xl80"/>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531">
    <w:name w:val="ordinary-output target-output"/>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24"/>
      <w:szCs w:val="24"/>
    </w:rPr>
  </w:style>
  <w:style w:type="paragraph" w:customStyle="1" w:styleId="532">
    <w:name w:val="样式10"/>
    <w:basedOn w:val="533"/>
    <w:autoRedefine/>
    <w:qFormat/>
    <w:uiPriority w:val="0"/>
    <w:pPr>
      <w:tabs>
        <w:tab w:val="left" w:pos="269"/>
        <w:tab w:val="left" w:pos="538"/>
        <w:tab w:val="left" w:pos="736"/>
        <w:tab w:val="left" w:pos="4262"/>
      </w:tabs>
    </w:pPr>
    <w:rPr>
      <w:rFonts w:eastAsia="宋体"/>
      <w:b/>
    </w:rPr>
  </w:style>
  <w:style w:type="paragraph" w:customStyle="1" w:styleId="533">
    <w:name w:val="样式9"/>
    <w:basedOn w:val="4"/>
    <w:autoRedefine/>
    <w:qFormat/>
    <w:uiPriority w:val="0"/>
    <w:pPr>
      <w:tabs>
        <w:tab w:val="left" w:pos="269"/>
        <w:tab w:val="left" w:pos="538"/>
        <w:tab w:val="left" w:pos="736"/>
        <w:tab w:val="left" w:pos="4262"/>
      </w:tabs>
      <w:adjustRightInd w:val="0"/>
      <w:spacing w:before="0" w:after="0"/>
      <w:ind w:left="736" w:hanging="720" w:firstLineChars="200"/>
      <w:jc w:val="center"/>
    </w:pPr>
    <w:rPr>
      <w:rFonts w:ascii="Arial" w:hAnsi="Arial"/>
      <w:kern w:val="44"/>
      <w:sz w:val="28"/>
      <w:szCs w:val="20"/>
    </w:rPr>
  </w:style>
  <w:style w:type="paragraph" w:customStyle="1" w:styleId="534">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535">
    <w:name w:val="表中文字"/>
    <w:basedOn w:val="1"/>
    <w:autoRedefine/>
    <w:qFormat/>
    <w:uiPriority w:val="0"/>
    <w:pPr>
      <w:spacing w:line="300" w:lineRule="atLeast"/>
      <w:ind w:firstLine="200" w:firstLineChars="200"/>
      <w:jc w:val="center"/>
    </w:pPr>
    <w:rPr>
      <w:rFonts w:ascii="Times New Roman" w:hAnsi="Times New Roman" w:eastAsia="仿宋_GB2312" w:cs="Times New Roman"/>
      <w:szCs w:val="24"/>
    </w:rPr>
  </w:style>
  <w:style w:type="paragraph" w:customStyle="1" w:styleId="536">
    <w:name w:val="xl108"/>
    <w:basedOn w:val="1"/>
    <w:autoRedefine/>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537">
    <w:name w:val="Footer Even"/>
    <w:basedOn w:val="1"/>
    <w:autoRedefine/>
    <w:qFormat/>
    <w:uiPriority w:val="0"/>
    <w:pPr>
      <w:widowControl/>
      <w:pBdr>
        <w:top w:val="single" w:color="4F81BD" w:sz="4" w:space="1"/>
      </w:pBdr>
      <w:spacing w:after="180" w:line="264" w:lineRule="auto"/>
      <w:ind w:firstLine="200" w:firstLineChars="200"/>
      <w:jc w:val="left"/>
    </w:pPr>
    <w:rPr>
      <w:rFonts w:ascii="Calibri" w:hAnsi="Calibri" w:eastAsia="宋体" w:cs="Times New Roman"/>
      <w:color w:val="1F497D"/>
      <w:kern w:val="0"/>
      <w:sz w:val="20"/>
      <w:szCs w:val="23"/>
    </w:rPr>
  </w:style>
  <w:style w:type="paragraph" w:customStyle="1" w:styleId="538">
    <w:name w:val="Char Char Char Char Char Char Char Char Char Char Char Char Char Char Char Char2"/>
    <w:basedOn w:val="1"/>
    <w:autoRedefine/>
    <w:semiHidden/>
    <w:qFormat/>
    <w:uiPriority w:val="0"/>
    <w:pPr>
      <w:spacing w:line="360" w:lineRule="auto"/>
      <w:ind w:left="-48" w:firstLine="200" w:firstLineChars="200"/>
    </w:pPr>
    <w:rPr>
      <w:rFonts w:ascii="Times New Roman" w:hAnsi="Times New Roman" w:eastAsia="仿宋_GB2312" w:cs="Times New Roman"/>
      <w:szCs w:val="24"/>
    </w:rPr>
  </w:style>
  <w:style w:type="paragraph" w:customStyle="1" w:styleId="539">
    <w:name w:val="x表格"/>
    <w:basedOn w:val="1"/>
    <w:autoRedefine/>
    <w:qFormat/>
    <w:uiPriority w:val="0"/>
    <w:pPr>
      <w:wordWrap w:val="0"/>
      <w:spacing w:beforeLines="50" w:line="360" w:lineRule="auto"/>
      <w:ind w:right="140" w:firstLine="480" w:firstLineChars="200"/>
      <w:jc w:val="right"/>
    </w:pPr>
    <w:rPr>
      <w:rFonts w:ascii="宋体" w:hAnsi="宋体" w:eastAsia="仿宋_GB2312" w:cs="Times New Roman"/>
      <w:sz w:val="24"/>
      <w:szCs w:val="24"/>
    </w:rPr>
  </w:style>
  <w:style w:type="paragraph" w:customStyle="1" w:styleId="540">
    <w:name w:val="标题3T"/>
    <w:basedOn w:val="5"/>
    <w:next w:val="1"/>
    <w:autoRedefine/>
    <w:qFormat/>
    <w:uiPriority w:val="0"/>
    <w:pPr>
      <w:spacing w:beforeLines="50" w:afterLines="50" w:line="480" w:lineRule="exact"/>
      <w:ind w:firstLine="509" w:firstLineChars="202"/>
      <w:jc w:val="left"/>
      <w:outlineLvl w:val="0"/>
    </w:pPr>
    <w:rPr>
      <w:rFonts w:ascii="宋体" w:hAnsi="宋体"/>
      <w:b/>
      <w:bCs w:val="0"/>
      <w:color w:val="7030A0"/>
      <w:w w:val="90"/>
      <w:szCs w:val="28"/>
    </w:rPr>
  </w:style>
  <w:style w:type="paragraph" w:customStyle="1" w:styleId="541">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542">
    <w:name w:val="xl49"/>
    <w:basedOn w:val="1"/>
    <w:autoRedefine/>
    <w:qFormat/>
    <w:uiPriority w:val="0"/>
    <w:pPr>
      <w:widowControl/>
      <w:pBdr>
        <w:left w:val="single" w:color="auto" w:sz="4" w:space="0"/>
        <w:bottom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Times New Roman"/>
      <w:kern w:val="0"/>
      <w:sz w:val="24"/>
      <w:szCs w:val="24"/>
    </w:rPr>
  </w:style>
  <w:style w:type="paragraph" w:customStyle="1" w:styleId="543">
    <w:name w:val="默认段落字体 Para"/>
    <w:basedOn w:val="1"/>
    <w:autoRedefine/>
    <w:qFormat/>
    <w:uiPriority w:val="0"/>
    <w:pPr>
      <w:spacing w:line="360" w:lineRule="auto"/>
      <w:ind w:firstLine="200" w:firstLineChars="200"/>
    </w:pPr>
    <w:rPr>
      <w:rFonts w:ascii="Times New Roman" w:hAnsi="Times New Roman" w:eastAsia="仿宋_GB2312" w:cs="Times New Roman"/>
      <w:szCs w:val="20"/>
    </w:rPr>
  </w:style>
  <w:style w:type="paragraph" w:customStyle="1" w:styleId="544">
    <w:name w:val="样式 左侧:  0 厘米 首行缩进:  0.85 厘米"/>
    <w:basedOn w:val="1"/>
    <w:autoRedefine/>
    <w:qFormat/>
    <w:uiPriority w:val="0"/>
    <w:pPr>
      <w:spacing w:line="360" w:lineRule="auto"/>
      <w:ind w:firstLine="480" w:firstLineChars="200"/>
    </w:pPr>
    <w:rPr>
      <w:rFonts w:ascii="Times New Roman" w:hAnsi="Times New Roman" w:eastAsia="仿宋_GB2312" w:cs="Times New Roman"/>
      <w:sz w:val="24"/>
      <w:szCs w:val="20"/>
    </w:rPr>
  </w:style>
  <w:style w:type="paragraph" w:customStyle="1" w:styleId="545">
    <w:name w:val="xl13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546">
    <w:name w:val="正文王"/>
    <w:basedOn w:val="1"/>
    <w:autoRedefine/>
    <w:semiHidden/>
    <w:qFormat/>
    <w:uiPriority w:val="0"/>
    <w:pPr>
      <w:widowControl/>
      <w:spacing w:line="360" w:lineRule="auto"/>
      <w:ind w:firstLine="200" w:firstLineChars="200"/>
      <w:jc w:val="left"/>
    </w:pPr>
    <w:rPr>
      <w:rFonts w:ascii="Calibri" w:hAnsi="Calibri" w:eastAsia="仿宋_GB2312" w:cs="Arial"/>
      <w:kern w:val="28"/>
      <w:szCs w:val="20"/>
    </w:rPr>
  </w:style>
  <w:style w:type="paragraph" w:customStyle="1" w:styleId="547">
    <w:name w:val="样式 样式 标题 1 + 左侧:  1 字符 右侧:  1 字符 + 宋体 非加粗 左侧:  1 字符 右侧:  1 字符"/>
    <w:basedOn w:val="548"/>
    <w:autoRedefine/>
    <w:qFormat/>
    <w:uiPriority w:val="0"/>
  </w:style>
  <w:style w:type="paragraph" w:customStyle="1" w:styleId="548">
    <w:name w:val="样式 标题 1 + 左侧:  1 字符 右侧:  1 字符"/>
    <w:basedOn w:val="3"/>
    <w:autoRedefine/>
    <w:qFormat/>
    <w:uiPriority w:val="0"/>
    <w:pPr>
      <w:snapToGrid w:val="0"/>
      <w:spacing w:before="0" w:after="0" w:line="360" w:lineRule="auto"/>
      <w:ind w:left="240" w:leftChars="100" w:right="240" w:rightChars="100"/>
    </w:pPr>
    <w:rPr>
      <w:rFonts w:ascii="Arial" w:hAnsi="Arial" w:cs="宋体"/>
      <w:bCs w:val="0"/>
      <w:sz w:val="28"/>
      <w:szCs w:val="28"/>
    </w:rPr>
  </w:style>
  <w:style w:type="paragraph" w:customStyle="1" w:styleId="549">
    <w:name w:val="样式 目录 1 + 段前: 0 磅 段后: 0 磅2"/>
    <w:basedOn w:val="59"/>
    <w:autoRedefine/>
    <w:qFormat/>
    <w:uiPriority w:val="0"/>
    <w:pPr>
      <w:tabs>
        <w:tab w:val="right" w:leader="hyphen" w:pos="8302"/>
      </w:tabs>
    </w:pPr>
    <w:rPr>
      <w:rFonts w:cs="宋体"/>
      <w:bCs w:val="0"/>
      <w:caps w:val="0"/>
    </w:rPr>
  </w:style>
  <w:style w:type="paragraph" w:customStyle="1" w:styleId="550">
    <w:name w:val="font7"/>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18"/>
      <w:szCs w:val="18"/>
    </w:rPr>
  </w:style>
  <w:style w:type="paragraph" w:customStyle="1" w:styleId="551">
    <w:name w:val="自正文1"/>
    <w:basedOn w:val="1"/>
    <w:autoRedefine/>
    <w:semiHidden/>
    <w:qFormat/>
    <w:uiPriority w:val="0"/>
    <w:pPr>
      <w:widowControl/>
      <w:adjustRightInd w:val="0"/>
      <w:spacing w:line="312" w:lineRule="atLeast"/>
      <w:ind w:firstLine="560" w:firstLineChars="200"/>
      <w:jc w:val="left"/>
      <w:textAlignment w:val="baseline"/>
    </w:pPr>
    <w:rPr>
      <w:rFonts w:ascii="Calibri" w:hAnsi="Calibri" w:eastAsia="黑体" w:cs="Arial"/>
      <w:bCs/>
      <w:snapToGrid w:val="0"/>
      <w:kern w:val="24"/>
      <w:szCs w:val="20"/>
    </w:rPr>
  </w:style>
  <w:style w:type="paragraph" w:customStyle="1" w:styleId="552">
    <w:name w:val="xl110"/>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553">
    <w:name w:val="王 表格，五宋"/>
    <w:autoRedefine/>
    <w:semiHidden/>
    <w:qFormat/>
    <w:uiPriority w:val="0"/>
    <w:pPr>
      <w:widowControl w:val="0"/>
      <w:adjustRightInd w:val="0"/>
      <w:spacing w:line="240" w:lineRule="atLeast"/>
      <w:jc w:val="center"/>
    </w:pPr>
    <w:rPr>
      <w:rFonts w:ascii="Times New Roman" w:hAnsi="Times New Roman" w:eastAsia="宋体" w:cs="Times New Roman"/>
      <w:color w:val="000000"/>
      <w:kern w:val="0"/>
      <w:sz w:val="21"/>
      <w:szCs w:val="21"/>
      <w:lang w:val="en-US" w:eastAsia="zh-CN" w:bidi="ar-SA"/>
    </w:rPr>
  </w:style>
  <w:style w:type="paragraph" w:customStyle="1" w:styleId="554">
    <w:name w:val="font12"/>
    <w:basedOn w:val="1"/>
    <w:autoRedefine/>
    <w:qFormat/>
    <w:uiPriority w:val="0"/>
    <w:pPr>
      <w:widowControl/>
      <w:spacing w:before="100" w:beforeAutospacing="1" w:after="100" w:afterAutospacing="1" w:line="360" w:lineRule="auto"/>
      <w:ind w:firstLine="200" w:firstLineChars="200"/>
      <w:jc w:val="left"/>
    </w:pPr>
    <w:rPr>
      <w:rFonts w:ascii="Times New Roman" w:hAnsi="Times New Roman" w:eastAsia="仿宋_GB2312" w:cs="Times New Roman"/>
      <w:kern w:val="0"/>
      <w:sz w:val="20"/>
      <w:szCs w:val="20"/>
    </w:rPr>
  </w:style>
  <w:style w:type="paragraph" w:customStyle="1" w:styleId="555">
    <w:name w:val="报告书表格"/>
    <w:basedOn w:val="1"/>
    <w:autoRedefine/>
    <w:semiHidden/>
    <w:qFormat/>
    <w:uiPriority w:val="0"/>
    <w:pPr>
      <w:widowControl/>
      <w:adjustRightInd w:val="0"/>
      <w:spacing w:before="60" w:after="60" w:line="240" w:lineRule="atLeast"/>
      <w:ind w:firstLine="200" w:firstLineChars="200"/>
      <w:jc w:val="center"/>
      <w:textAlignment w:val="baseline"/>
    </w:pPr>
    <w:rPr>
      <w:rFonts w:ascii="Calibri" w:hAnsi="Calibri" w:eastAsia="仿宋_GB2312" w:cs="Arial"/>
      <w:kern w:val="0"/>
      <w:szCs w:val="20"/>
    </w:rPr>
  </w:style>
  <w:style w:type="paragraph" w:customStyle="1" w:styleId="556">
    <w:name w:val="xl57"/>
    <w:basedOn w:val="1"/>
    <w:autoRedefine/>
    <w:semiHidden/>
    <w:qFormat/>
    <w:uiPriority w:val="0"/>
    <w:pPr>
      <w:widowControl/>
      <w:spacing w:before="100" w:beforeAutospacing="1" w:after="100" w:afterAutospacing="1" w:line="360" w:lineRule="auto"/>
      <w:ind w:firstLine="200" w:firstLineChars="200"/>
      <w:jc w:val="center"/>
    </w:pPr>
    <w:rPr>
      <w:rFonts w:ascii="Arial Unicode MS" w:hAnsi="Arial Unicode MS" w:eastAsia="仿宋_GB2312" w:cs="Arial"/>
      <w:kern w:val="0"/>
      <w:szCs w:val="21"/>
    </w:rPr>
  </w:style>
  <w:style w:type="paragraph" w:customStyle="1" w:styleId="557">
    <w:name w:val="默认段落字体 Para Char Char Char Char Char Char Char"/>
    <w:basedOn w:val="1"/>
    <w:autoRedefine/>
    <w:qFormat/>
    <w:uiPriority w:val="0"/>
    <w:pPr>
      <w:spacing w:line="360" w:lineRule="auto"/>
      <w:ind w:firstLine="200" w:firstLineChars="200"/>
    </w:pPr>
    <w:rPr>
      <w:rFonts w:ascii="Times New Roman" w:hAnsi="Times New Roman" w:eastAsia="仿宋_GB2312" w:cs="Times New Roman"/>
      <w:sz w:val="24"/>
      <w:szCs w:val="24"/>
    </w:rPr>
  </w:style>
  <w:style w:type="paragraph" w:customStyle="1" w:styleId="558">
    <w:name w:val="font9"/>
    <w:basedOn w:val="1"/>
    <w:autoRedefine/>
    <w:qFormat/>
    <w:uiPriority w:val="0"/>
    <w:pPr>
      <w:widowControl/>
      <w:spacing w:before="100" w:beforeAutospacing="1" w:after="100" w:afterAutospacing="1" w:line="360" w:lineRule="auto"/>
      <w:ind w:firstLine="200" w:firstLineChars="200"/>
      <w:jc w:val="left"/>
    </w:pPr>
    <w:rPr>
      <w:rFonts w:ascii="Times New Roman" w:hAnsi="Times New Roman" w:eastAsia="Arial Unicode MS" w:cs="Times New Roman"/>
      <w:b/>
      <w:bCs/>
      <w:kern w:val="0"/>
      <w:sz w:val="24"/>
      <w:szCs w:val="24"/>
    </w:rPr>
  </w:style>
  <w:style w:type="paragraph" w:customStyle="1" w:styleId="559">
    <w:name w:val="xl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560">
    <w:name w:val="首行缩进 2字符"/>
    <w:basedOn w:val="1"/>
    <w:autoRedefine/>
    <w:qFormat/>
    <w:uiPriority w:val="0"/>
    <w:pPr>
      <w:numPr>
        <w:ilvl w:val="0"/>
        <w:numId w:val="13"/>
      </w:numPr>
      <w:adjustRightInd w:val="0"/>
      <w:snapToGrid w:val="0"/>
      <w:spacing w:line="336" w:lineRule="auto"/>
      <w:ind w:left="0" w:firstLine="482" w:firstLineChars="200"/>
    </w:pPr>
    <w:rPr>
      <w:rFonts w:ascii="Times New Roman" w:hAnsi="Times New Roman" w:eastAsia="仿宋_GB2312" w:cs="Times New Roman"/>
      <w:snapToGrid w:val="0"/>
      <w:spacing w:val="-4"/>
      <w:kern w:val="0"/>
      <w:sz w:val="24"/>
      <w:szCs w:val="24"/>
    </w:rPr>
  </w:style>
  <w:style w:type="paragraph" w:customStyle="1" w:styleId="561">
    <w:name w:val="Char Char Char1 Char Char Char Char Char Char Char1"/>
    <w:basedOn w:val="1"/>
    <w:autoRedefine/>
    <w:qFormat/>
    <w:uiPriority w:val="0"/>
    <w:pPr>
      <w:adjustRightInd w:val="0"/>
      <w:snapToGrid w:val="0"/>
      <w:spacing w:line="360" w:lineRule="auto"/>
      <w:ind w:firstLine="200" w:firstLineChars="200"/>
      <w:textAlignment w:val="baseline"/>
    </w:pPr>
    <w:rPr>
      <w:rFonts w:ascii="Times New Roman" w:hAnsi="Times New Roman" w:eastAsia="仿宋_GB2312" w:cs="Times New Roman"/>
      <w:sz w:val="24"/>
      <w:szCs w:val="24"/>
    </w:rPr>
  </w:style>
  <w:style w:type="paragraph" w:customStyle="1" w:styleId="562">
    <w:name w:val="表中字"/>
    <w:basedOn w:val="1"/>
    <w:autoRedefine/>
    <w:qFormat/>
    <w:uiPriority w:val="0"/>
    <w:pPr>
      <w:tabs>
        <w:tab w:val="left" w:pos="5375"/>
      </w:tabs>
      <w:spacing w:line="240" w:lineRule="atLeast"/>
      <w:ind w:firstLine="200" w:firstLineChars="200"/>
      <w:jc w:val="center"/>
    </w:pPr>
    <w:rPr>
      <w:rFonts w:ascii="宋体" w:hAnsi="宋体" w:eastAsia="仿宋_GB2312" w:cs="Times New Roman"/>
      <w:color w:val="000000"/>
      <w:sz w:val="24"/>
      <w:szCs w:val="24"/>
    </w:rPr>
  </w:style>
  <w:style w:type="paragraph" w:customStyle="1" w:styleId="563">
    <w:name w:val="xl89"/>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564">
    <w:name w:val="xl109"/>
    <w:basedOn w:val="1"/>
    <w:autoRedefine/>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565">
    <w:name w:val="007"/>
    <w:basedOn w:val="1"/>
    <w:autoRedefine/>
    <w:qFormat/>
    <w:uiPriority w:val="0"/>
    <w:pPr>
      <w:spacing w:line="360" w:lineRule="auto"/>
      <w:ind w:firstLine="200" w:firstLineChars="200"/>
    </w:pPr>
    <w:rPr>
      <w:rFonts w:ascii="Times New Roman" w:hAnsi="Times New Roman" w:eastAsia="仿宋_GB2312" w:cs="Times New Roman"/>
      <w:szCs w:val="24"/>
    </w:rPr>
  </w:style>
  <w:style w:type="paragraph" w:customStyle="1" w:styleId="566">
    <w:name w:val="xl83"/>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567">
    <w:name w:val="xl53"/>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仿宋_GB2312" w:cs="Arial"/>
      <w:kern w:val="0"/>
      <w:sz w:val="24"/>
    </w:rPr>
  </w:style>
  <w:style w:type="paragraph" w:customStyle="1" w:styleId="568">
    <w:name w:val="Char Char Char Char1"/>
    <w:basedOn w:val="1"/>
    <w:autoRedefine/>
    <w:qFormat/>
    <w:uiPriority w:val="0"/>
    <w:pPr>
      <w:snapToGrid w:val="0"/>
      <w:spacing w:line="360" w:lineRule="auto"/>
      <w:ind w:firstLine="200" w:firstLineChars="200"/>
      <w:jc w:val="center"/>
    </w:pPr>
    <w:rPr>
      <w:rFonts w:ascii="Times New Roman" w:hAnsi="Times New Roman" w:eastAsia="仿宋_GB2312" w:cs="Times New Roman"/>
      <w:sz w:val="24"/>
      <w:szCs w:val="21"/>
    </w:rPr>
  </w:style>
  <w:style w:type="paragraph" w:customStyle="1" w:styleId="569">
    <w:name w:val="Char1 Char Char Char Char Char Char Char Char Char Char Char Char Char Char Char Char Char Char Char Char Char Char Char1 Char Char Char Char Char Char Char"/>
    <w:basedOn w:val="26"/>
    <w:autoRedefine/>
    <w:semiHidden/>
    <w:qFormat/>
    <w:uiPriority w:val="0"/>
    <w:pPr>
      <w:shd w:val="clear" w:color="auto" w:fill="000080"/>
      <w:adjustRightInd w:val="0"/>
      <w:spacing w:line="436" w:lineRule="exact"/>
      <w:ind w:left="357"/>
      <w:jc w:val="left"/>
      <w:outlineLvl w:val="3"/>
    </w:pPr>
    <w:rPr>
      <w:rFonts w:ascii="Tahoma" w:hAnsi="Tahoma"/>
      <w:b/>
      <w:caps/>
      <w:kern w:val="28"/>
      <w:sz w:val="24"/>
      <w:szCs w:val="24"/>
    </w:rPr>
  </w:style>
  <w:style w:type="paragraph" w:customStyle="1" w:styleId="570">
    <w:name w:val="样式7"/>
    <w:basedOn w:val="3"/>
    <w:autoRedefine/>
    <w:semiHidden/>
    <w:qFormat/>
    <w:uiPriority w:val="0"/>
    <w:pPr>
      <w:widowControl/>
      <w:tabs>
        <w:tab w:val="left" w:pos="432"/>
        <w:tab w:val="left" w:pos="465"/>
        <w:tab w:val="left" w:pos="567"/>
      </w:tabs>
      <w:adjustRightInd w:val="0"/>
      <w:snapToGrid w:val="0"/>
      <w:spacing w:before="240" w:after="20" w:line="360" w:lineRule="auto"/>
      <w:ind w:left="465" w:hanging="465"/>
      <w:jc w:val="center"/>
    </w:pPr>
    <w:rPr>
      <w:rFonts w:eastAsia="黑体"/>
      <w:b w:val="0"/>
      <w:bCs w:val="0"/>
      <w:sz w:val="30"/>
      <w:szCs w:val="32"/>
    </w:rPr>
  </w:style>
  <w:style w:type="paragraph" w:customStyle="1" w:styleId="571">
    <w:name w:val="2  正  文"/>
    <w:basedOn w:val="1"/>
    <w:autoRedefine/>
    <w:qFormat/>
    <w:uiPriority w:val="0"/>
    <w:pPr>
      <w:spacing w:line="360" w:lineRule="auto"/>
      <w:ind w:firstLine="200" w:firstLineChars="200"/>
    </w:pPr>
    <w:rPr>
      <w:rFonts w:ascii="Times New Roman" w:hAnsi="Times New Roman" w:eastAsia="仿宋_GB2312" w:cs="Times New Roman"/>
      <w:sz w:val="24"/>
      <w:szCs w:val="24"/>
    </w:rPr>
  </w:style>
  <w:style w:type="paragraph" w:customStyle="1" w:styleId="572">
    <w:name w:val="xl11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573">
    <w:name w:val="font5"/>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18"/>
      <w:szCs w:val="18"/>
    </w:rPr>
  </w:style>
  <w:style w:type="paragraph" w:customStyle="1" w:styleId="574">
    <w:name w:val="xl34"/>
    <w:basedOn w:val="1"/>
    <w:autoRedefine/>
    <w:qFormat/>
    <w:uiPriority w:val="0"/>
    <w:pPr>
      <w:widowControl/>
      <w:pBdr>
        <w:top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575">
    <w:name w:val="xl82"/>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576">
    <w:name w:val="font0"/>
    <w:basedOn w:val="1"/>
    <w:autoRedefine/>
    <w:qFormat/>
    <w:uiPriority w:val="0"/>
    <w:pPr>
      <w:widowControl/>
      <w:spacing w:before="100" w:beforeAutospacing="1" w:after="100" w:afterAutospacing="1" w:line="360" w:lineRule="auto"/>
      <w:ind w:firstLine="200" w:firstLineChars="200"/>
      <w:jc w:val="left"/>
    </w:pPr>
    <w:rPr>
      <w:rFonts w:hint="eastAsia" w:ascii="宋体" w:hAnsi="宋体" w:eastAsia="仿宋_GB2312" w:cs="Arial Unicode MS"/>
      <w:kern w:val="0"/>
      <w:sz w:val="24"/>
      <w:szCs w:val="24"/>
    </w:rPr>
  </w:style>
  <w:style w:type="paragraph" w:customStyle="1" w:styleId="577">
    <w:name w:val="环小四（一级章节）"/>
    <w:autoRedefine/>
    <w:qFormat/>
    <w:uiPriority w:val="0"/>
    <w:pPr>
      <w:widowControl w:val="0"/>
      <w:spacing w:beforeLines="50" w:afterLines="50"/>
      <w:jc w:val="center"/>
      <w:outlineLvl w:val="0"/>
    </w:pPr>
    <w:rPr>
      <w:rFonts w:ascii="宋体" w:hAnsi="宋体" w:eastAsia="宋体" w:cs="Times New Roman"/>
      <w:b/>
      <w:bCs/>
      <w:color w:val="000000"/>
      <w:kern w:val="2"/>
      <w:sz w:val="30"/>
      <w:szCs w:val="30"/>
      <w:lang w:val="en-US" w:eastAsia="zh-CN" w:bidi="ar-SA"/>
    </w:rPr>
  </w:style>
  <w:style w:type="paragraph" w:customStyle="1" w:styleId="578">
    <w:name w:val="样式 正文缩进 + 四号 首行缩进:  1.1 厘米"/>
    <w:basedOn w:val="21"/>
    <w:autoRedefine/>
    <w:qFormat/>
    <w:uiPriority w:val="0"/>
    <w:pPr>
      <w:adjustRightInd w:val="0"/>
      <w:snapToGrid w:val="0"/>
      <w:spacing w:line="300" w:lineRule="auto"/>
      <w:ind w:left="240" w:leftChars="100" w:right="240" w:rightChars="100" w:firstLine="624"/>
      <w:jc w:val="center"/>
    </w:pPr>
    <w:rPr>
      <w:rFonts w:ascii="Arial" w:hAnsi="Arial" w:cs="宋体"/>
      <w:sz w:val="24"/>
      <w:szCs w:val="24"/>
    </w:rPr>
  </w:style>
  <w:style w:type="paragraph" w:customStyle="1" w:styleId="579">
    <w:name w:val="Footer Odd"/>
    <w:basedOn w:val="1"/>
    <w:autoRedefine/>
    <w:qFormat/>
    <w:uiPriority w:val="0"/>
    <w:pPr>
      <w:widowControl/>
      <w:pBdr>
        <w:top w:val="single" w:color="4F81BD" w:sz="4" w:space="1"/>
      </w:pBdr>
      <w:spacing w:after="180" w:line="264" w:lineRule="auto"/>
      <w:ind w:firstLine="200" w:firstLineChars="200"/>
      <w:jc w:val="right"/>
    </w:pPr>
    <w:rPr>
      <w:rFonts w:ascii="Calibri" w:hAnsi="Calibri" w:eastAsia="仿宋_GB2312" w:cs="Times New Roman"/>
      <w:color w:val="1F497D"/>
      <w:kern w:val="0"/>
      <w:sz w:val="20"/>
      <w:szCs w:val="23"/>
    </w:rPr>
  </w:style>
  <w:style w:type="paragraph" w:customStyle="1" w:styleId="580">
    <w:name w:val="Char Char Char Char Char Char11"/>
    <w:basedOn w:val="1"/>
    <w:autoRedefine/>
    <w:qFormat/>
    <w:locked/>
    <w:uiPriority w:val="0"/>
    <w:pPr>
      <w:spacing w:line="360" w:lineRule="auto"/>
      <w:ind w:firstLine="200" w:firstLineChars="200"/>
    </w:pPr>
    <w:rPr>
      <w:rFonts w:ascii="宋体" w:hAnsi="Times New Roman" w:eastAsia="方正仿宋简体" w:cs="Times New Roman"/>
      <w:color w:val="000000"/>
      <w:sz w:val="24"/>
      <w:szCs w:val="32"/>
    </w:rPr>
  </w:style>
  <w:style w:type="paragraph" w:customStyle="1" w:styleId="581">
    <w:name w:val="5正文"/>
    <w:basedOn w:val="1"/>
    <w:autoRedefine/>
    <w:qFormat/>
    <w:uiPriority w:val="0"/>
    <w:pPr>
      <w:tabs>
        <w:tab w:val="left" w:pos="2625"/>
      </w:tabs>
      <w:spacing w:line="360" w:lineRule="auto"/>
      <w:ind w:firstLine="480" w:firstLineChars="200"/>
    </w:pPr>
    <w:rPr>
      <w:rFonts w:ascii="仿宋_GB2312" w:hAnsi="Times New Roman" w:eastAsia="仿宋_GB2312" w:cs="Times New Roman"/>
      <w:snapToGrid w:val="0"/>
      <w:sz w:val="24"/>
      <w:szCs w:val="24"/>
    </w:rPr>
  </w:style>
  <w:style w:type="paragraph" w:customStyle="1" w:styleId="582">
    <w:name w:val="样式 标题 3 + 首行缩进:  2 字符"/>
    <w:basedOn w:val="5"/>
    <w:autoRedefine/>
    <w:qFormat/>
    <w:uiPriority w:val="0"/>
    <w:pPr>
      <w:spacing w:line="500" w:lineRule="exact"/>
      <w:ind w:firstLine="643"/>
      <w:jc w:val="left"/>
    </w:pPr>
    <w:rPr>
      <w:rFonts w:ascii="宋体" w:hAnsi="宋体" w:cs="宋体"/>
      <w:color w:val="000000"/>
      <w:szCs w:val="20"/>
    </w:rPr>
  </w:style>
  <w:style w:type="paragraph" w:customStyle="1" w:styleId="583">
    <w:name w:val="Char Char Char Char Char Char Char Char Char2 Char Char Char2 Char"/>
    <w:basedOn w:val="1"/>
    <w:next w:val="1"/>
    <w:autoRedefine/>
    <w:qFormat/>
    <w:uiPriority w:val="0"/>
    <w:pPr>
      <w:pBdr>
        <w:right w:val="single" w:color="auto" w:sz="12" w:space="4"/>
      </w:pBdr>
      <w:spacing w:line="360" w:lineRule="auto"/>
      <w:ind w:firstLine="200" w:firstLineChars="200"/>
    </w:pPr>
    <w:rPr>
      <w:rFonts w:ascii="宋体" w:hAnsi="宋体" w:eastAsia="仿宋_GB2312" w:cs="宋体"/>
      <w:sz w:val="24"/>
      <w:szCs w:val="24"/>
    </w:rPr>
  </w:style>
  <w:style w:type="paragraph" w:customStyle="1" w:styleId="584">
    <w:name w:val="p18"/>
    <w:basedOn w:val="1"/>
    <w:autoRedefine/>
    <w:qFormat/>
    <w:uiPriority w:val="0"/>
    <w:pPr>
      <w:widowControl/>
      <w:spacing w:line="360" w:lineRule="auto"/>
      <w:ind w:firstLine="420" w:firstLineChars="200"/>
    </w:pPr>
    <w:rPr>
      <w:rFonts w:ascii="Times New Roman" w:hAnsi="Times New Roman" w:eastAsia="仿宋_GB2312" w:cs="Times New Roman"/>
      <w:kern w:val="0"/>
      <w:sz w:val="24"/>
      <w:szCs w:val="24"/>
    </w:rPr>
  </w:style>
  <w:style w:type="paragraph" w:customStyle="1" w:styleId="585">
    <w:name w:val="样式2"/>
    <w:basedOn w:val="1"/>
    <w:autoRedefine/>
    <w:qFormat/>
    <w:uiPriority w:val="0"/>
    <w:pPr>
      <w:spacing w:line="360" w:lineRule="auto"/>
      <w:ind w:left="1575" w:leftChars="750" w:right="210" w:rightChars="100" w:firstLine="470" w:firstLineChars="196"/>
    </w:pPr>
    <w:rPr>
      <w:rFonts w:ascii="Times New Roman" w:hAnsi="Times New Roman" w:eastAsia="仿宋_GB2312" w:cs="Times New Roman"/>
      <w:sz w:val="24"/>
      <w:szCs w:val="24"/>
    </w:rPr>
  </w:style>
  <w:style w:type="paragraph" w:customStyle="1" w:styleId="586">
    <w:name w:val="Char Char Char"/>
    <w:basedOn w:val="26"/>
    <w:autoRedefine/>
    <w:semiHidden/>
    <w:qFormat/>
    <w:uiPriority w:val="0"/>
    <w:pPr>
      <w:widowControl/>
      <w:shd w:val="clear" w:color="auto" w:fill="000080"/>
      <w:adjustRightInd w:val="0"/>
      <w:spacing w:line="436" w:lineRule="exact"/>
      <w:ind w:left="357"/>
      <w:jc w:val="left"/>
      <w:outlineLvl w:val="3"/>
    </w:pPr>
    <w:rPr>
      <w:rFonts w:ascii="Tahoma" w:hAnsi="Tahoma" w:cs="Arial"/>
      <w:b/>
      <w:sz w:val="24"/>
      <w:szCs w:val="28"/>
    </w:rPr>
  </w:style>
  <w:style w:type="paragraph" w:customStyle="1" w:styleId="587">
    <w:name w:val="样式 标题 2 + 左侧:  1 字符 右侧:  1 字符"/>
    <w:basedOn w:val="4"/>
    <w:autoRedefine/>
    <w:qFormat/>
    <w:uiPriority w:val="0"/>
    <w:pPr>
      <w:spacing w:before="0" w:after="0" w:line="360" w:lineRule="auto"/>
      <w:ind w:left="240" w:leftChars="100" w:right="240" w:rightChars="100"/>
      <w:jc w:val="center"/>
    </w:pPr>
    <w:rPr>
      <w:rFonts w:ascii="Arial" w:hAnsi="Arial" w:cs="宋体"/>
      <w:b/>
      <w:bCs w:val="0"/>
      <w:kern w:val="2"/>
      <w:sz w:val="28"/>
      <w:szCs w:val="28"/>
    </w:rPr>
  </w:style>
  <w:style w:type="paragraph" w:customStyle="1" w:styleId="588">
    <w:name w:val="样式11"/>
    <w:basedOn w:val="1"/>
    <w:autoRedefine/>
    <w:semiHidden/>
    <w:qFormat/>
    <w:uiPriority w:val="0"/>
    <w:pPr>
      <w:tabs>
        <w:tab w:val="left" w:pos="269"/>
        <w:tab w:val="left" w:pos="538"/>
        <w:tab w:val="left" w:pos="4262"/>
      </w:tabs>
      <w:adjustRightInd w:val="0"/>
      <w:snapToGrid w:val="0"/>
      <w:spacing w:line="500" w:lineRule="exact"/>
      <w:ind w:left="736" w:hanging="720" w:firstLineChars="200"/>
      <w:jc w:val="center"/>
      <w:outlineLvl w:val="1"/>
    </w:pPr>
    <w:rPr>
      <w:rFonts w:ascii="Arial" w:hAnsi="Arial" w:eastAsia="仿宋_GB2312" w:cs="Times New Roman"/>
      <w:bCs/>
      <w:kern w:val="44"/>
      <w:sz w:val="28"/>
      <w:szCs w:val="20"/>
    </w:rPr>
  </w:style>
  <w:style w:type="paragraph" w:customStyle="1" w:styleId="589">
    <w:name w:val="xx无间隔"/>
    <w:basedOn w:val="148"/>
    <w:autoRedefine/>
    <w:qFormat/>
    <w:uiPriority w:val="0"/>
    <w:pPr>
      <w:spacing w:line="240" w:lineRule="auto"/>
    </w:pPr>
    <w:rPr>
      <w:rFonts w:eastAsia="仿宋_GB2312"/>
    </w:rPr>
  </w:style>
  <w:style w:type="paragraph" w:customStyle="1" w:styleId="590">
    <w:name w:val="Footer Right"/>
    <w:basedOn w:val="55"/>
    <w:autoRedefine/>
    <w:qFormat/>
    <w:uiPriority w:val="35"/>
    <w:pPr>
      <w:widowControl/>
      <w:pBdr>
        <w:top w:val="dashed" w:color="7F7F7F" w:sz="4" w:space="18"/>
      </w:pBdr>
      <w:tabs>
        <w:tab w:val="center" w:pos="4320"/>
        <w:tab w:val="right" w:pos="8640"/>
        <w:tab w:val="clear" w:pos="4153"/>
        <w:tab w:val="clear" w:pos="8306"/>
      </w:tabs>
      <w:snapToGrid/>
      <w:spacing w:after="200" w:line="360" w:lineRule="auto"/>
      <w:ind w:firstLine="200" w:firstLineChars="200"/>
      <w:contextualSpacing/>
      <w:jc w:val="right"/>
    </w:pPr>
    <w:rPr>
      <w:rFonts w:ascii="Calibri" w:hAnsi="Calibri" w:eastAsia="宋体" w:cs="Times New Roman"/>
      <w:color w:val="7F7F7F"/>
      <w:kern w:val="0"/>
      <w:sz w:val="20"/>
      <w:szCs w:val="20"/>
    </w:rPr>
  </w:style>
  <w:style w:type="paragraph" w:customStyle="1" w:styleId="591">
    <w:name w:val="样式 标题 5 + 两端对齐 段前: 6 磅"/>
    <w:basedOn w:val="7"/>
    <w:autoRedefine/>
    <w:qFormat/>
    <w:uiPriority w:val="0"/>
    <w:pPr>
      <w:tabs>
        <w:tab w:val="left" w:pos="1150"/>
      </w:tabs>
      <w:adjustRightInd w:val="0"/>
      <w:snapToGrid w:val="0"/>
      <w:spacing w:before="120" w:after="120" w:line="360" w:lineRule="auto"/>
      <w:ind w:left="1150" w:hanging="1008"/>
      <w:jc w:val="center"/>
    </w:pPr>
    <w:rPr>
      <w:rFonts w:cs="宋体"/>
      <w:kern w:val="0"/>
      <w:sz w:val="24"/>
      <w:szCs w:val="20"/>
    </w:rPr>
  </w:style>
  <w:style w:type="paragraph" w:customStyle="1" w:styleId="592">
    <w:name w:val="Char Char Char Char3"/>
    <w:basedOn w:val="26"/>
    <w:autoRedefine/>
    <w:qFormat/>
    <w:uiPriority w:val="0"/>
    <w:pPr>
      <w:shd w:val="clear" w:color="auto" w:fill="000080"/>
      <w:adjustRightInd w:val="0"/>
      <w:spacing w:line="436" w:lineRule="exact"/>
      <w:ind w:left="357"/>
      <w:jc w:val="left"/>
      <w:outlineLvl w:val="3"/>
    </w:pPr>
    <w:rPr>
      <w:rFonts w:ascii="Tahoma" w:hAnsi="Tahoma"/>
      <w:b/>
      <w:kern w:val="28"/>
      <w:sz w:val="24"/>
      <w:szCs w:val="28"/>
    </w:rPr>
  </w:style>
  <w:style w:type="paragraph" w:customStyle="1" w:styleId="593">
    <w:name w:val="正文2002"/>
    <w:basedOn w:val="1"/>
    <w:autoRedefine/>
    <w:qFormat/>
    <w:uiPriority w:val="0"/>
    <w:pPr>
      <w:spacing w:line="340" w:lineRule="exact"/>
      <w:ind w:firstLine="200" w:firstLineChars="200"/>
      <w:jc w:val="center"/>
    </w:pPr>
    <w:rPr>
      <w:rFonts w:ascii="Times New Roman" w:hAnsi="Times New Roman" w:eastAsia="仿宋_GB2312" w:cs="Times New Roman"/>
      <w:szCs w:val="20"/>
    </w:rPr>
  </w:style>
  <w:style w:type="paragraph" w:customStyle="1" w:styleId="594">
    <w:name w:val="xl99"/>
    <w:basedOn w:val="1"/>
    <w:autoRedefine/>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595">
    <w:name w:val="reader-word-layer"/>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24"/>
    </w:rPr>
  </w:style>
  <w:style w:type="paragraph" w:customStyle="1" w:styleId="596">
    <w:name w:val="Char Char Char1 Char Char Char Char Char Char Char"/>
    <w:basedOn w:val="1"/>
    <w:autoRedefine/>
    <w:qFormat/>
    <w:uiPriority w:val="0"/>
    <w:pPr>
      <w:adjustRightInd w:val="0"/>
      <w:snapToGrid w:val="0"/>
      <w:spacing w:line="360" w:lineRule="auto"/>
      <w:ind w:firstLine="200" w:firstLineChars="200"/>
      <w:textAlignment w:val="baseline"/>
    </w:pPr>
    <w:rPr>
      <w:rFonts w:ascii="Times New Roman" w:hAnsi="Times New Roman" w:eastAsia="仿宋_GB2312" w:cs="Times New Roman"/>
      <w:sz w:val="24"/>
      <w:szCs w:val="24"/>
    </w:rPr>
  </w:style>
  <w:style w:type="paragraph" w:customStyle="1" w:styleId="597">
    <w:name w:val="Char Char Char Char4"/>
    <w:basedOn w:val="26"/>
    <w:autoRedefine/>
    <w:qFormat/>
    <w:uiPriority w:val="0"/>
    <w:pPr>
      <w:shd w:val="clear" w:color="auto" w:fill="000080"/>
      <w:adjustRightInd w:val="0"/>
      <w:spacing w:line="436" w:lineRule="exact"/>
      <w:ind w:left="357"/>
      <w:jc w:val="left"/>
      <w:outlineLvl w:val="3"/>
    </w:pPr>
    <w:rPr>
      <w:rFonts w:ascii="Tahoma" w:hAnsi="Tahoma"/>
      <w:b/>
      <w:kern w:val="28"/>
      <w:sz w:val="24"/>
      <w:szCs w:val="28"/>
    </w:rPr>
  </w:style>
  <w:style w:type="paragraph" w:customStyle="1" w:styleId="598">
    <w:name w:val="正文缩进2字符"/>
    <w:basedOn w:val="1"/>
    <w:autoRedefine/>
    <w:qFormat/>
    <w:uiPriority w:val="0"/>
    <w:pPr>
      <w:adjustRightInd w:val="0"/>
      <w:snapToGrid w:val="0"/>
      <w:spacing w:line="336" w:lineRule="auto"/>
      <w:ind w:firstLine="560" w:firstLineChars="200"/>
      <w:jc w:val="center"/>
    </w:pPr>
    <w:rPr>
      <w:rFonts w:ascii="宋体" w:hAnsi="宋体" w:eastAsia="仿宋_GB2312" w:cs="Times New Roman"/>
      <w:sz w:val="28"/>
      <w:szCs w:val="28"/>
    </w:rPr>
  </w:style>
  <w:style w:type="paragraph" w:customStyle="1" w:styleId="599">
    <w:name w:val="xl59"/>
    <w:basedOn w:val="1"/>
    <w:autoRedefine/>
    <w:semiHidden/>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600">
    <w:name w:val="样式 表头 + 首行缩进:  2 字符"/>
    <w:basedOn w:val="365"/>
    <w:autoRedefine/>
    <w:semiHidden/>
    <w:qFormat/>
    <w:uiPriority w:val="0"/>
    <w:rPr>
      <w:rFonts w:cs="宋体"/>
      <w:szCs w:val="20"/>
    </w:rPr>
  </w:style>
  <w:style w:type="paragraph" w:customStyle="1" w:styleId="601">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60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603">
    <w:name w:val="xl46"/>
    <w:basedOn w:val="1"/>
    <w:autoRedefine/>
    <w:semiHidden/>
    <w:qFormat/>
    <w:uiPriority w:val="0"/>
    <w:pPr>
      <w:widowControl/>
      <w:pBdr>
        <w:top w:val="single" w:color="000000" w:sz="8" w:space="0"/>
        <w:left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604">
    <w:name w:val="xl77"/>
    <w:basedOn w:val="1"/>
    <w:autoRedefine/>
    <w:qFormat/>
    <w:uiPriority w:val="0"/>
    <w:pPr>
      <w:widowControl/>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605">
    <w:name w:val="Char Char Char Char Char Char1"/>
    <w:basedOn w:val="1"/>
    <w:autoRedefine/>
    <w:qFormat/>
    <w:uiPriority w:val="0"/>
    <w:pPr>
      <w:widowControl/>
      <w:spacing w:after="160" w:line="400" w:lineRule="exact"/>
      <w:ind w:firstLine="480" w:firstLineChars="200"/>
      <w:jc w:val="center"/>
    </w:pPr>
    <w:rPr>
      <w:rFonts w:ascii="Verdana" w:hAnsi="Verdana" w:eastAsia="仿宋_GB2312" w:cs="Times New Roman"/>
      <w:b/>
      <w:kern w:val="0"/>
      <w:sz w:val="24"/>
      <w:szCs w:val="20"/>
      <w:lang w:eastAsia="en-US"/>
    </w:rPr>
  </w:style>
  <w:style w:type="paragraph" w:customStyle="1" w:styleId="606">
    <w:name w:val="样式 样式 正文缩进 + 四号 首行缩进:  1.1 厘米 + 左侧:  1 字符 右侧:  1 字符"/>
    <w:basedOn w:val="578"/>
    <w:autoRedefine/>
    <w:qFormat/>
    <w:uiPriority w:val="0"/>
  </w:style>
  <w:style w:type="paragraph" w:customStyle="1" w:styleId="607">
    <w:name w:val="xl47"/>
    <w:basedOn w:val="1"/>
    <w:autoRedefine/>
    <w:semiHidden/>
    <w:qFormat/>
    <w:uiPriority w:val="0"/>
    <w:pPr>
      <w:widowControl/>
      <w:pBdr>
        <w:bottom w:val="single" w:color="auto" w:sz="4" w:space="0"/>
      </w:pBdr>
      <w:shd w:val="clear" w:color="auto" w:fill="339966"/>
      <w:spacing w:before="100" w:beforeAutospacing="1" w:after="100" w:afterAutospacing="1" w:line="360" w:lineRule="auto"/>
      <w:ind w:firstLine="200" w:firstLineChars="200"/>
      <w:jc w:val="left"/>
    </w:pPr>
    <w:rPr>
      <w:rFonts w:ascii="Arial Unicode MS" w:hAnsi="Arial Unicode MS" w:eastAsia="仿宋_GB2312" w:cs="Arial"/>
      <w:kern w:val="0"/>
      <w:sz w:val="20"/>
      <w:szCs w:val="20"/>
    </w:rPr>
  </w:style>
  <w:style w:type="paragraph" w:customStyle="1" w:styleId="608">
    <w:name w:val="xl40"/>
    <w:basedOn w:val="1"/>
    <w:autoRedefine/>
    <w:qFormat/>
    <w:uiPriority w:val="0"/>
    <w:pPr>
      <w:widowControl/>
      <w:pBdr>
        <w:bottom w:val="single" w:color="auto" w:sz="4" w:space="0"/>
      </w:pBdr>
      <w:spacing w:before="100" w:beforeAutospacing="1" w:after="100" w:afterAutospacing="1" w:line="360" w:lineRule="auto"/>
      <w:ind w:firstLine="200" w:firstLineChars="200"/>
      <w:jc w:val="center"/>
    </w:pPr>
    <w:rPr>
      <w:rFonts w:ascii="Times New Roman" w:hAnsi="Times New Roman" w:eastAsia="Arial Unicode MS" w:cs="Times New Roman"/>
      <w:kern w:val="0"/>
      <w:sz w:val="24"/>
      <w:szCs w:val="24"/>
    </w:rPr>
  </w:style>
  <w:style w:type="paragraph" w:customStyle="1" w:styleId="609">
    <w:name w:val="x图"/>
    <w:basedOn w:val="610"/>
    <w:autoRedefine/>
    <w:qFormat/>
    <w:uiPriority w:val="0"/>
    <w:pPr>
      <w:spacing w:afterLines="50"/>
    </w:pPr>
  </w:style>
  <w:style w:type="paragraph" w:customStyle="1" w:styleId="610">
    <w:name w:val="xx表格标题"/>
    <w:basedOn w:val="22"/>
    <w:autoRedefine/>
    <w:qFormat/>
    <w:uiPriority w:val="0"/>
    <w:pPr>
      <w:jc w:val="center"/>
    </w:pPr>
    <w:rPr>
      <w:rFonts w:ascii="Times New Roman" w:hAnsi="Times New Roman"/>
      <w:sz w:val="21"/>
    </w:rPr>
  </w:style>
  <w:style w:type="paragraph" w:customStyle="1" w:styleId="611">
    <w:name w:val="表中字左"/>
    <w:basedOn w:val="562"/>
    <w:autoRedefine/>
    <w:qFormat/>
    <w:uiPriority w:val="0"/>
    <w:pPr>
      <w:jc w:val="left"/>
    </w:pPr>
  </w:style>
  <w:style w:type="paragraph" w:customStyle="1" w:styleId="612">
    <w:name w:val="xl119"/>
    <w:basedOn w:val="1"/>
    <w:autoRedefine/>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13">
    <w:name w:val="标题1 + 黑体 居中 段前: 0.5 行 段后: 0.5 行"/>
    <w:basedOn w:val="614"/>
    <w:autoRedefine/>
    <w:qFormat/>
    <w:uiPriority w:val="0"/>
    <w:pPr>
      <w:spacing w:before="156" w:after="156"/>
    </w:pPr>
    <w:rPr>
      <w:rFonts w:ascii="黑体" w:cs="宋体"/>
    </w:rPr>
  </w:style>
  <w:style w:type="paragraph" w:customStyle="1" w:styleId="614">
    <w:name w:val="x标题1"/>
    <w:basedOn w:val="1"/>
    <w:autoRedefine/>
    <w:qFormat/>
    <w:uiPriority w:val="0"/>
    <w:pPr>
      <w:snapToGrid w:val="0"/>
      <w:spacing w:beforeLines="50" w:afterLines="50" w:line="360" w:lineRule="auto"/>
      <w:ind w:firstLine="200" w:firstLineChars="200"/>
      <w:jc w:val="center"/>
      <w:outlineLvl w:val="0"/>
    </w:pPr>
    <w:rPr>
      <w:rFonts w:ascii="Times New Roman" w:hAnsi="Times New Roman" w:eastAsia="黑体" w:cs="Times New Roman"/>
      <w:sz w:val="32"/>
      <w:szCs w:val="32"/>
    </w:rPr>
  </w:style>
  <w:style w:type="paragraph" w:customStyle="1" w:styleId="615">
    <w:name w:val="xl102"/>
    <w:basedOn w:val="1"/>
    <w:autoRedefine/>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16">
    <w:name w:val="xl75"/>
    <w:basedOn w:val="1"/>
    <w:autoRedefine/>
    <w:qFormat/>
    <w:uiPriority w:val="0"/>
    <w:pPr>
      <w:widowControl/>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617">
    <w:name w:val="样式 标题 3三级标题h3条1.1.1标题03Level 3 HeadH3level_3PIM 333rd..."/>
    <w:basedOn w:val="5"/>
    <w:autoRedefine/>
    <w:semiHidden/>
    <w:qFormat/>
    <w:uiPriority w:val="0"/>
    <w:pPr>
      <w:tabs>
        <w:tab w:val="left" w:pos="284"/>
      </w:tabs>
      <w:adjustRightInd w:val="0"/>
      <w:snapToGrid w:val="0"/>
      <w:spacing w:before="120" w:after="120"/>
      <w:ind w:left="-142"/>
      <w:jc w:val="left"/>
    </w:pPr>
    <w:rPr>
      <w:bCs w:val="0"/>
      <w:color w:val="7030A0"/>
      <w:kern w:val="0"/>
      <w:szCs w:val="28"/>
    </w:rPr>
  </w:style>
  <w:style w:type="paragraph" w:customStyle="1" w:styleId="618">
    <w:name w:val="Char5"/>
    <w:basedOn w:val="1"/>
    <w:autoRedefine/>
    <w:semiHidden/>
    <w:qFormat/>
    <w:uiPriority w:val="0"/>
    <w:pPr>
      <w:widowControl/>
      <w:spacing w:line="360" w:lineRule="auto"/>
      <w:ind w:firstLine="200" w:firstLineChars="200"/>
      <w:jc w:val="left"/>
    </w:pPr>
    <w:rPr>
      <w:rFonts w:ascii="宋体" w:hAnsi="宋体" w:eastAsia="仿宋_GB2312" w:cs="宋体"/>
      <w:sz w:val="24"/>
      <w:szCs w:val="28"/>
    </w:rPr>
  </w:style>
  <w:style w:type="paragraph" w:customStyle="1" w:styleId="619">
    <w:name w:val="列出段落1"/>
    <w:basedOn w:val="1"/>
    <w:autoRedefine/>
    <w:qFormat/>
    <w:uiPriority w:val="34"/>
    <w:pPr>
      <w:spacing w:line="360" w:lineRule="auto"/>
      <w:ind w:firstLine="420" w:firstLineChars="200"/>
    </w:pPr>
    <w:rPr>
      <w:rFonts w:ascii="Calibri" w:hAnsi="Calibri" w:eastAsia="仿宋_GB2312" w:cs="Times New Roman"/>
    </w:rPr>
  </w:style>
  <w:style w:type="paragraph" w:customStyle="1" w:styleId="620">
    <w:name w:val="样式 样式 样式 正文缩进 + 四号 首行缩进:  1.1 厘米 + 左侧:  1 字符 右侧:  1 字符 + 左侧:  1 ..."/>
    <w:basedOn w:val="606"/>
    <w:autoRedefine/>
    <w:qFormat/>
    <w:uiPriority w:val="0"/>
  </w:style>
  <w:style w:type="paragraph" w:customStyle="1" w:styleId="621">
    <w:name w:val="xl10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22">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623">
    <w:name w:val="正文A"/>
    <w:basedOn w:val="1"/>
    <w:autoRedefine/>
    <w:qFormat/>
    <w:uiPriority w:val="0"/>
    <w:pPr>
      <w:spacing w:beforeLines="50" w:afterLines="50" w:line="360" w:lineRule="auto"/>
      <w:ind w:left="210" w:leftChars="100" w:right="210" w:rightChars="100" w:firstLine="480" w:firstLineChars="200"/>
      <w:jc w:val="left"/>
    </w:pPr>
    <w:rPr>
      <w:rFonts w:ascii="宋体" w:hAnsi="宋体" w:eastAsia="仿宋_GB2312" w:cs="Times New Roman"/>
      <w:color w:val="0000FF"/>
      <w:sz w:val="24"/>
      <w:szCs w:val="20"/>
    </w:rPr>
  </w:style>
  <w:style w:type="paragraph" w:customStyle="1" w:styleId="624">
    <w:name w:val="样式 标题 2 + 行距: 固定值 22 磅"/>
    <w:basedOn w:val="4"/>
    <w:autoRedefine/>
    <w:semiHidden/>
    <w:qFormat/>
    <w:uiPriority w:val="0"/>
    <w:pPr>
      <w:tabs>
        <w:tab w:val="left" w:pos="720"/>
      </w:tabs>
      <w:adjustRightInd w:val="0"/>
      <w:spacing w:line="600" w:lineRule="exact"/>
    </w:pPr>
    <w:rPr>
      <w:rFonts w:eastAsia="楷体_GB2312"/>
      <w:color w:val="0000FF"/>
      <w:sz w:val="48"/>
      <w:szCs w:val="48"/>
    </w:rPr>
  </w:style>
  <w:style w:type="paragraph" w:customStyle="1" w:styleId="625">
    <w:name w:val="font10"/>
    <w:basedOn w:val="1"/>
    <w:autoRedefine/>
    <w:qFormat/>
    <w:uiPriority w:val="0"/>
    <w:pPr>
      <w:widowControl/>
      <w:spacing w:before="100" w:beforeAutospacing="1" w:after="100" w:afterAutospacing="1" w:line="360" w:lineRule="auto"/>
      <w:ind w:firstLine="200" w:firstLineChars="200"/>
      <w:jc w:val="left"/>
    </w:pPr>
    <w:rPr>
      <w:rFonts w:hint="eastAsia" w:ascii="宋体" w:hAnsi="宋体" w:eastAsia="仿宋_GB2312" w:cs="Arial"/>
      <w:color w:val="000000"/>
      <w:kern w:val="0"/>
      <w:sz w:val="18"/>
      <w:szCs w:val="18"/>
    </w:rPr>
  </w:style>
  <w:style w:type="paragraph" w:customStyle="1" w:styleId="626">
    <w:name w:val="xl122"/>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360" w:lineRule="auto"/>
      <w:ind w:firstLine="200" w:firstLineChars="200"/>
      <w:jc w:val="center"/>
      <w:textAlignment w:val="center"/>
    </w:pPr>
    <w:rPr>
      <w:rFonts w:ascii="宋体" w:hAnsi="宋体" w:eastAsia="仿宋_GB2312" w:cs="宋体"/>
      <w:kern w:val="0"/>
      <w:sz w:val="20"/>
      <w:szCs w:val="20"/>
    </w:rPr>
  </w:style>
  <w:style w:type="paragraph" w:customStyle="1" w:styleId="627">
    <w:name w:val="xl121"/>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28">
    <w:name w:val="标题－2"/>
    <w:basedOn w:val="4"/>
    <w:autoRedefine/>
    <w:qFormat/>
    <w:uiPriority w:val="0"/>
    <w:pPr>
      <w:adjustRightInd w:val="0"/>
      <w:spacing w:before="50" w:after="0" w:line="300" w:lineRule="auto"/>
      <w:jc w:val="center"/>
      <w:textAlignment w:val="baseline"/>
    </w:pPr>
    <w:rPr>
      <w:rFonts w:ascii="黑体"/>
      <w:b/>
      <w:bCs w:val="0"/>
      <w:sz w:val="28"/>
      <w:szCs w:val="32"/>
    </w:rPr>
  </w:style>
  <w:style w:type="paragraph" w:customStyle="1" w:styleId="62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630">
    <w:name w:val="正文文本最新 Char Char"/>
    <w:basedOn w:val="1"/>
    <w:autoRedefine/>
    <w:qFormat/>
    <w:uiPriority w:val="0"/>
    <w:pPr>
      <w:spacing w:line="360" w:lineRule="auto"/>
      <w:ind w:firstLine="200" w:firstLineChars="200"/>
    </w:pPr>
    <w:rPr>
      <w:rFonts w:ascii="Times New Roman" w:hAnsi="Times New Roman" w:eastAsia="仿宋_GB2312" w:cs="Times New Roman"/>
      <w:bCs/>
      <w:sz w:val="28"/>
      <w:szCs w:val="24"/>
    </w:rPr>
  </w:style>
  <w:style w:type="paragraph" w:customStyle="1" w:styleId="631">
    <w:name w:val="xl114"/>
    <w:basedOn w:val="1"/>
    <w:autoRedefine/>
    <w:qFormat/>
    <w:uiPriority w:val="0"/>
    <w:pPr>
      <w:widowControl/>
      <w:pBdr>
        <w:left w:val="single" w:color="auto" w:sz="4" w:space="0"/>
        <w:right w:val="single" w:color="auto" w:sz="8"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32">
    <w:name w:val="xl65"/>
    <w:basedOn w:val="1"/>
    <w:autoRedefine/>
    <w:qFormat/>
    <w:uiPriority w:val="0"/>
    <w:pPr>
      <w:widowControl/>
      <w:shd w:val="clear" w:color="000000" w:fill="FFFFFF"/>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633">
    <w:name w:val="xl13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634">
    <w:name w:val="Char4"/>
    <w:basedOn w:val="1"/>
    <w:autoRedefine/>
    <w:semiHidden/>
    <w:qFormat/>
    <w:uiPriority w:val="0"/>
    <w:pPr>
      <w:widowControl/>
      <w:spacing w:line="360" w:lineRule="auto"/>
      <w:ind w:firstLine="200" w:firstLineChars="200"/>
      <w:jc w:val="left"/>
    </w:pPr>
    <w:rPr>
      <w:rFonts w:ascii="宋体" w:hAnsi="宋体" w:eastAsia="仿宋_GB2312" w:cs="宋体"/>
      <w:sz w:val="24"/>
    </w:rPr>
  </w:style>
  <w:style w:type="paragraph" w:customStyle="1" w:styleId="635">
    <w:name w:val="1.1.1.1"/>
    <w:basedOn w:val="1"/>
    <w:autoRedefine/>
    <w:qFormat/>
    <w:uiPriority w:val="0"/>
    <w:pPr>
      <w:adjustRightInd w:val="0"/>
      <w:snapToGrid w:val="0"/>
      <w:spacing w:before="40" w:after="40" w:line="300" w:lineRule="auto"/>
      <w:ind w:firstLine="436" w:firstLineChars="200"/>
      <w:jc w:val="left"/>
      <w:textAlignment w:val="baseline"/>
    </w:pPr>
    <w:rPr>
      <w:rFonts w:ascii="黑体" w:hAnsi="Times New Roman" w:eastAsia="黑体" w:cs="Times New Roman"/>
      <w:spacing w:val="4"/>
      <w:kern w:val="0"/>
      <w:szCs w:val="20"/>
    </w:rPr>
  </w:style>
  <w:style w:type="paragraph" w:customStyle="1" w:styleId="636">
    <w:name w:val="表名、图名"/>
    <w:basedOn w:val="1"/>
    <w:autoRedefine/>
    <w:qFormat/>
    <w:uiPriority w:val="0"/>
    <w:pPr>
      <w:widowControl/>
      <w:spacing w:line="360" w:lineRule="auto"/>
      <w:ind w:firstLine="200" w:firstLineChars="200"/>
      <w:jc w:val="center"/>
    </w:pPr>
    <w:rPr>
      <w:rFonts w:ascii="Times New Roman" w:hAnsi="Times New Roman" w:eastAsia="仿宋_GB2312" w:cs="Times New Roman"/>
      <w:kern w:val="0"/>
      <w:szCs w:val="24"/>
    </w:rPr>
  </w:style>
  <w:style w:type="paragraph" w:customStyle="1" w:styleId="637">
    <w:name w:val="p19"/>
    <w:basedOn w:val="1"/>
    <w:autoRedefine/>
    <w:qFormat/>
    <w:uiPriority w:val="0"/>
    <w:pPr>
      <w:widowControl/>
      <w:spacing w:line="360" w:lineRule="auto"/>
      <w:ind w:firstLine="200" w:firstLineChars="200"/>
      <w:jc w:val="left"/>
    </w:pPr>
    <w:rPr>
      <w:rFonts w:ascii="Times New Roman" w:hAnsi="Times New Roman" w:eastAsia="仿宋_GB2312" w:cs="Times New Roman"/>
      <w:kern w:val="0"/>
      <w:sz w:val="28"/>
      <w:szCs w:val="28"/>
    </w:rPr>
  </w:style>
  <w:style w:type="paragraph" w:customStyle="1" w:styleId="638">
    <w:name w:val="x标题3"/>
    <w:basedOn w:val="1"/>
    <w:autoRedefine/>
    <w:qFormat/>
    <w:uiPriority w:val="0"/>
    <w:pPr>
      <w:keepNext/>
      <w:keepLines/>
      <w:tabs>
        <w:tab w:val="left" w:pos="5640"/>
      </w:tabs>
      <w:adjustRightInd w:val="0"/>
      <w:snapToGrid w:val="0"/>
      <w:spacing w:before="156" w:beforeLines="50" w:after="156" w:afterLines="50" w:line="500" w:lineRule="exact"/>
      <w:ind w:firstLine="560"/>
      <w:jc w:val="left"/>
      <w:outlineLvl w:val="2"/>
    </w:pPr>
    <w:rPr>
      <w:rFonts w:ascii="Times New Roman" w:hAnsi="Times New Roman" w:eastAsia="黑体" w:cs="Times New Roman"/>
      <w:bCs/>
      <w:sz w:val="28"/>
      <w:szCs w:val="28"/>
    </w:rPr>
  </w:style>
  <w:style w:type="paragraph" w:customStyle="1" w:styleId="639">
    <w:name w:val="xl115"/>
    <w:basedOn w:val="1"/>
    <w:autoRedefine/>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40">
    <w:name w:val="样式3"/>
    <w:basedOn w:val="3"/>
    <w:next w:val="51"/>
    <w:autoRedefine/>
    <w:qFormat/>
    <w:uiPriority w:val="0"/>
    <w:pPr>
      <w:tabs>
        <w:tab w:val="left" w:pos="425"/>
        <w:tab w:val="left" w:pos="567"/>
      </w:tabs>
      <w:snapToGrid w:val="0"/>
      <w:spacing w:before="20" w:after="20" w:line="360" w:lineRule="auto"/>
      <w:ind w:left="425" w:hanging="425"/>
      <w:jc w:val="center"/>
    </w:pPr>
    <w:rPr>
      <w:rFonts w:eastAsia="黑体"/>
      <w:b w:val="0"/>
      <w:sz w:val="28"/>
    </w:rPr>
  </w:style>
  <w:style w:type="paragraph" w:customStyle="1" w:styleId="641">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textAlignment w:val="center"/>
    </w:pPr>
    <w:rPr>
      <w:rFonts w:ascii="Times New Roman" w:hAnsi="Times New Roman" w:eastAsia="仿宋_GB2312" w:cs="Times New Roman"/>
      <w:color w:val="000000"/>
      <w:kern w:val="0"/>
      <w:sz w:val="20"/>
      <w:szCs w:val="20"/>
    </w:rPr>
  </w:style>
  <w:style w:type="paragraph" w:customStyle="1" w:styleId="642">
    <w:name w:val="xl55"/>
    <w:basedOn w:val="1"/>
    <w:autoRedefine/>
    <w:semiHidden/>
    <w:qFormat/>
    <w:uiPriority w:val="0"/>
    <w:pPr>
      <w:widowControl/>
      <w:pBdr>
        <w:top w:val="single" w:color="auto" w:sz="4" w:space="0"/>
        <w:left w:val="single" w:color="auto" w:sz="4" w:space="0"/>
        <w:bottom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仿宋_GB2312" w:cs="Arial"/>
      <w:kern w:val="0"/>
      <w:sz w:val="20"/>
      <w:szCs w:val="20"/>
    </w:rPr>
  </w:style>
  <w:style w:type="paragraph" w:customStyle="1" w:styleId="643">
    <w:name w:val="xl96"/>
    <w:basedOn w:val="1"/>
    <w:autoRedefine/>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644">
    <w:name w:val="xl22"/>
    <w:basedOn w:val="1"/>
    <w:autoRedefine/>
    <w:qFormat/>
    <w:uiPriority w:val="0"/>
    <w:pPr>
      <w:widowControl/>
      <w:spacing w:before="100" w:beforeAutospacing="1" w:after="100" w:afterAutospacing="1" w:line="360" w:lineRule="auto"/>
      <w:ind w:firstLine="200" w:firstLineChars="200"/>
      <w:jc w:val="left"/>
    </w:pPr>
    <w:rPr>
      <w:rFonts w:ascii="Times New Roman" w:hAnsi="Times New Roman" w:eastAsia="Arial Unicode MS" w:cs="Times New Roman"/>
      <w:kern w:val="0"/>
      <w:sz w:val="24"/>
      <w:szCs w:val="24"/>
    </w:rPr>
  </w:style>
  <w:style w:type="paragraph" w:customStyle="1" w:styleId="645">
    <w:name w:val="xl45"/>
    <w:basedOn w:val="1"/>
    <w:autoRedefine/>
    <w:semiHidden/>
    <w:qFormat/>
    <w:uiPriority w:val="0"/>
    <w:pPr>
      <w:widowControl/>
      <w:pBdr>
        <w:top w:val="single" w:color="auto" w:sz="4" w:space="0"/>
        <w:left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646">
    <w:name w:val="xl94"/>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仿宋" w:hAnsi="宋体" w:eastAsia="仿宋" w:cs="宋体"/>
      <w:kern w:val="0"/>
      <w:sz w:val="18"/>
      <w:szCs w:val="18"/>
    </w:rPr>
  </w:style>
  <w:style w:type="paragraph" w:customStyle="1" w:styleId="647">
    <w:name w:val="TOC Heading"/>
    <w:basedOn w:val="3"/>
    <w:next w:val="1"/>
    <w:autoRedefine/>
    <w:qFormat/>
    <w:uiPriority w:val="39"/>
    <w:pPr>
      <w:widowControl/>
      <w:spacing w:before="0" w:beforeLines="50" w:after="0" w:afterLines="50" w:line="276" w:lineRule="auto"/>
      <w:ind w:left="210" w:leftChars="100" w:right="210" w:rightChars="100" w:firstLine="480"/>
      <w:jc w:val="left"/>
      <w:outlineLvl w:val="9"/>
    </w:pPr>
    <w:rPr>
      <w:rFonts w:ascii="Cambria" w:hAnsi="Cambria"/>
      <w:color w:val="365F91"/>
      <w:kern w:val="0"/>
      <w:sz w:val="28"/>
      <w:szCs w:val="28"/>
    </w:rPr>
  </w:style>
  <w:style w:type="paragraph" w:customStyle="1" w:styleId="648">
    <w:name w:val="xl88"/>
    <w:basedOn w:val="1"/>
    <w:autoRedefine/>
    <w:qFormat/>
    <w:uiPriority w:val="0"/>
    <w:pPr>
      <w:widowControl/>
      <w:pBdr>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649">
    <w:name w:val="Char1 Char Char Char2"/>
    <w:basedOn w:val="1"/>
    <w:autoRedefine/>
    <w:qFormat/>
    <w:uiPriority w:val="0"/>
    <w:pPr>
      <w:spacing w:line="360" w:lineRule="auto"/>
      <w:ind w:firstLine="200" w:firstLineChars="200"/>
    </w:pPr>
    <w:rPr>
      <w:rFonts w:ascii="Times New Roman" w:hAnsi="Times New Roman" w:eastAsia="仿宋_GB2312" w:cs="Times New Roman"/>
      <w:sz w:val="24"/>
      <w:szCs w:val="20"/>
    </w:rPr>
  </w:style>
  <w:style w:type="paragraph" w:customStyle="1" w:styleId="650">
    <w:name w:val="样式6"/>
    <w:basedOn w:val="5"/>
    <w:autoRedefine/>
    <w:qFormat/>
    <w:uiPriority w:val="0"/>
    <w:pPr>
      <w:adjustRightInd w:val="0"/>
      <w:snapToGrid w:val="0"/>
      <w:ind w:left="358" w:leftChars="128" w:right="280" w:rightChars="100"/>
      <w:jc w:val="left"/>
      <w:textAlignment w:val="baseline"/>
    </w:pPr>
    <w:rPr>
      <w:rFonts w:ascii="宋体" w:hAnsi="宋体"/>
      <w:b/>
      <w:bCs w:val="0"/>
      <w:color w:val="7030A0"/>
      <w:kern w:val="0"/>
      <w:szCs w:val="24"/>
    </w:rPr>
  </w:style>
  <w:style w:type="paragraph" w:customStyle="1" w:styleId="651">
    <w:name w:val="Char1 Char Char Char1"/>
    <w:basedOn w:val="1"/>
    <w:autoRedefine/>
    <w:qFormat/>
    <w:uiPriority w:val="0"/>
    <w:pPr>
      <w:snapToGrid w:val="0"/>
      <w:spacing w:line="360" w:lineRule="auto"/>
      <w:ind w:firstLine="200" w:firstLineChars="200"/>
      <w:jc w:val="center"/>
    </w:pPr>
    <w:rPr>
      <w:rFonts w:ascii="Times New Roman" w:hAnsi="Times New Roman" w:eastAsia="仿宋_GB2312" w:cs="Times New Roman"/>
      <w:sz w:val="24"/>
      <w:szCs w:val="24"/>
    </w:rPr>
  </w:style>
  <w:style w:type="paragraph" w:customStyle="1" w:styleId="652">
    <w:name w:val="xl118"/>
    <w:basedOn w:val="1"/>
    <w:autoRedefine/>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53">
    <w:name w:val="正文 New"/>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54">
    <w:name w:val="AD32F38E270F49C9A9D4A1C1DFFD027D"/>
    <w:autoRedefine/>
    <w:qFormat/>
    <w:uiPriority w:val="0"/>
    <w:pPr>
      <w:spacing w:after="200" w:line="276" w:lineRule="auto"/>
    </w:pPr>
    <w:rPr>
      <w:rFonts w:ascii="Calibri" w:hAnsi="Calibri" w:eastAsia="宋体" w:cs="Times New Roman"/>
      <w:kern w:val="0"/>
      <w:sz w:val="22"/>
      <w:szCs w:val="22"/>
      <w:lang w:val="en-US" w:eastAsia="zh-CN" w:bidi="ar-SA"/>
    </w:rPr>
  </w:style>
  <w:style w:type="paragraph" w:customStyle="1" w:styleId="655">
    <w:name w:val="xl64"/>
    <w:basedOn w:val="1"/>
    <w:autoRedefine/>
    <w:semiHidden/>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4"/>
    </w:rPr>
  </w:style>
  <w:style w:type="paragraph" w:customStyle="1" w:styleId="656">
    <w:name w:val="1"/>
    <w:basedOn w:val="1"/>
    <w:next w:val="21"/>
    <w:autoRedefine/>
    <w:qFormat/>
    <w:uiPriority w:val="0"/>
    <w:pPr>
      <w:adjustRightInd w:val="0"/>
      <w:snapToGrid w:val="0"/>
      <w:spacing w:line="480" w:lineRule="exact"/>
      <w:ind w:firstLine="200" w:firstLineChars="200"/>
    </w:pPr>
    <w:rPr>
      <w:rFonts w:ascii="Times New Roman" w:hAnsi="Times New Roman" w:eastAsia="方正书宋简体" w:cs="Times New Roman"/>
      <w:sz w:val="24"/>
      <w:szCs w:val="24"/>
    </w:rPr>
  </w:style>
  <w:style w:type="paragraph" w:customStyle="1" w:styleId="657">
    <w:name w:val="标题 1 宋体 三号 Char Char"/>
    <w:basedOn w:val="3"/>
    <w:autoRedefine/>
    <w:qFormat/>
    <w:uiPriority w:val="0"/>
    <w:pPr>
      <w:tabs>
        <w:tab w:val="left" w:pos="1620"/>
      </w:tabs>
      <w:spacing w:line="360" w:lineRule="auto"/>
      <w:ind w:left="425" w:leftChars="600" w:hanging="425" w:hangingChars="200"/>
      <w:jc w:val="center"/>
    </w:pPr>
    <w:rPr>
      <w:rFonts w:ascii="宋体" w:hAnsi="宋体"/>
      <w:sz w:val="32"/>
    </w:rPr>
  </w:style>
  <w:style w:type="paragraph" w:customStyle="1" w:styleId="658">
    <w:name w:val="xl56"/>
    <w:basedOn w:val="1"/>
    <w:autoRedefine/>
    <w:semiHidden/>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仿宋_GB2312" w:cs="Arial"/>
      <w:kern w:val="0"/>
      <w:sz w:val="20"/>
      <w:szCs w:val="20"/>
    </w:rPr>
  </w:style>
  <w:style w:type="paragraph" w:customStyle="1" w:styleId="659">
    <w:name w:val="样式 样式 标题 3 + 左侧:  1 字符 右侧:  1 字符 + 宋体 左侧:  1 字符 右侧:  1 字符"/>
    <w:basedOn w:val="660"/>
    <w:autoRedefine/>
    <w:qFormat/>
    <w:uiPriority w:val="0"/>
    <w:pPr>
      <w:ind w:left="240" w:right="240"/>
    </w:pPr>
  </w:style>
  <w:style w:type="paragraph" w:customStyle="1" w:styleId="660">
    <w:name w:val="样式 标题 3 + 左侧:  1 字符 右侧:  1 字符"/>
    <w:basedOn w:val="5"/>
    <w:autoRedefine/>
    <w:qFormat/>
    <w:uiPriority w:val="0"/>
    <w:pPr>
      <w:snapToGrid w:val="0"/>
      <w:ind w:left="100" w:leftChars="100" w:right="100" w:rightChars="100"/>
      <w:jc w:val="left"/>
    </w:pPr>
    <w:rPr>
      <w:rFonts w:ascii="Arial" w:hAnsi="Arial" w:cs="宋体"/>
      <w:b/>
      <w:color w:val="7030A0"/>
      <w:szCs w:val="28"/>
    </w:rPr>
  </w:style>
  <w:style w:type="paragraph" w:customStyle="1" w:styleId="661">
    <w:name w:val="xl48"/>
    <w:basedOn w:val="1"/>
    <w:autoRedefine/>
    <w:semiHidden/>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Calibri" w:hAnsi="Calibri" w:eastAsia="仿宋_GB2312" w:cs="Arial"/>
      <w:kern w:val="0"/>
      <w:sz w:val="20"/>
      <w:szCs w:val="20"/>
    </w:rPr>
  </w:style>
  <w:style w:type="paragraph" w:customStyle="1" w:styleId="662">
    <w:name w:val="Char Char Char Char Char Char Char"/>
    <w:basedOn w:val="1"/>
    <w:autoRedefine/>
    <w:qFormat/>
    <w:uiPriority w:val="0"/>
    <w:pPr>
      <w:adjustRightInd w:val="0"/>
      <w:spacing w:line="360" w:lineRule="auto"/>
      <w:ind w:firstLine="200" w:firstLineChars="200"/>
      <w:textAlignment w:val="baseline"/>
    </w:pPr>
    <w:rPr>
      <w:rFonts w:ascii="Times New Roman" w:hAnsi="Times New Roman" w:eastAsia="仿宋_GB2312" w:cs="Times New Roman"/>
      <w:kern w:val="0"/>
      <w:sz w:val="24"/>
      <w:szCs w:val="24"/>
    </w:rPr>
  </w:style>
  <w:style w:type="paragraph" w:customStyle="1" w:styleId="663">
    <w:name w:val="正文样式"/>
    <w:basedOn w:val="1"/>
    <w:autoRedefine/>
    <w:qFormat/>
    <w:uiPriority w:val="0"/>
    <w:pPr>
      <w:spacing w:line="360" w:lineRule="auto"/>
      <w:ind w:firstLine="200" w:firstLineChars="200"/>
    </w:pPr>
    <w:rPr>
      <w:rFonts w:ascii="Times New Roman" w:hAnsi="Times New Roman" w:eastAsia="仿宋_GB2312" w:cs="Times New Roman"/>
      <w:sz w:val="24"/>
      <w:szCs w:val="24"/>
    </w:rPr>
  </w:style>
  <w:style w:type="paragraph" w:customStyle="1" w:styleId="664">
    <w:name w:val="Char Char Char Char Char Char Char Char Char Char Char Char Char"/>
    <w:basedOn w:val="1"/>
    <w:autoRedefine/>
    <w:semiHidden/>
    <w:qFormat/>
    <w:uiPriority w:val="0"/>
    <w:pPr>
      <w:widowControl/>
      <w:spacing w:line="360" w:lineRule="auto"/>
      <w:ind w:firstLine="200" w:firstLineChars="200"/>
      <w:jc w:val="left"/>
    </w:pPr>
    <w:rPr>
      <w:rFonts w:ascii="宋体" w:hAnsi="宋体" w:eastAsia="仿宋_GB2312" w:cs="宋体"/>
      <w:sz w:val="24"/>
      <w:szCs w:val="28"/>
    </w:rPr>
  </w:style>
  <w:style w:type="paragraph" w:customStyle="1" w:styleId="665">
    <w:name w:val="xl87"/>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666">
    <w:name w:val="xl123"/>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67">
    <w:name w:val="Char11"/>
    <w:basedOn w:val="1"/>
    <w:autoRedefine/>
    <w:semiHidden/>
    <w:qFormat/>
    <w:uiPriority w:val="0"/>
    <w:pPr>
      <w:keepNext/>
      <w:widowControl/>
      <w:spacing w:after="160" w:line="240" w:lineRule="exact"/>
      <w:ind w:firstLine="200" w:firstLineChars="200"/>
      <w:jc w:val="left"/>
    </w:pPr>
    <w:rPr>
      <w:rFonts w:ascii="Calibri" w:hAnsi="Calibri" w:eastAsia="仿宋_GB2312" w:cs="Arial"/>
      <w:szCs w:val="20"/>
    </w:rPr>
  </w:style>
  <w:style w:type="paragraph" w:customStyle="1" w:styleId="668">
    <w:name w:val="样式 表字 + 首行缩进:  2 字符"/>
    <w:basedOn w:val="1"/>
    <w:autoRedefine/>
    <w:semiHidden/>
    <w:qFormat/>
    <w:uiPriority w:val="0"/>
    <w:pPr>
      <w:spacing w:line="360" w:lineRule="auto"/>
      <w:ind w:firstLine="200" w:firstLineChars="200"/>
      <w:jc w:val="center"/>
    </w:pPr>
    <w:rPr>
      <w:rFonts w:ascii="宋体" w:hAnsi="Times New Roman" w:eastAsia="仿宋_GB2312" w:cs="Times New Roman"/>
      <w:szCs w:val="21"/>
    </w:rPr>
  </w:style>
  <w:style w:type="paragraph" w:customStyle="1" w:styleId="669">
    <w:name w:val="xl39"/>
    <w:basedOn w:val="1"/>
    <w:autoRedefine/>
    <w:qFormat/>
    <w:uiPriority w:val="0"/>
    <w:pPr>
      <w:widowControl/>
      <w:pBdr>
        <w:bottom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670">
    <w:name w:val="xl116"/>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71">
    <w:name w:val="Char Char Char Char Char Char Char Char Char Char"/>
    <w:basedOn w:val="1"/>
    <w:autoRedefine/>
    <w:qFormat/>
    <w:uiPriority w:val="0"/>
    <w:pPr>
      <w:spacing w:line="360" w:lineRule="auto"/>
      <w:ind w:firstLine="480" w:firstLineChars="200"/>
      <w:jc w:val="center"/>
    </w:pPr>
    <w:rPr>
      <w:rFonts w:ascii="Times New Roman" w:hAnsi="Times New Roman" w:eastAsia="仿宋_GB2312" w:cs="Times New Roman"/>
      <w:szCs w:val="24"/>
    </w:rPr>
  </w:style>
  <w:style w:type="paragraph" w:customStyle="1" w:styleId="672">
    <w:name w:val="xl7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673">
    <w:name w:val="Char Char Char Char Char Char Char Char Char Char Char Char Char Char Char Char"/>
    <w:basedOn w:val="1"/>
    <w:autoRedefine/>
    <w:qFormat/>
    <w:uiPriority w:val="0"/>
    <w:pPr>
      <w:spacing w:line="360" w:lineRule="auto"/>
      <w:ind w:left="-48" w:firstLine="200" w:firstLineChars="200"/>
    </w:pPr>
    <w:rPr>
      <w:rFonts w:ascii="Times New Roman" w:hAnsi="Times New Roman" w:eastAsia="仿宋_GB2312" w:cs="Times New Roman"/>
      <w:szCs w:val="24"/>
    </w:rPr>
  </w:style>
  <w:style w:type="paragraph" w:customStyle="1" w:styleId="674">
    <w:name w:val="Char Char Char Char Char Char Char Char Char Char Char Char Char Char Char Char1"/>
    <w:basedOn w:val="1"/>
    <w:autoRedefine/>
    <w:qFormat/>
    <w:uiPriority w:val="0"/>
    <w:pPr>
      <w:spacing w:line="360" w:lineRule="auto"/>
      <w:ind w:firstLine="480" w:firstLineChars="200"/>
      <w:jc w:val="center"/>
    </w:pPr>
    <w:rPr>
      <w:rFonts w:ascii="Times New Roman" w:hAnsi="Times New Roman" w:eastAsia="仿宋_GB2312" w:cs="Times New Roman"/>
      <w:sz w:val="24"/>
      <w:szCs w:val="24"/>
    </w:rPr>
  </w:style>
  <w:style w:type="paragraph" w:customStyle="1" w:styleId="675">
    <w:name w:val="xl139"/>
    <w:basedOn w:val="1"/>
    <w:autoRedefine/>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676">
    <w:name w:val="xl61"/>
    <w:basedOn w:val="1"/>
    <w:autoRedefine/>
    <w:semiHidden/>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仿宋_GB2312" w:cs="Arial"/>
      <w:kern w:val="0"/>
      <w:sz w:val="20"/>
      <w:szCs w:val="20"/>
    </w:rPr>
  </w:style>
  <w:style w:type="paragraph" w:customStyle="1" w:styleId="677">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678">
    <w:name w:val="yf_表样式1"/>
    <w:basedOn w:val="1"/>
    <w:autoRedefine/>
    <w:qFormat/>
    <w:uiPriority w:val="0"/>
    <w:pPr>
      <w:widowControl/>
      <w:adjustRightInd w:val="0"/>
      <w:snapToGrid w:val="0"/>
      <w:spacing w:line="240" w:lineRule="atLeast"/>
      <w:ind w:firstLine="480" w:firstLineChars="200"/>
      <w:jc w:val="center"/>
    </w:pPr>
    <w:rPr>
      <w:rFonts w:ascii="Times New Roman" w:hAnsi="宋体" w:eastAsia="仿宋_GB2312" w:cs="Times New Roman"/>
      <w:kern w:val="0"/>
      <w:szCs w:val="21"/>
    </w:rPr>
  </w:style>
  <w:style w:type="paragraph" w:customStyle="1" w:styleId="679">
    <w:name w:val="xl9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680">
    <w:name w:val="默认段落字体 Para Char"/>
    <w:basedOn w:val="1"/>
    <w:next w:val="1"/>
    <w:autoRedefine/>
    <w:qFormat/>
    <w:uiPriority w:val="0"/>
    <w:pPr>
      <w:spacing w:line="360" w:lineRule="auto"/>
      <w:ind w:firstLine="200" w:firstLineChars="200"/>
    </w:pPr>
    <w:rPr>
      <w:rFonts w:ascii="宋体" w:hAnsi="宋体" w:eastAsia="仿宋_GB2312" w:cs="宋体"/>
      <w:sz w:val="24"/>
      <w:szCs w:val="24"/>
    </w:rPr>
  </w:style>
  <w:style w:type="paragraph" w:customStyle="1" w:styleId="681">
    <w:name w:val="xl128"/>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styleId="682">
    <w:name w:val="No Spacing"/>
    <w:autoRedefine/>
    <w:qFormat/>
    <w:uiPriority w:val="1"/>
    <w:pPr>
      <w:widowControl w:val="0"/>
      <w:jc w:val="both"/>
    </w:pPr>
    <w:rPr>
      <w:rFonts w:ascii="Times New Roman" w:hAnsi="Times New Roman" w:eastAsia="宋体" w:cs="Times New Roman"/>
      <w:kern w:val="2"/>
      <w:sz w:val="21"/>
      <w:szCs w:val="20"/>
      <w:lang w:val="en-US" w:eastAsia="zh-CN" w:bidi="ar-SA"/>
    </w:rPr>
  </w:style>
  <w:style w:type="paragraph" w:customStyle="1" w:styleId="683">
    <w:name w:val="xl93"/>
    <w:basedOn w:val="1"/>
    <w:autoRedefine/>
    <w:qFormat/>
    <w:uiPriority w:val="0"/>
    <w:pPr>
      <w:widowControl/>
      <w:pBdr>
        <w:top w:val="single" w:color="auto" w:sz="4" w:space="0"/>
        <w:bottom w:val="single" w:color="auto" w:sz="4" w:space="0"/>
      </w:pBdr>
      <w:shd w:val="clear" w:color="000000" w:fill="FFFFFF"/>
      <w:spacing w:before="100" w:beforeAutospacing="1" w:after="100" w:afterAutospacing="1" w:line="360" w:lineRule="auto"/>
      <w:ind w:firstLine="200" w:firstLineChars="200"/>
      <w:jc w:val="center"/>
      <w:textAlignment w:val="center"/>
    </w:pPr>
    <w:rPr>
      <w:rFonts w:ascii="仿宋" w:hAnsi="宋体" w:eastAsia="仿宋" w:cs="宋体"/>
      <w:kern w:val="0"/>
      <w:sz w:val="18"/>
      <w:szCs w:val="18"/>
    </w:rPr>
  </w:style>
  <w:style w:type="paragraph" w:customStyle="1" w:styleId="684">
    <w:name w:val="xl133"/>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85">
    <w:name w:val="yf_正文～"/>
    <w:autoRedefine/>
    <w:semiHidden/>
    <w:qFormat/>
    <w:uiPriority w:val="0"/>
    <w:pPr>
      <w:adjustRightInd w:val="0"/>
      <w:snapToGrid w:val="0"/>
      <w:spacing w:line="336" w:lineRule="auto"/>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686">
    <w:name w:val="xl10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87">
    <w:name w:val="xl113"/>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688">
    <w:name w:val="font16"/>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color w:val="FF0000"/>
      <w:kern w:val="0"/>
      <w:sz w:val="20"/>
      <w:szCs w:val="20"/>
    </w:rPr>
  </w:style>
  <w:style w:type="paragraph" w:customStyle="1" w:styleId="689">
    <w:name w:val="样式 标题 3h3 + 左侧:  0 厘米 首行缩进:  0 厘米 段前: 12 磅 段后: 6 磅 行距: 1.5 ..."/>
    <w:basedOn w:val="5"/>
    <w:autoRedefine/>
    <w:qFormat/>
    <w:uiPriority w:val="0"/>
    <w:pPr>
      <w:keepNext w:val="0"/>
      <w:keepLines w:val="0"/>
      <w:numPr>
        <w:ilvl w:val="2"/>
        <w:numId w:val="14"/>
      </w:numPr>
      <w:tabs>
        <w:tab w:val="left" w:pos="1145"/>
      </w:tabs>
      <w:adjustRightInd w:val="0"/>
      <w:snapToGrid w:val="0"/>
      <w:spacing w:before="120" w:after="120"/>
      <w:ind w:firstLine="0"/>
      <w:jc w:val="left"/>
    </w:pPr>
    <w:rPr>
      <w:rFonts w:cs="宋体"/>
      <w:b/>
      <w:bCs w:val="0"/>
      <w:color w:val="000000"/>
      <w:szCs w:val="20"/>
    </w:rPr>
  </w:style>
  <w:style w:type="paragraph" w:customStyle="1" w:styleId="690">
    <w:name w:val="样式 标题 4 +"/>
    <w:basedOn w:val="6"/>
    <w:autoRedefine/>
    <w:qFormat/>
    <w:uiPriority w:val="0"/>
    <w:pPr>
      <w:adjustRightInd w:val="0"/>
      <w:snapToGrid w:val="0"/>
      <w:spacing w:before="0" w:after="0" w:line="360" w:lineRule="auto"/>
      <w:ind w:left="240" w:leftChars="100" w:right="240" w:rightChars="100"/>
    </w:pPr>
    <w:rPr>
      <w:rFonts w:ascii="宋体" w:hAnsi="宋体" w:cs="宋体"/>
      <w:b w:val="0"/>
      <w:bCs w:val="0"/>
      <w:color w:val="000000"/>
      <w:kern w:val="0"/>
    </w:rPr>
  </w:style>
  <w:style w:type="paragraph" w:customStyle="1" w:styleId="691">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92">
    <w:name w:val="xl3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693">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694">
    <w:name w:val="样式1"/>
    <w:basedOn w:val="3"/>
    <w:autoRedefine/>
    <w:qFormat/>
    <w:uiPriority w:val="0"/>
    <w:pPr>
      <w:spacing w:before="170" w:after="170" w:line="500" w:lineRule="exact"/>
      <w:jc w:val="center"/>
    </w:pPr>
    <w:rPr>
      <w:sz w:val="32"/>
    </w:rPr>
  </w:style>
  <w:style w:type="paragraph" w:customStyle="1" w:styleId="695">
    <w:name w:val="收件人地址"/>
    <w:basedOn w:val="1"/>
    <w:autoRedefine/>
    <w:qFormat/>
    <w:uiPriority w:val="3"/>
    <w:pPr>
      <w:widowControl/>
      <w:spacing w:before="480" w:after="480" w:line="300" w:lineRule="auto"/>
      <w:ind w:firstLine="200" w:firstLineChars="200"/>
      <w:contextualSpacing/>
      <w:jc w:val="left"/>
    </w:pPr>
    <w:rPr>
      <w:rFonts w:ascii="Georgia" w:hAnsi="Georgia" w:eastAsia="仿宋_GB2312" w:cs="Times New Roman"/>
      <w:kern w:val="0"/>
      <w:sz w:val="20"/>
      <w:szCs w:val="20"/>
    </w:rPr>
  </w:style>
  <w:style w:type="paragraph" w:customStyle="1" w:styleId="696">
    <w:name w:val="xl10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697">
    <w:name w:val="xl74"/>
    <w:basedOn w:val="1"/>
    <w:autoRedefine/>
    <w:qFormat/>
    <w:uiPriority w:val="0"/>
    <w:pPr>
      <w:widowControl/>
      <w:spacing w:before="100" w:beforeAutospacing="1" w:after="100" w:afterAutospacing="1" w:line="360" w:lineRule="auto"/>
      <w:ind w:firstLine="200" w:firstLineChars="200"/>
      <w:jc w:val="center"/>
    </w:pPr>
    <w:rPr>
      <w:rFonts w:ascii="宋体" w:hAnsi="宋体" w:eastAsia="仿宋_GB2312" w:cs="宋体"/>
      <w:color w:val="000000"/>
      <w:kern w:val="0"/>
      <w:sz w:val="18"/>
      <w:szCs w:val="18"/>
    </w:rPr>
  </w:style>
  <w:style w:type="paragraph" w:customStyle="1" w:styleId="698">
    <w:name w:val="Char3"/>
    <w:basedOn w:val="1"/>
    <w:autoRedefine/>
    <w:qFormat/>
    <w:uiPriority w:val="0"/>
    <w:pPr>
      <w:spacing w:line="360" w:lineRule="auto"/>
      <w:ind w:firstLine="200" w:firstLineChars="200"/>
    </w:pPr>
    <w:rPr>
      <w:rFonts w:ascii="宋体" w:hAnsi="宋体" w:eastAsia="仿宋_GB2312" w:cs="宋体"/>
      <w:sz w:val="24"/>
      <w:szCs w:val="24"/>
    </w:rPr>
  </w:style>
  <w:style w:type="paragraph" w:customStyle="1" w:styleId="699">
    <w:name w:val="Char Char Char1 Char Char Char Char Char Char Char Char Char Char Char Char Char"/>
    <w:basedOn w:val="6"/>
    <w:autoRedefine/>
    <w:qFormat/>
    <w:uiPriority w:val="0"/>
    <w:pPr>
      <w:widowControl/>
      <w:spacing w:before="120" w:after="120" w:line="360" w:lineRule="auto"/>
      <w:jc w:val="left"/>
    </w:pPr>
    <w:rPr>
      <w:rFonts w:ascii="Times New Roman" w:hAnsi="Times New Roman" w:eastAsia="仿宋_GB2312"/>
      <w:b w:val="0"/>
      <w:bCs w:val="0"/>
      <w:color w:val="000000"/>
      <w:kern w:val="0"/>
    </w:rPr>
  </w:style>
  <w:style w:type="paragraph" w:customStyle="1" w:styleId="700">
    <w:name w:val="我的标题2"/>
    <w:basedOn w:val="1"/>
    <w:autoRedefine/>
    <w:semiHidden/>
    <w:qFormat/>
    <w:uiPriority w:val="0"/>
    <w:pPr>
      <w:widowControl/>
      <w:tabs>
        <w:tab w:val="left" w:pos="8680"/>
      </w:tabs>
      <w:spacing w:line="360" w:lineRule="auto"/>
      <w:ind w:firstLine="200" w:firstLineChars="200"/>
      <w:jc w:val="left"/>
      <w:outlineLvl w:val="1"/>
    </w:pPr>
    <w:rPr>
      <w:rFonts w:ascii="宋体" w:hAnsi="宋体" w:eastAsia="仿宋_GB2312" w:cs="Arial"/>
      <w:b/>
      <w:bCs/>
      <w:color w:val="000000"/>
      <w:kern w:val="0"/>
      <w:sz w:val="24"/>
    </w:rPr>
  </w:style>
  <w:style w:type="paragraph" w:customStyle="1" w:styleId="701">
    <w:name w:val="font17"/>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kern w:val="0"/>
      <w:sz w:val="20"/>
      <w:szCs w:val="20"/>
    </w:rPr>
  </w:style>
  <w:style w:type="paragraph" w:customStyle="1" w:styleId="702">
    <w:name w:val="样式16"/>
    <w:basedOn w:val="1"/>
    <w:next w:val="1"/>
    <w:autoRedefine/>
    <w:semiHidden/>
    <w:qFormat/>
    <w:uiPriority w:val="0"/>
    <w:pPr>
      <w:tabs>
        <w:tab w:val="left" w:pos="269"/>
        <w:tab w:val="left" w:pos="538"/>
        <w:tab w:val="left" w:pos="720"/>
        <w:tab w:val="left" w:pos="4262"/>
      </w:tabs>
      <w:adjustRightInd w:val="0"/>
      <w:snapToGrid w:val="0"/>
      <w:spacing w:line="500" w:lineRule="exact"/>
      <w:ind w:left="720" w:hanging="720" w:firstLineChars="200"/>
      <w:jc w:val="center"/>
      <w:outlineLvl w:val="1"/>
    </w:pPr>
    <w:rPr>
      <w:rFonts w:ascii="Arial" w:hAnsi="Arial" w:eastAsia="黑体" w:cs="Times New Roman"/>
      <w:b/>
      <w:bCs/>
      <w:kern w:val="44"/>
      <w:sz w:val="28"/>
      <w:szCs w:val="28"/>
    </w:rPr>
  </w:style>
  <w:style w:type="paragraph" w:customStyle="1" w:styleId="703">
    <w:name w:val="一级标题"/>
    <w:basedOn w:val="3"/>
    <w:autoRedefine/>
    <w:qFormat/>
    <w:uiPriority w:val="0"/>
    <w:pPr>
      <w:spacing w:before="100" w:beforeLines="100" w:after="100" w:afterLines="100" w:line="240" w:lineRule="auto"/>
      <w:jc w:val="center"/>
    </w:pPr>
    <w:rPr>
      <w:rFonts w:eastAsia="黑体"/>
      <w:b w:val="0"/>
      <w:sz w:val="32"/>
    </w:rPr>
  </w:style>
  <w:style w:type="paragraph" w:customStyle="1" w:styleId="704">
    <w:name w:val="样式 样式 标题 4 + (西文) 宋体 + 左侧:  2 字符"/>
    <w:basedOn w:val="1"/>
    <w:autoRedefine/>
    <w:qFormat/>
    <w:uiPriority w:val="0"/>
    <w:pPr>
      <w:keepNext/>
      <w:keepLines/>
      <w:spacing w:line="360" w:lineRule="auto"/>
      <w:ind w:right="210" w:firstLine="434" w:firstLineChars="181"/>
      <w:jc w:val="center"/>
      <w:outlineLvl w:val="3"/>
    </w:pPr>
    <w:rPr>
      <w:rFonts w:ascii="宋体" w:hAnsi="宋体" w:eastAsia="仿宋_GB2312" w:cs="Arial"/>
      <w:bCs/>
      <w:sz w:val="24"/>
      <w:szCs w:val="24"/>
    </w:rPr>
  </w:style>
  <w:style w:type="paragraph" w:customStyle="1" w:styleId="705">
    <w:name w:val="xl100"/>
    <w:basedOn w:val="1"/>
    <w:autoRedefine/>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06">
    <w:name w:val="尾注"/>
    <w:basedOn w:val="1"/>
    <w:autoRedefine/>
    <w:semiHidden/>
    <w:qFormat/>
    <w:uiPriority w:val="0"/>
    <w:pPr>
      <w:keepNext/>
      <w:widowControl/>
      <w:adjustRightInd w:val="0"/>
      <w:snapToGrid w:val="0"/>
      <w:spacing w:line="300" w:lineRule="auto"/>
      <w:ind w:firstLine="200" w:firstLineChars="200"/>
      <w:jc w:val="left"/>
    </w:pPr>
    <w:rPr>
      <w:rFonts w:ascii="宋体" w:hAnsi="宋体" w:eastAsia="仿宋_GB2312" w:cs="Arial"/>
      <w:kern w:val="28"/>
      <w:sz w:val="24"/>
    </w:rPr>
  </w:style>
  <w:style w:type="paragraph" w:customStyle="1" w:styleId="707">
    <w:name w:val="p16"/>
    <w:basedOn w:val="1"/>
    <w:autoRedefine/>
    <w:qFormat/>
    <w:uiPriority w:val="0"/>
    <w:pPr>
      <w:widowControl/>
      <w:spacing w:line="360" w:lineRule="auto"/>
      <w:ind w:firstLine="420" w:firstLineChars="200"/>
    </w:pPr>
    <w:rPr>
      <w:rFonts w:ascii="Times New Roman" w:hAnsi="Times New Roman" w:eastAsia="仿宋_GB2312" w:cs="Times New Roman"/>
      <w:kern w:val="0"/>
      <w:sz w:val="24"/>
      <w:szCs w:val="24"/>
    </w:rPr>
  </w:style>
  <w:style w:type="paragraph" w:customStyle="1" w:styleId="708">
    <w:name w:val="xl9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top"/>
    </w:pPr>
    <w:rPr>
      <w:rFonts w:ascii="Times New Roman" w:hAnsi="Times New Roman" w:eastAsia="仿宋_GB2312" w:cs="Times New Roman"/>
      <w:kern w:val="0"/>
      <w:sz w:val="24"/>
      <w:szCs w:val="24"/>
    </w:rPr>
  </w:style>
  <w:style w:type="paragraph" w:customStyle="1" w:styleId="709">
    <w:name w:val="样式 样式 (b) + 行距: 固定值 22 磅 + 加粗"/>
    <w:basedOn w:val="1"/>
    <w:autoRedefine/>
    <w:semiHidden/>
    <w:qFormat/>
    <w:uiPriority w:val="0"/>
    <w:pPr>
      <w:widowControl/>
      <w:tabs>
        <w:tab w:val="left" w:pos="572"/>
        <w:tab w:val="left" w:pos="1798"/>
      </w:tabs>
      <w:adjustRightInd w:val="0"/>
      <w:spacing w:line="800" w:lineRule="exact"/>
      <w:ind w:left="624" w:firstLine="454" w:firstLineChars="200"/>
      <w:jc w:val="left"/>
    </w:pPr>
    <w:rPr>
      <w:rFonts w:ascii="Calibri" w:hAnsi="Calibri" w:eastAsia="仿宋_GB2312" w:cs="Arial"/>
      <w:b/>
      <w:bCs/>
      <w:kern w:val="0"/>
      <w:sz w:val="48"/>
      <w:szCs w:val="48"/>
    </w:rPr>
  </w:style>
  <w:style w:type="paragraph" w:customStyle="1" w:styleId="710">
    <w:name w:val="xl35"/>
    <w:basedOn w:val="1"/>
    <w:autoRedefine/>
    <w:qFormat/>
    <w:uiPriority w:val="0"/>
    <w:pPr>
      <w:widowControl/>
      <w:pBdr>
        <w:top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szCs w:val="24"/>
    </w:rPr>
  </w:style>
  <w:style w:type="paragraph" w:customStyle="1" w:styleId="711">
    <w:name w:val="样式 标题 1 + 华文中宋 两端对齐 左侧:  0 厘米"/>
    <w:basedOn w:val="3"/>
    <w:autoRedefine/>
    <w:semiHidden/>
    <w:qFormat/>
    <w:uiPriority w:val="0"/>
    <w:pPr>
      <w:spacing w:before="0" w:after="0" w:line="300" w:lineRule="auto"/>
      <w:ind w:left="432" w:hanging="432"/>
    </w:pPr>
    <w:rPr>
      <w:rFonts w:ascii="华文中宋" w:hAnsi="华文中宋" w:eastAsia="华文中宋" w:cs="宋体"/>
      <w:b w:val="0"/>
      <w:sz w:val="28"/>
    </w:rPr>
  </w:style>
  <w:style w:type="paragraph" w:customStyle="1" w:styleId="712">
    <w:name w:val="列出段落2"/>
    <w:basedOn w:val="1"/>
    <w:autoRedefine/>
    <w:qFormat/>
    <w:uiPriority w:val="34"/>
    <w:pPr>
      <w:spacing w:line="360" w:lineRule="auto"/>
      <w:ind w:firstLine="420" w:firstLineChars="200"/>
    </w:pPr>
    <w:rPr>
      <w:rFonts w:ascii="Calibri" w:hAnsi="Calibri" w:eastAsia="仿宋_GB2312" w:cs="Times New Roman"/>
    </w:rPr>
  </w:style>
  <w:style w:type="paragraph" w:customStyle="1" w:styleId="713">
    <w:name w:val="样式 纯文本 + 四号 黑色 首行缩进:  0.96 厘米 行距: 1.5 倍行距"/>
    <w:basedOn w:val="45"/>
    <w:autoRedefine/>
    <w:qFormat/>
    <w:uiPriority w:val="0"/>
    <w:pPr>
      <w:ind w:firstLine="546"/>
    </w:pPr>
    <w:rPr>
      <w:rFonts w:ascii="Times New Roman" w:hAnsi="Times New Roman" w:eastAsia="仿宋_GB2312" w:cs="宋体"/>
      <w:color w:val="000000"/>
      <w:sz w:val="24"/>
      <w:szCs w:val="20"/>
    </w:rPr>
  </w:style>
  <w:style w:type="paragraph" w:customStyle="1" w:styleId="714">
    <w:name w:val="Char Char Char Char Char Char1 Char"/>
    <w:basedOn w:val="1"/>
    <w:autoRedefine/>
    <w:qFormat/>
    <w:uiPriority w:val="0"/>
    <w:pPr>
      <w:widowControl/>
      <w:spacing w:after="160" w:line="240" w:lineRule="exact"/>
      <w:ind w:firstLine="480" w:firstLineChars="200"/>
      <w:jc w:val="left"/>
    </w:pPr>
    <w:rPr>
      <w:rFonts w:ascii="Times New Roman" w:hAnsi="Times New Roman" w:eastAsia="仿宋_GB2312" w:cs="Times New Roman"/>
      <w:sz w:val="24"/>
      <w:szCs w:val="24"/>
    </w:rPr>
  </w:style>
  <w:style w:type="paragraph" w:customStyle="1" w:styleId="715">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0"/>
      <w:szCs w:val="20"/>
    </w:rPr>
  </w:style>
  <w:style w:type="paragraph" w:customStyle="1" w:styleId="716">
    <w:name w:val="xl60"/>
    <w:basedOn w:val="1"/>
    <w:autoRedefine/>
    <w:semiHidden/>
    <w:qFormat/>
    <w:uiPriority w:val="0"/>
    <w:pPr>
      <w:widowControl/>
      <w:spacing w:before="100" w:beforeAutospacing="1" w:after="100" w:afterAutospacing="1" w:line="360" w:lineRule="auto"/>
      <w:ind w:firstLine="200" w:firstLineChars="200"/>
      <w:jc w:val="center"/>
    </w:pPr>
    <w:rPr>
      <w:rFonts w:ascii="Arial Unicode MS" w:hAnsi="Arial Unicode MS" w:eastAsia="仿宋_GB2312" w:cs="Arial"/>
      <w:kern w:val="0"/>
      <w:szCs w:val="21"/>
    </w:rPr>
  </w:style>
  <w:style w:type="paragraph" w:customStyle="1" w:styleId="717">
    <w:name w:val="xl58"/>
    <w:basedOn w:val="1"/>
    <w:autoRedefine/>
    <w:semiHidden/>
    <w:qFormat/>
    <w:uiPriority w:val="0"/>
    <w:pPr>
      <w:widowControl/>
      <w:pBdr>
        <w:bottom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Cs w:val="21"/>
    </w:rPr>
  </w:style>
  <w:style w:type="paragraph" w:customStyle="1" w:styleId="718">
    <w:name w:val="Знак Знак1"/>
    <w:basedOn w:val="1"/>
    <w:autoRedefine/>
    <w:qFormat/>
    <w:uiPriority w:val="0"/>
    <w:pPr>
      <w:spacing w:line="360" w:lineRule="auto"/>
      <w:ind w:left="-48" w:firstLine="480" w:firstLineChars="200"/>
      <w:jc w:val="center"/>
    </w:pPr>
    <w:rPr>
      <w:rFonts w:ascii="Times New Roman" w:hAnsi="Times New Roman" w:eastAsia="仿宋_GB2312" w:cs="Times New Roman"/>
      <w:szCs w:val="24"/>
    </w:rPr>
  </w:style>
  <w:style w:type="paragraph" w:customStyle="1" w:styleId="719">
    <w:name w:val="font14"/>
    <w:basedOn w:val="1"/>
    <w:autoRedefine/>
    <w:qFormat/>
    <w:uiPriority w:val="0"/>
    <w:pPr>
      <w:widowControl/>
      <w:spacing w:before="100" w:beforeAutospacing="1" w:after="100" w:afterAutospacing="1" w:line="360" w:lineRule="auto"/>
      <w:ind w:firstLine="200" w:firstLineChars="200"/>
      <w:jc w:val="left"/>
    </w:pPr>
    <w:rPr>
      <w:rFonts w:ascii="宋体" w:hAnsi="宋体" w:eastAsia="仿宋_GB2312" w:cs="宋体"/>
      <w:color w:val="000000"/>
      <w:kern w:val="0"/>
      <w:sz w:val="20"/>
      <w:szCs w:val="20"/>
    </w:rPr>
  </w:style>
  <w:style w:type="paragraph" w:customStyle="1" w:styleId="720">
    <w:name w:val="正文sj"/>
    <w:basedOn w:val="1"/>
    <w:autoRedefine/>
    <w:semiHidden/>
    <w:qFormat/>
    <w:uiPriority w:val="0"/>
    <w:pPr>
      <w:widowControl/>
      <w:spacing w:line="360" w:lineRule="auto"/>
      <w:ind w:firstLine="567" w:firstLineChars="200"/>
      <w:jc w:val="left"/>
    </w:pPr>
    <w:rPr>
      <w:rFonts w:ascii="宋体" w:hAnsi="宋体" w:eastAsia="仿宋_GB2312" w:cs="Arial"/>
      <w:szCs w:val="20"/>
    </w:rPr>
  </w:style>
  <w:style w:type="paragraph" w:customStyle="1" w:styleId="721">
    <w:name w:val="简单回函地址"/>
    <w:basedOn w:val="1"/>
    <w:autoRedefine/>
    <w:qFormat/>
    <w:uiPriority w:val="0"/>
    <w:pPr>
      <w:spacing w:line="360" w:lineRule="auto"/>
      <w:ind w:firstLine="200" w:firstLineChars="200"/>
    </w:pPr>
    <w:rPr>
      <w:rFonts w:ascii="Times New Roman" w:hAnsi="Times New Roman" w:eastAsia="仿宋_GB2312" w:cs="Times New Roman"/>
      <w:szCs w:val="24"/>
    </w:rPr>
  </w:style>
  <w:style w:type="paragraph" w:customStyle="1" w:styleId="722">
    <w:name w:val="TOC 标题1"/>
    <w:basedOn w:val="3"/>
    <w:next w:val="1"/>
    <w:autoRedefine/>
    <w:qFormat/>
    <w:uiPriority w:val="0"/>
    <w:pPr>
      <w:widowControl/>
      <w:spacing w:beforeLines="50" w:afterLines="50" w:line="276" w:lineRule="auto"/>
      <w:ind w:left="210" w:leftChars="100" w:right="210" w:rightChars="100" w:firstLine="480"/>
      <w:jc w:val="left"/>
      <w:outlineLvl w:val="9"/>
    </w:pPr>
    <w:rPr>
      <w:rFonts w:ascii="Cambria" w:hAnsi="Cambria"/>
      <w:color w:val="365F91"/>
      <w:kern w:val="0"/>
      <w:sz w:val="28"/>
      <w:szCs w:val="28"/>
    </w:rPr>
  </w:style>
  <w:style w:type="paragraph" w:customStyle="1" w:styleId="723">
    <w:name w:val="样式 标题 4 + (符号) 宋体 小四 非加粗 两端对齐 Char Char Char"/>
    <w:basedOn w:val="1"/>
    <w:autoRedefine/>
    <w:qFormat/>
    <w:uiPriority w:val="0"/>
    <w:pPr>
      <w:tabs>
        <w:tab w:val="left" w:pos="425"/>
        <w:tab w:val="left" w:pos="1620"/>
      </w:tabs>
      <w:spacing w:line="360" w:lineRule="auto"/>
      <w:ind w:left="360" w:leftChars="600" w:hanging="360" w:hangingChars="200"/>
      <w:jc w:val="center"/>
    </w:pPr>
    <w:rPr>
      <w:rFonts w:ascii="Times New Roman" w:hAnsi="Times New Roman" w:eastAsia="仿宋_GB2312" w:cs="Times New Roman"/>
      <w:sz w:val="24"/>
      <w:szCs w:val="21"/>
    </w:rPr>
  </w:style>
  <w:style w:type="paragraph" w:customStyle="1" w:styleId="724">
    <w:name w:val="xl28"/>
    <w:basedOn w:val="1"/>
    <w:autoRedefine/>
    <w:qFormat/>
    <w:uiPriority w:val="0"/>
    <w:pPr>
      <w:widowControl/>
      <w:spacing w:before="100" w:beforeAutospacing="1" w:after="100" w:afterAutospacing="1" w:line="360" w:lineRule="auto"/>
      <w:ind w:firstLine="200" w:firstLineChars="200"/>
      <w:jc w:val="center"/>
      <w:textAlignment w:val="bottom"/>
    </w:pPr>
    <w:rPr>
      <w:rFonts w:ascii="Arial Unicode MS" w:hAnsi="Arial Unicode MS" w:eastAsia="Arial Unicode MS" w:cs="Arial Unicode MS"/>
      <w:b/>
      <w:bCs/>
      <w:kern w:val="0"/>
      <w:sz w:val="24"/>
      <w:szCs w:val="24"/>
    </w:rPr>
  </w:style>
  <w:style w:type="paragraph" w:customStyle="1" w:styleId="725">
    <w:name w:val="Char Char44"/>
    <w:basedOn w:val="1"/>
    <w:autoRedefine/>
    <w:qFormat/>
    <w:uiPriority w:val="0"/>
    <w:pPr>
      <w:spacing w:line="360" w:lineRule="auto"/>
      <w:ind w:firstLine="200" w:firstLineChars="200"/>
    </w:pPr>
    <w:rPr>
      <w:rFonts w:ascii="Times New Roman" w:hAnsi="Times New Roman" w:eastAsia="楷体_GB2312" w:cs="Times New Roman"/>
      <w:b/>
      <w:bCs/>
      <w:snapToGrid w:val="0"/>
      <w:kern w:val="0"/>
      <w:sz w:val="24"/>
      <w:szCs w:val="24"/>
    </w:rPr>
  </w:style>
  <w:style w:type="paragraph" w:customStyle="1" w:styleId="726">
    <w:name w:val="表格2"/>
    <w:basedOn w:val="1"/>
    <w:autoRedefine/>
    <w:qFormat/>
    <w:uiPriority w:val="0"/>
    <w:pPr>
      <w:spacing w:line="360" w:lineRule="auto"/>
      <w:ind w:firstLine="200" w:firstLineChars="200"/>
      <w:jc w:val="center"/>
    </w:pPr>
    <w:rPr>
      <w:rFonts w:ascii="宋体" w:hAnsi="Times New Roman" w:eastAsia="仿宋_GB2312" w:cs="宋体"/>
      <w:szCs w:val="20"/>
    </w:rPr>
  </w:style>
  <w:style w:type="paragraph" w:customStyle="1" w:styleId="727">
    <w:name w:val="表注1"/>
    <w:basedOn w:val="34"/>
    <w:autoRedefine/>
    <w:qFormat/>
    <w:uiPriority w:val="0"/>
    <w:pPr>
      <w:spacing w:after="0"/>
    </w:pPr>
    <w:rPr>
      <w:rFonts w:ascii="楷体_GB2312" w:eastAsia="楷体_GB2312"/>
      <w:kern w:val="28"/>
      <w:sz w:val="21"/>
      <w:szCs w:val="21"/>
    </w:rPr>
  </w:style>
  <w:style w:type="paragraph" w:customStyle="1" w:styleId="728">
    <w:name w:val="xl1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textAlignment w:val="center"/>
    </w:pPr>
    <w:rPr>
      <w:rFonts w:ascii="Times New Roman" w:hAnsi="Times New Roman" w:eastAsia="仿宋_GB2312" w:cs="Times New Roman"/>
      <w:color w:val="000000"/>
      <w:kern w:val="0"/>
      <w:sz w:val="20"/>
      <w:szCs w:val="20"/>
    </w:rPr>
  </w:style>
  <w:style w:type="paragraph" w:customStyle="1" w:styleId="729">
    <w:name w:val="自定义正文"/>
    <w:basedOn w:val="1"/>
    <w:autoRedefine/>
    <w:semiHidden/>
    <w:qFormat/>
    <w:uiPriority w:val="0"/>
    <w:pPr>
      <w:widowControl/>
      <w:adjustRightInd w:val="0"/>
      <w:spacing w:line="360" w:lineRule="auto"/>
      <w:ind w:firstLine="560" w:firstLineChars="200"/>
      <w:jc w:val="left"/>
      <w:textAlignment w:val="baseline"/>
    </w:pPr>
    <w:rPr>
      <w:rFonts w:ascii="Calibri" w:hAnsi="Calibri" w:eastAsia="仿宋_GB2312" w:cs="Arial"/>
      <w:kern w:val="0"/>
      <w:szCs w:val="20"/>
    </w:rPr>
  </w:style>
  <w:style w:type="paragraph" w:customStyle="1" w:styleId="730">
    <w:name w:val="正文文本2"/>
    <w:basedOn w:val="1"/>
    <w:autoRedefine/>
    <w:semiHidden/>
    <w:qFormat/>
    <w:uiPriority w:val="0"/>
    <w:pPr>
      <w:widowControl/>
      <w:shd w:val="clear" w:color="auto" w:fill="FFFFFF"/>
      <w:spacing w:before="60" w:after="60" w:line="0" w:lineRule="atLeast"/>
      <w:ind w:firstLine="200" w:firstLineChars="200"/>
      <w:jc w:val="distribute"/>
    </w:pPr>
    <w:rPr>
      <w:rFonts w:ascii="MingLiU" w:hAnsi="MingLiU" w:eastAsia="MingLiU" w:cs="MingLiU"/>
      <w:kern w:val="0"/>
      <w:sz w:val="16"/>
      <w:szCs w:val="16"/>
    </w:rPr>
  </w:style>
  <w:style w:type="paragraph" w:customStyle="1" w:styleId="731">
    <w:name w:val="表格内文字"/>
    <w:basedOn w:val="1"/>
    <w:autoRedefine/>
    <w:semiHidden/>
    <w:qFormat/>
    <w:uiPriority w:val="0"/>
    <w:pPr>
      <w:widowControl/>
      <w:spacing w:line="360" w:lineRule="exact"/>
      <w:ind w:firstLine="200" w:firstLineChars="200"/>
      <w:jc w:val="center"/>
    </w:pPr>
    <w:rPr>
      <w:rFonts w:ascii="宋体" w:hAnsi="Calibri" w:eastAsia="仿宋_GB2312" w:cs="Arial"/>
      <w:color w:val="FF0000"/>
      <w:sz w:val="18"/>
      <w:szCs w:val="18"/>
    </w:rPr>
  </w:style>
  <w:style w:type="paragraph" w:customStyle="1" w:styleId="732">
    <w:name w:val="样式 方正书宋简体 小四 行距: 1.5 倍行距"/>
    <w:basedOn w:val="1"/>
    <w:autoRedefine/>
    <w:semiHidden/>
    <w:qFormat/>
    <w:uiPriority w:val="0"/>
    <w:pPr>
      <w:widowControl/>
      <w:spacing w:line="360" w:lineRule="auto"/>
      <w:ind w:firstLine="200" w:firstLineChars="200"/>
      <w:jc w:val="left"/>
    </w:pPr>
    <w:rPr>
      <w:rFonts w:ascii="方正书宋简体" w:hAnsi="Calibri" w:eastAsia="方正书宋简体" w:cs="Arial"/>
      <w:spacing w:val="20"/>
      <w:sz w:val="24"/>
      <w:szCs w:val="20"/>
    </w:rPr>
  </w:style>
  <w:style w:type="paragraph" w:customStyle="1" w:styleId="733">
    <w:name w:val="样式 标题 3 + 段后: 0 磅 行距: 1.5 倍行距1"/>
    <w:basedOn w:val="1"/>
    <w:autoRedefine/>
    <w:qFormat/>
    <w:uiPriority w:val="0"/>
    <w:pPr>
      <w:tabs>
        <w:tab w:val="left" w:pos="709"/>
        <w:tab w:val="left" w:pos="1620"/>
      </w:tabs>
      <w:spacing w:line="360" w:lineRule="auto"/>
      <w:ind w:left="709" w:leftChars="600" w:hanging="709" w:hangingChars="200"/>
      <w:jc w:val="center"/>
    </w:pPr>
    <w:rPr>
      <w:rFonts w:ascii="Times New Roman" w:hAnsi="Times New Roman" w:eastAsia="仿宋_GB2312" w:cs="Times New Roman"/>
      <w:sz w:val="24"/>
      <w:szCs w:val="21"/>
    </w:rPr>
  </w:style>
  <w:style w:type="paragraph" w:customStyle="1" w:styleId="734">
    <w:name w:val="xl12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735">
    <w:name w:val="2"/>
    <w:basedOn w:val="1"/>
    <w:next w:val="84"/>
    <w:autoRedefine/>
    <w:semiHidden/>
    <w:qFormat/>
    <w:uiPriority w:val="0"/>
    <w:pPr>
      <w:snapToGrid w:val="0"/>
      <w:spacing w:line="300" w:lineRule="auto"/>
      <w:ind w:firstLine="480" w:firstLineChars="200"/>
      <w:jc w:val="center"/>
    </w:pPr>
    <w:rPr>
      <w:rFonts w:ascii="Times New Roman" w:hAnsi="Times New Roman" w:eastAsia="仿宋_GB2312" w:cs="宋体"/>
      <w:sz w:val="24"/>
      <w:szCs w:val="20"/>
    </w:rPr>
  </w:style>
  <w:style w:type="paragraph" w:customStyle="1" w:styleId="736">
    <w:name w:val="图、表名"/>
    <w:basedOn w:val="1"/>
    <w:autoRedefine/>
    <w:qFormat/>
    <w:uiPriority w:val="0"/>
    <w:pPr>
      <w:spacing w:line="360" w:lineRule="auto"/>
      <w:ind w:firstLine="200" w:firstLineChars="200"/>
      <w:jc w:val="center"/>
    </w:pPr>
    <w:rPr>
      <w:rFonts w:ascii="Arial" w:hAnsi="Arial" w:eastAsia="黑体" w:cs="Times New Roman"/>
      <w:szCs w:val="21"/>
    </w:rPr>
  </w:style>
  <w:style w:type="paragraph" w:customStyle="1" w:styleId="737">
    <w:name w:val="环小四1.1.1.1（四级）"/>
    <w:autoRedefine/>
    <w:qFormat/>
    <w:uiPriority w:val="0"/>
    <w:pPr>
      <w:widowControl w:val="0"/>
      <w:outlineLvl w:val="3"/>
    </w:pPr>
    <w:rPr>
      <w:rFonts w:ascii="宋体" w:hAnsi="宋体" w:eastAsia="宋体" w:cs="Times New Roman"/>
      <w:b/>
      <w:color w:val="000000"/>
      <w:kern w:val="2"/>
      <w:sz w:val="24"/>
      <w:szCs w:val="24"/>
      <w:lang w:val="en-US" w:eastAsia="zh-CN" w:bidi="ar-SA"/>
    </w:rPr>
  </w:style>
  <w:style w:type="paragraph" w:customStyle="1" w:styleId="738">
    <w:name w:val="xl62"/>
    <w:basedOn w:val="1"/>
    <w:autoRedefine/>
    <w:semiHidden/>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仿宋_GB2312" w:cs="Arial"/>
      <w:kern w:val="0"/>
      <w:sz w:val="22"/>
    </w:rPr>
  </w:style>
  <w:style w:type="paragraph" w:customStyle="1" w:styleId="739">
    <w:name w:val="xl9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eastAsia="仿宋_GB2312" w:cs="宋体"/>
      <w:color w:val="000000"/>
      <w:kern w:val="0"/>
      <w:sz w:val="18"/>
      <w:szCs w:val="18"/>
    </w:rPr>
  </w:style>
  <w:style w:type="paragraph" w:customStyle="1" w:styleId="740">
    <w:name w:val="0"/>
    <w:basedOn w:val="1"/>
    <w:autoRedefine/>
    <w:qFormat/>
    <w:uiPriority w:val="0"/>
    <w:pPr>
      <w:widowControl/>
      <w:snapToGrid w:val="0"/>
      <w:spacing w:line="360" w:lineRule="auto"/>
      <w:ind w:firstLine="480" w:firstLineChars="200"/>
      <w:jc w:val="center"/>
    </w:pPr>
    <w:rPr>
      <w:rFonts w:ascii="Times New Roman" w:hAnsi="Times New Roman" w:eastAsia="仿宋_GB2312" w:cs="Times New Roman"/>
      <w:kern w:val="0"/>
      <w:szCs w:val="21"/>
    </w:rPr>
  </w:style>
  <w:style w:type="paragraph" w:customStyle="1" w:styleId="741">
    <w:name w:val="xl11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42">
    <w:name w:val="标题4"/>
    <w:basedOn w:val="6"/>
    <w:autoRedefine/>
    <w:qFormat/>
    <w:uiPriority w:val="0"/>
    <w:pPr>
      <w:spacing w:line="377" w:lineRule="auto"/>
    </w:pPr>
    <w:rPr>
      <w:rFonts w:ascii="Times New Roman" w:hAnsi="Times New Roman" w:eastAsia="黑体"/>
      <w:b w:val="0"/>
      <w:bCs w:val="0"/>
    </w:rPr>
  </w:style>
  <w:style w:type="paragraph" w:customStyle="1" w:styleId="743">
    <w:name w:val="样式 样式 样式 样式 正文缩进 + 四号 首行缩进:  1.1 厘米 + 左侧:  1 字符 右侧:  1 字符 + 左侧: ..."/>
    <w:basedOn w:val="620"/>
    <w:autoRedefine/>
    <w:qFormat/>
    <w:uiPriority w:val="0"/>
  </w:style>
  <w:style w:type="paragraph" w:customStyle="1" w:styleId="744">
    <w:name w:val="xl50"/>
    <w:basedOn w:val="1"/>
    <w:autoRedefine/>
    <w:semiHidden/>
    <w:qFormat/>
    <w:uiPriority w:val="0"/>
    <w:pPr>
      <w:widowControl/>
      <w:pBdr>
        <w:top w:val="single" w:color="auto" w:sz="4" w:space="0"/>
        <w:right w:val="single" w:color="auto" w:sz="4" w:space="0"/>
      </w:pBdr>
      <w:spacing w:before="100" w:beforeAutospacing="1" w:after="100" w:afterAutospacing="1" w:line="360" w:lineRule="auto"/>
      <w:ind w:firstLine="200" w:firstLineChars="200"/>
      <w:jc w:val="center"/>
      <w:textAlignment w:val="center"/>
    </w:pPr>
    <w:rPr>
      <w:rFonts w:ascii="Calibri" w:hAnsi="Calibri" w:eastAsia="仿宋_GB2312" w:cs="Arial"/>
      <w:kern w:val="0"/>
      <w:sz w:val="20"/>
      <w:szCs w:val="20"/>
    </w:rPr>
  </w:style>
  <w:style w:type="paragraph" w:customStyle="1" w:styleId="745">
    <w:name w:val="样式 样式 样式 标题 2 + 左侧:  1 字符 右侧:  1 字符 + (西文) 黑体1 + 宋体 加粗"/>
    <w:basedOn w:val="506"/>
    <w:autoRedefine/>
    <w:qFormat/>
    <w:uiPriority w:val="0"/>
    <w:rPr>
      <w:bCs/>
    </w:rPr>
  </w:style>
  <w:style w:type="paragraph" w:customStyle="1" w:styleId="746">
    <w:name w:val="环小四1.1.1.123"/>
    <w:basedOn w:val="1"/>
    <w:autoRedefine/>
    <w:qFormat/>
    <w:uiPriority w:val="0"/>
    <w:pPr>
      <w:spacing w:line="360" w:lineRule="auto"/>
      <w:ind w:firstLine="200" w:firstLineChars="200"/>
      <w:outlineLvl w:val="3"/>
    </w:pPr>
    <w:rPr>
      <w:rFonts w:ascii="宋体" w:hAnsi="宋体" w:eastAsia="仿宋_GB2312" w:cs="Times New Roman"/>
      <w:b/>
      <w:color w:val="000000"/>
      <w:sz w:val="24"/>
      <w:szCs w:val="24"/>
    </w:rPr>
  </w:style>
  <w:style w:type="paragraph" w:customStyle="1" w:styleId="747">
    <w:name w:val="xl135"/>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48">
    <w:name w:val="样式 正文首行缩进 + 首行缩进:  1 字符"/>
    <w:basedOn w:val="86"/>
    <w:autoRedefine/>
    <w:qFormat/>
    <w:uiPriority w:val="0"/>
    <w:pPr>
      <w:adjustRightInd w:val="0"/>
      <w:snapToGrid w:val="0"/>
      <w:spacing w:after="0"/>
      <w:ind w:left="240" w:leftChars="100" w:right="240" w:rightChars="100" w:firstLine="480" w:firstLineChars="200"/>
      <w:jc w:val="center"/>
    </w:pPr>
    <w:rPr>
      <w:rFonts w:ascii="Arial" w:hAnsi="Arial" w:cs="宋体"/>
      <w:sz w:val="24"/>
      <w:szCs w:val="24"/>
    </w:rPr>
  </w:style>
  <w:style w:type="paragraph" w:customStyle="1" w:styleId="749">
    <w:name w:val="xl85"/>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宋体" w:hAnsi="宋体" w:eastAsia="仿宋_GB2312" w:cs="宋体"/>
      <w:kern w:val="0"/>
      <w:sz w:val="18"/>
      <w:szCs w:val="18"/>
    </w:rPr>
  </w:style>
  <w:style w:type="paragraph" w:customStyle="1" w:styleId="750">
    <w:name w:val="正文(a)"/>
    <w:basedOn w:val="34"/>
    <w:autoRedefine/>
    <w:semiHidden/>
    <w:qFormat/>
    <w:uiPriority w:val="0"/>
    <w:pPr>
      <w:tabs>
        <w:tab w:val="left" w:pos="680"/>
      </w:tabs>
      <w:adjustRightInd w:val="0"/>
      <w:spacing w:after="0" w:line="460" w:lineRule="exact"/>
      <w:ind w:firstLine="680"/>
    </w:pPr>
    <w:rPr>
      <w:spacing w:val="30"/>
      <w:kern w:val="24"/>
      <w:sz w:val="28"/>
      <w:szCs w:val="20"/>
    </w:rPr>
  </w:style>
  <w:style w:type="paragraph" w:customStyle="1" w:styleId="751">
    <w:name w:val="Char Char Char1 Char Char Char Char Char Char Char2"/>
    <w:basedOn w:val="1"/>
    <w:autoRedefine/>
    <w:qFormat/>
    <w:uiPriority w:val="0"/>
    <w:pPr>
      <w:adjustRightInd w:val="0"/>
      <w:snapToGrid w:val="0"/>
      <w:spacing w:line="360" w:lineRule="auto"/>
      <w:ind w:firstLine="200" w:firstLineChars="200"/>
      <w:textAlignment w:val="baseline"/>
    </w:pPr>
    <w:rPr>
      <w:rFonts w:ascii="Times New Roman" w:hAnsi="Times New Roman" w:eastAsia="仿宋_GB2312" w:cs="Times New Roman"/>
      <w:sz w:val="24"/>
      <w:szCs w:val="24"/>
    </w:rPr>
  </w:style>
  <w:style w:type="paragraph" w:customStyle="1" w:styleId="752">
    <w:name w:val="样式 样式 标题 1 + 左侧:  1 字符 右侧:  1 字符 + 宋体"/>
    <w:basedOn w:val="548"/>
    <w:autoRedefine/>
    <w:qFormat/>
    <w:uiPriority w:val="0"/>
  </w:style>
  <w:style w:type="paragraph" w:customStyle="1" w:styleId="753">
    <w:name w:val="Char Char Char Char Char Char2"/>
    <w:basedOn w:val="1"/>
    <w:autoRedefine/>
    <w:semiHidden/>
    <w:qFormat/>
    <w:locked/>
    <w:uiPriority w:val="0"/>
    <w:pPr>
      <w:spacing w:line="360" w:lineRule="auto"/>
      <w:ind w:firstLine="200" w:firstLineChars="200"/>
    </w:pPr>
    <w:rPr>
      <w:rFonts w:ascii="宋体" w:hAnsi="Times New Roman" w:eastAsia="方正仿宋简体" w:cs="Times New Roman"/>
      <w:color w:val="000000"/>
      <w:sz w:val="24"/>
      <w:szCs w:val="32"/>
    </w:rPr>
  </w:style>
  <w:style w:type="paragraph" w:customStyle="1" w:styleId="754">
    <w:name w:val="样式 标题 2 + 首行缩进:  2 字符 段前: 1 行 段后: 1 行"/>
    <w:basedOn w:val="4"/>
    <w:autoRedefine/>
    <w:qFormat/>
    <w:uiPriority w:val="0"/>
    <w:pPr>
      <w:tabs>
        <w:tab w:val="left" w:pos="5940"/>
      </w:tabs>
      <w:spacing w:before="0" w:beforeLines="100" w:after="0" w:afterLines="100"/>
      <w:jc w:val="center"/>
    </w:pPr>
    <w:rPr>
      <w:rFonts w:ascii="黑体" w:cs="宋体"/>
      <w:b/>
      <w:bCs w:val="0"/>
      <w:kern w:val="2"/>
      <w:szCs w:val="20"/>
    </w:rPr>
  </w:style>
  <w:style w:type="paragraph" w:customStyle="1" w:styleId="75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756">
    <w:name w:val="xl137"/>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57">
    <w:name w:val="bodytextfirstindent2"/>
    <w:basedOn w:val="1"/>
    <w:autoRedefine/>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cs="Times New Roman"/>
      <w:kern w:val="0"/>
      <w:sz w:val="24"/>
      <w:szCs w:val="24"/>
    </w:rPr>
  </w:style>
  <w:style w:type="paragraph" w:customStyle="1" w:styleId="758">
    <w:name w:val="xl140"/>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59">
    <w:name w:val="Char"/>
    <w:basedOn w:val="1"/>
    <w:autoRedefine/>
    <w:qFormat/>
    <w:uiPriority w:val="0"/>
    <w:pPr>
      <w:spacing w:line="360" w:lineRule="auto"/>
      <w:ind w:left="-48" w:firstLine="200" w:firstLineChars="200"/>
    </w:pPr>
    <w:rPr>
      <w:rFonts w:ascii="Times New Roman" w:hAnsi="Times New Roman" w:eastAsia="仿宋_GB2312" w:cs="Times New Roman"/>
      <w:sz w:val="24"/>
      <w:szCs w:val="24"/>
    </w:rPr>
  </w:style>
  <w:style w:type="paragraph" w:customStyle="1" w:styleId="760">
    <w:name w:val="样式5"/>
    <w:basedOn w:val="1"/>
    <w:autoRedefine/>
    <w:qFormat/>
    <w:uiPriority w:val="0"/>
    <w:pPr>
      <w:snapToGrid w:val="0"/>
      <w:spacing w:line="360" w:lineRule="auto"/>
      <w:ind w:right="-10" w:rightChars="-5" w:firstLine="560" w:firstLineChars="200"/>
      <w:jc w:val="center"/>
      <w:textAlignment w:val="center"/>
    </w:pPr>
    <w:rPr>
      <w:rFonts w:ascii="Times New Roman" w:hAnsi="Times New Roman" w:eastAsia="仿宋_GB2312" w:cs="Times New Roman"/>
      <w:sz w:val="28"/>
      <w:szCs w:val="24"/>
    </w:rPr>
  </w:style>
  <w:style w:type="paragraph" w:customStyle="1" w:styleId="761">
    <w:name w:val="xl131"/>
    <w:basedOn w:val="1"/>
    <w:autoRedefine/>
    <w:qFormat/>
    <w:uiPriority w:val="0"/>
    <w:pPr>
      <w:widowControl/>
      <w:pBdr>
        <w:top w:val="single" w:color="auto" w:sz="4" w:space="0"/>
        <w:lef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color w:val="000000"/>
      <w:kern w:val="0"/>
      <w:sz w:val="20"/>
      <w:szCs w:val="20"/>
    </w:rPr>
  </w:style>
  <w:style w:type="paragraph" w:customStyle="1" w:styleId="762">
    <w:name w:val="表格，五宋"/>
    <w:autoRedefine/>
    <w:qFormat/>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763">
    <w:name w:val="A标题4"/>
    <w:basedOn w:val="1"/>
    <w:autoRedefine/>
    <w:qFormat/>
    <w:uiPriority w:val="0"/>
    <w:pPr>
      <w:adjustRightInd w:val="0"/>
      <w:snapToGrid w:val="0"/>
      <w:spacing w:line="480" w:lineRule="exact"/>
      <w:ind w:firstLine="200" w:firstLineChars="200"/>
    </w:pPr>
    <w:rPr>
      <w:rFonts w:ascii="Times New Roman" w:hAnsi="Times New Roman" w:eastAsia="方正书宋简体" w:cs="Times New Roman"/>
      <w:b/>
      <w:sz w:val="24"/>
      <w:szCs w:val="24"/>
    </w:rPr>
  </w:style>
  <w:style w:type="paragraph" w:customStyle="1" w:styleId="764">
    <w:name w:val="0标题"/>
    <w:basedOn w:val="84"/>
    <w:autoRedefine/>
    <w:qFormat/>
    <w:uiPriority w:val="0"/>
    <w:pPr>
      <w:widowControl/>
      <w:snapToGrid w:val="0"/>
      <w:spacing w:before="480" w:after="480"/>
      <w:ind w:firstLine="480"/>
    </w:pPr>
    <w:rPr>
      <w:rFonts w:hAnsi="宋体" w:eastAsia="楷体_GB2312" w:cs="Arial"/>
      <w:b w:val="0"/>
      <w:w w:val="90"/>
      <w:sz w:val="36"/>
      <w:szCs w:val="21"/>
    </w:rPr>
  </w:style>
  <w:style w:type="paragraph" w:customStyle="1" w:styleId="765">
    <w:name w:val="表1"/>
    <w:basedOn w:val="1"/>
    <w:autoRedefine/>
    <w:semiHidden/>
    <w:qFormat/>
    <w:uiPriority w:val="0"/>
    <w:pPr>
      <w:spacing w:line="240" w:lineRule="exact"/>
      <w:ind w:firstLine="200" w:firstLineChars="200"/>
      <w:jc w:val="center"/>
    </w:pPr>
    <w:rPr>
      <w:rFonts w:ascii="宋体" w:hAnsi="Times New Roman" w:eastAsia="仿宋_GB2312" w:cs="宋体"/>
      <w:kern w:val="28"/>
      <w:sz w:val="18"/>
      <w:szCs w:val="18"/>
    </w:rPr>
  </w:style>
  <w:style w:type="paragraph" w:customStyle="1" w:styleId="766">
    <w:name w:val="xl106"/>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76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4"/>
    </w:rPr>
  </w:style>
  <w:style w:type="paragraph" w:customStyle="1" w:styleId="768">
    <w:name w:val="xl13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textAlignment w:val="center"/>
    </w:pPr>
    <w:rPr>
      <w:rFonts w:ascii="Times New Roman" w:hAnsi="Times New Roman" w:eastAsia="仿宋_GB2312" w:cs="Times New Roman"/>
      <w:color w:val="000000"/>
      <w:kern w:val="0"/>
      <w:sz w:val="20"/>
      <w:szCs w:val="20"/>
    </w:rPr>
  </w:style>
  <w:style w:type="paragraph" w:customStyle="1" w:styleId="769">
    <w:name w:val="font8"/>
    <w:basedOn w:val="1"/>
    <w:autoRedefine/>
    <w:qFormat/>
    <w:uiPriority w:val="0"/>
    <w:pPr>
      <w:widowControl/>
      <w:spacing w:before="100" w:beforeAutospacing="1" w:after="100" w:afterAutospacing="1" w:line="360" w:lineRule="auto"/>
      <w:ind w:firstLine="200" w:firstLineChars="200"/>
      <w:jc w:val="left"/>
    </w:pPr>
    <w:rPr>
      <w:rFonts w:hint="eastAsia" w:ascii="宋体" w:hAnsi="宋体" w:eastAsia="仿宋_GB2312" w:cs="Arial Unicode MS"/>
      <w:b/>
      <w:bCs/>
      <w:kern w:val="0"/>
      <w:sz w:val="24"/>
      <w:szCs w:val="24"/>
    </w:rPr>
  </w:style>
  <w:style w:type="paragraph" w:customStyle="1" w:styleId="770">
    <w:name w:val="Char Char Char Char Char Char Char Char Char"/>
    <w:basedOn w:val="1"/>
    <w:autoRedefine/>
    <w:qFormat/>
    <w:uiPriority w:val="0"/>
    <w:pPr>
      <w:widowControl/>
      <w:spacing w:after="160" w:line="240" w:lineRule="exact"/>
      <w:ind w:firstLine="200" w:firstLineChars="200"/>
      <w:jc w:val="left"/>
    </w:pPr>
    <w:rPr>
      <w:rFonts w:ascii="Verdana" w:hAnsi="Verdana" w:eastAsia="仿宋_GB2312" w:cs="Verdana"/>
      <w:kern w:val="0"/>
      <w:sz w:val="24"/>
      <w:szCs w:val="32"/>
      <w:lang w:eastAsia="en-US"/>
    </w:rPr>
  </w:style>
  <w:style w:type="paragraph" w:customStyle="1" w:styleId="771">
    <w:name w:val="xl42"/>
    <w:basedOn w:val="1"/>
    <w:autoRedefine/>
    <w:semiHidden/>
    <w:qFormat/>
    <w:uiPriority w:val="0"/>
    <w:pPr>
      <w:widowControl/>
      <w:pBdr>
        <w:left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仿宋_GB2312" w:cs="Arial"/>
      <w:kern w:val="0"/>
      <w:sz w:val="20"/>
      <w:szCs w:val="20"/>
    </w:rPr>
  </w:style>
  <w:style w:type="paragraph" w:customStyle="1" w:styleId="772">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773">
    <w:name w:val="表名"/>
    <w:basedOn w:val="1"/>
    <w:autoRedefine/>
    <w:qFormat/>
    <w:uiPriority w:val="0"/>
    <w:pPr>
      <w:adjustRightInd w:val="0"/>
      <w:snapToGrid w:val="0"/>
      <w:spacing w:line="480" w:lineRule="exact"/>
      <w:ind w:firstLine="200" w:firstLineChars="200"/>
      <w:jc w:val="center"/>
    </w:pPr>
    <w:rPr>
      <w:rFonts w:ascii="Times New Roman" w:hAnsi="Times New Roman" w:eastAsia="黑体" w:cs="Times New Roman"/>
      <w:sz w:val="24"/>
      <w:szCs w:val="24"/>
    </w:rPr>
  </w:style>
  <w:style w:type="paragraph" w:customStyle="1" w:styleId="774">
    <w:name w:val="正文 + 宋体"/>
    <w:basedOn w:val="1"/>
    <w:autoRedefine/>
    <w:semiHidden/>
    <w:qFormat/>
    <w:uiPriority w:val="0"/>
    <w:pPr>
      <w:widowControl/>
      <w:spacing w:line="360" w:lineRule="auto"/>
      <w:ind w:firstLine="560" w:firstLineChars="200"/>
      <w:jc w:val="left"/>
    </w:pPr>
    <w:rPr>
      <w:rFonts w:ascii="宋体" w:hAnsi="宋体" w:eastAsia="仿宋_GB2312" w:cs="Arial"/>
      <w:bCs/>
      <w:szCs w:val="28"/>
    </w:rPr>
  </w:style>
  <w:style w:type="paragraph" w:customStyle="1" w:styleId="775">
    <w:name w:val="样式 样式 样式 样式 正文编号（1） +1 Char Char Char Char Char + 行距: 固定值 22 磅 +..."/>
    <w:basedOn w:val="1"/>
    <w:autoRedefine/>
    <w:semiHidden/>
    <w:qFormat/>
    <w:uiPriority w:val="0"/>
    <w:pPr>
      <w:widowControl/>
      <w:tabs>
        <w:tab w:val="left" w:pos="1741"/>
      </w:tabs>
      <w:adjustRightInd w:val="0"/>
      <w:spacing w:line="800" w:lineRule="exact"/>
      <w:ind w:left="567" w:firstLine="454" w:firstLineChars="200"/>
      <w:jc w:val="left"/>
    </w:pPr>
    <w:rPr>
      <w:rFonts w:ascii="Calibri" w:hAnsi="Calibri" w:eastAsia="黑体" w:cs="Arial"/>
      <w:b/>
      <w:bCs/>
      <w:color w:val="FF0000"/>
      <w:kern w:val="0"/>
      <w:sz w:val="48"/>
      <w:szCs w:val="48"/>
    </w:rPr>
  </w:style>
  <w:style w:type="paragraph" w:customStyle="1" w:styleId="776">
    <w:name w:val="正文模板"/>
    <w:basedOn w:val="1"/>
    <w:autoRedefine/>
    <w:qFormat/>
    <w:uiPriority w:val="0"/>
    <w:pPr>
      <w:widowControl/>
      <w:spacing w:line="520" w:lineRule="exact"/>
      <w:ind w:firstLine="200" w:firstLineChars="200"/>
      <w:jc w:val="left"/>
    </w:pPr>
    <w:rPr>
      <w:rFonts w:ascii="Times New Roman" w:hAnsi="Times New Roman" w:eastAsia="仿宋_GB2312" w:cs="宋体"/>
      <w:sz w:val="24"/>
      <w:szCs w:val="28"/>
    </w:rPr>
  </w:style>
  <w:style w:type="paragraph" w:customStyle="1" w:styleId="777">
    <w:name w:val="font13"/>
    <w:basedOn w:val="1"/>
    <w:autoRedefine/>
    <w:qFormat/>
    <w:uiPriority w:val="0"/>
    <w:pPr>
      <w:widowControl/>
      <w:spacing w:before="100" w:beforeAutospacing="1" w:after="100" w:afterAutospacing="1" w:line="360" w:lineRule="auto"/>
      <w:ind w:firstLine="200" w:firstLineChars="200"/>
      <w:jc w:val="left"/>
    </w:pPr>
    <w:rPr>
      <w:rFonts w:ascii="Times New Roman" w:hAnsi="Times New Roman" w:eastAsia="仿宋_GB2312" w:cs="Times New Roman"/>
      <w:color w:val="FF0000"/>
      <w:kern w:val="0"/>
      <w:sz w:val="20"/>
      <w:szCs w:val="20"/>
    </w:rPr>
  </w:style>
  <w:style w:type="paragraph" w:customStyle="1" w:styleId="778">
    <w:name w:val="xl11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Times New Roman" w:hAnsi="Times New Roman" w:eastAsia="仿宋_GB2312" w:cs="Times New Roman"/>
      <w:kern w:val="0"/>
      <w:sz w:val="20"/>
      <w:szCs w:val="20"/>
    </w:rPr>
  </w:style>
  <w:style w:type="paragraph" w:customStyle="1" w:styleId="779">
    <w:name w:val="样式 样式 标题 2 + 左侧:  1 字符 右侧:  1 字符 + (西文) 黑体"/>
    <w:basedOn w:val="1"/>
    <w:autoRedefine/>
    <w:qFormat/>
    <w:uiPriority w:val="0"/>
    <w:pPr>
      <w:keepNext/>
      <w:keepLines/>
      <w:snapToGrid w:val="0"/>
      <w:spacing w:line="360" w:lineRule="auto"/>
      <w:ind w:left="240" w:leftChars="100" w:right="240" w:rightChars="100" w:firstLine="480" w:firstLineChars="200"/>
      <w:jc w:val="center"/>
      <w:outlineLvl w:val="1"/>
    </w:pPr>
    <w:rPr>
      <w:rFonts w:ascii="Arial" w:hAnsi="Arial" w:eastAsia="仿宋_GB2312" w:cs="宋体"/>
      <w:sz w:val="28"/>
      <w:szCs w:val="28"/>
    </w:rPr>
  </w:style>
  <w:style w:type="paragraph" w:customStyle="1" w:styleId="78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仿宋_GB2312" w:cs="宋体"/>
      <w:kern w:val="0"/>
      <w:sz w:val="18"/>
      <w:szCs w:val="18"/>
    </w:rPr>
  </w:style>
  <w:style w:type="paragraph" w:customStyle="1" w:styleId="781">
    <w:name w:val="样式"/>
    <w:autoRedefine/>
    <w:qFormat/>
    <w:uiPriority w:val="0"/>
    <w:pPr>
      <w:widowControl w:val="0"/>
      <w:autoSpaceDE w:val="0"/>
      <w:autoSpaceDN w:val="0"/>
      <w:adjustRightInd w:val="0"/>
    </w:pPr>
    <w:rPr>
      <w:rFonts w:ascii="Times New Roman" w:hAnsi="Times New Roman" w:eastAsia="宋体" w:cs="Times New Roman"/>
      <w:kern w:val="0"/>
      <w:sz w:val="24"/>
      <w:szCs w:val="24"/>
      <w:lang w:val="en-US" w:eastAsia="zh-CN" w:bidi="ar-SA"/>
    </w:rPr>
  </w:style>
  <w:style w:type="paragraph" w:customStyle="1" w:styleId="782">
    <w:name w:val="样式 目录 1 + 段前: 0 磅 段后: 0 磅"/>
    <w:basedOn w:val="59"/>
    <w:autoRedefine/>
    <w:qFormat/>
    <w:uiPriority w:val="0"/>
    <w:pPr>
      <w:tabs>
        <w:tab w:val="right" w:leader="dot" w:pos="7260"/>
      </w:tabs>
    </w:pPr>
    <w:rPr>
      <w:rFonts w:cs="宋体"/>
      <w:bCs w:val="0"/>
      <w:caps w:val="0"/>
    </w:rPr>
  </w:style>
  <w:style w:type="paragraph" w:customStyle="1" w:styleId="783">
    <w:name w:val="样式 正文 1 + 首行缩进:  2 字符"/>
    <w:basedOn w:val="1"/>
    <w:autoRedefine/>
    <w:semiHidden/>
    <w:qFormat/>
    <w:uiPriority w:val="0"/>
    <w:pPr>
      <w:keepNext/>
      <w:widowControl/>
      <w:spacing w:line="360" w:lineRule="auto"/>
      <w:ind w:firstLine="700" w:firstLineChars="200"/>
      <w:jc w:val="left"/>
      <w:textAlignment w:val="center"/>
    </w:pPr>
    <w:rPr>
      <w:rFonts w:ascii="Calibri" w:hAnsi="Calibri" w:eastAsia="仿宋_GB2312" w:cs="宋体"/>
      <w:kern w:val="0"/>
      <w:szCs w:val="20"/>
    </w:rPr>
  </w:style>
  <w:style w:type="table" w:customStyle="1" w:styleId="784">
    <w:name w:val="预可表格"/>
    <w:basedOn w:val="88"/>
    <w:autoRedefine/>
    <w:semiHidden/>
    <w:qFormat/>
    <w:uiPriority w:val="99"/>
    <w:pPr>
      <w:keepNext/>
      <w:adjustRightInd w:val="0"/>
      <w:snapToGrid w:val="0"/>
      <w:jc w:val="center"/>
    </w:pPr>
    <w:rPr>
      <w:rFonts w:ascii="Times New Roman" w:hAnsi="Times New Roman" w:eastAsia="宋体" w:cs="Times New Roman"/>
      <w:snapToGrid w:val="0"/>
      <w:kern w:val="0"/>
      <w:sz w:val="18"/>
      <w:szCs w:val="20"/>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rPr>
      <w:jc w:val="center"/>
    </w:trPr>
    <w:tcPr>
      <w:tcMar>
        <w:left w:w="28" w:type="dxa"/>
        <w:right w:w="28" w:type="dxa"/>
      </w:tcMar>
      <w:vAlign w:val="center"/>
    </w:tcPr>
  </w:style>
  <w:style w:type="character" w:customStyle="1" w:styleId="785">
    <w:name w:val="font131"/>
    <w:basedOn w:val="92"/>
    <w:autoRedefine/>
    <w:qFormat/>
    <w:uiPriority w:val="0"/>
    <w:rPr>
      <w:rFonts w:hint="default" w:ascii="Times New Roman" w:hAnsi="Times New Roman" w:cs="Times New Roman"/>
      <w:color w:val="000000"/>
      <w:sz w:val="21"/>
      <w:szCs w:val="21"/>
      <w:u w:val="none"/>
      <w:vertAlign w:val="superscript"/>
    </w:rPr>
  </w:style>
  <w:style w:type="character" w:customStyle="1" w:styleId="786">
    <w:name w:val="font122"/>
    <w:basedOn w:val="92"/>
    <w:autoRedefine/>
    <w:qFormat/>
    <w:uiPriority w:val="0"/>
    <w:rPr>
      <w:rFonts w:hint="default" w:ascii="Times New Roman" w:hAnsi="Times New Roman" w:cs="Times New Roman"/>
      <w:color w:val="000000"/>
      <w:sz w:val="21"/>
      <w:szCs w:val="21"/>
      <w:u w:val="none"/>
      <w:vertAlign w:val="superscript"/>
    </w:rPr>
  </w:style>
  <w:style w:type="paragraph" w:customStyle="1" w:styleId="787">
    <w:name w:val="图表标题"/>
    <w:autoRedefine/>
    <w:qFormat/>
    <w:uiPriority w:val="0"/>
    <w:pPr>
      <w:widowControl w:val="0"/>
      <w:tabs>
        <w:tab w:val="left" w:pos="7560"/>
      </w:tabs>
      <w:adjustRightInd w:val="0"/>
      <w:snapToGrid w:val="0"/>
      <w:spacing w:line="240" w:lineRule="auto"/>
      <w:ind w:firstLine="400" w:firstLineChars="200"/>
      <w:jc w:val="center"/>
    </w:pPr>
    <w:rPr>
      <w:rFonts w:ascii="黑体" w:hAnsi="黑体" w:eastAsia="黑体" w:cs="黑体"/>
      <w:color w:val="000000"/>
      <w:sz w:val="21"/>
      <w:szCs w:val="24"/>
      <w:lang w:val="en-US" w:eastAsia="zh-CN" w:bidi="ar-SA"/>
    </w:rPr>
  </w:style>
  <w:style w:type="character" w:customStyle="1" w:styleId="788">
    <w:name w:val="题注 Char"/>
    <w:link w:val="22"/>
    <w:qFormat/>
    <w:uiPriority w:val="0"/>
    <w:rPr>
      <w:rFonts w:ascii="Times New Roman" w:hAnsi="Times New Roman" w:eastAsia="黑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73</Pages>
  <Words>3371</Words>
  <Characters>3846</Characters>
  <Lines>325</Lines>
  <Paragraphs>91</Paragraphs>
  <TotalTime>7</TotalTime>
  <ScaleCrop>false</ScaleCrop>
  <LinksUpToDate>false</LinksUpToDate>
  <CharactersWithSpaces>4161</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2022-11-24T04:40:00Z</dcterms:created>
  <dc:creator>Administrator</dc:creator>
  <cp:lastModifiedBy>Z</cp:lastModifiedBy>
  <cp:lastPrinted>2023-01-06T04:28:00Z</cp:lastPrinted>
  <dcterms:modified xsi:type="dcterms:W3CDTF">2025-02-10T04:05:22Z</dcterms:modified>
  <cp:revision>572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001F762DBAEF481D9EABD25F3E5640FA_13</vt:lpwstr>
  </property>
  <property fmtid="{D5CDD505-2E9C-101B-9397-08002B2CF9AE}" pid="4" name="KSOTemplateDocerSaveRecord">
    <vt:lpwstr>eyJoZGlkIjoiZDljYjIwNDA5YmJkMzg0ZTEwNzEzN2JjYWYxNTU2MjUiLCJ1c2VySWQiOiIyNDE2OTQ1NTEifQ==</vt:lpwstr>
  </property>
</Properties>
</file>