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ED4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320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Toc24778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附件1：</w:t>
      </w:r>
    </w:p>
    <w:p w14:paraId="7344C373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2025年巴里坤县煤矿重大安全风险清单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131"/>
        <w:gridCol w:w="986"/>
        <w:gridCol w:w="5958"/>
      </w:tblGrid>
      <w:tr w14:paraId="042D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02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9A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主要风险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E8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主要灾害灾害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52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管控措施</w:t>
            </w:r>
          </w:p>
        </w:tc>
      </w:tr>
      <w:tr w14:paraId="5BBB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5DB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C7C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冬季地面火灾风险。冬季气温下降，煤矿用火用电用气增多，地面违规使用取暖电气设备、明火取暖情况增多，引发火灾及次生事故风险增大。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583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火灾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F33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1.进一步提高政治站位，牢固树立安全发展理念，强化底线思维，压实各方责任，深刻吸取“11·16”山西吕梁永聚煤矿办公楼重大火灾事故教训。</w:t>
            </w:r>
          </w:p>
          <w:p w14:paraId="4CE7A4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2.加强宣传教育，提高员工防火意识，掌握逃生通道和自救互救技能。</w:t>
            </w:r>
          </w:p>
          <w:p w14:paraId="26B786B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3.加大“三堂一舍”、地面机房硐室、逃生通道、消防设施风险隐患排查整改力度，坚决防范各类事故发生。</w:t>
            </w:r>
          </w:p>
        </w:tc>
      </w:tr>
      <w:tr w14:paraId="0DE8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AFA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B0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露天煤矿运输安全风险。冬季大风、雨雪、冰冻等极端天气逐渐增多，同时大风、沙尘等极端天气影响导致道路扬尘，能见度低，对露天煤矿采、剥、运等环节带来风险挑战，运输事故的安全风险增高；石头梅露天煤矿随着产能大幅核增，开采量及剥离量迅速增加，车辆密度增加，车辆伤人风险增大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B0D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运输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8A4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1.与气象部门建立常态化联系机制，加强冬季雨雪、大风、沙尘等极端天气的预警，制定完善大风天气车辆出行措施，凡因极端恶劣天气影响安全生产的,要坚决实行停工停产，撤离人员，杜绝冒险作业。</w:t>
            </w:r>
          </w:p>
          <w:p w14:paraId="1FB1C22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2.严格执行矿领导到岗带班和关键岗位24小时值班制度，加大对矿区重要部位巡查，发现可能导致重大险情的，要立即停产撤人。</w:t>
            </w:r>
          </w:p>
          <w:p w14:paraId="51C6CA1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3.矿山安全监管部门加大执法检查力度，督促矿山完善直达主要负责人“呼应”机制，切实做好冬季雨雪、大风、沙尘天气等极端天气应对工作，严防事故发生。</w:t>
            </w:r>
          </w:p>
          <w:p w14:paraId="62BBACF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4.加强对下属部门及分包单位的安全生产、技术管理考核检查，督促承包单位依法依规组织生产，紧盯外委单位员工高强度作业问题。</w:t>
            </w:r>
          </w:p>
        </w:tc>
      </w:tr>
      <w:tr w14:paraId="604F9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785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E16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顶板冒落、片帮风险。银鑫矿业为“三软”煤层，在“三软”煤层开采过程中，若对顶板的管控措施不到位、针对性不强，可能存在顶板冒落、片帮的风险。如银鑫矿业SA1201皮带顺槽开切眼及SA1201轨道顺槽综掘进工作面，掘进过程中遇顶板松软，地质构造带时，顶板较为破碎，有压垮、巷道冒落伤人风险，导致顶帮事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349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顶板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EBC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1.根据地质条件变化，及时优化支护设计，合理确定支护方式和支护参数，锚索锚固长度必须进入煤层顶部稳定岩层中。</w:t>
            </w:r>
          </w:p>
          <w:p w14:paraId="1B9A665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强化特殊地段支护，遇顶板破碎、淋水区、过断层、老空区、高应力区等特殊地段，应当编制专门的支护设计与技术措施；加强井下工作面及端头顶板管理，顶板破碎时要加强支护；工作面两巷超前支护距离严格执行作业规程规定，超前支架达到初撑力要求。</w:t>
            </w:r>
          </w:p>
          <w:p w14:paraId="2459403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3.加强日常顶板围岩变化观测，发现问题及时分析处理。</w:t>
            </w:r>
          </w:p>
        </w:tc>
      </w:tr>
      <w:tr w14:paraId="010C9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782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9A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火灾事故风险。辖区煤矿开采煤层均为容易自燃煤层或者自燃煤层，井工煤矿采煤工作面回采期间，如果采空区防灭火措施不到位，可能存在引起自然发火的风险。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235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火灾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919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1.编制火灾事故综合应急预案、专项应急预案和现场应急处置方案。</w:t>
            </w:r>
          </w:p>
          <w:p w14:paraId="65CE482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2.加快工作面推进速度，提高工作面回采率，减少煤炭丢失，杜绝采空区浮煤堆积。</w:t>
            </w:r>
          </w:p>
          <w:p w14:paraId="7965B15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3.加强通风设施及采面上下隅角顶板管理，在必要的情况下拆除上下隅角顶板锚杆和锚索托板，确保采空区顶板及时垮落，减少采空区漏风。</w:t>
            </w:r>
          </w:p>
          <w:p w14:paraId="25ADFD3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4.在采煤工作面两道出口以及距工作面10-20m范围内分别设置自燃发火观测点，加强观测。</w:t>
            </w:r>
          </w:p>
        </w:tc>
      </w:tr>
      <w:tr w14:paraId="55821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BBF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15E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露天煤矿爆破作业造成人员伤亡和设备损坏的风险。辖区露天矿剥离强度不均一，大部分为硬岩类，需爆破作业，爆破作业人员在处理拒爆环节时，若没有按照正确的方法处理拒爆，炸药产生的震动、冲击波和飞石，存在人员伤亡和设备损坏的风险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081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爆破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5C2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1.爆破作业严格执行管理制度，作业时实施全坑警戒。</w:t>
            </w:r>
          </w:p>
          <w:p w14:paraId="715515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2.起爆前检查连线是否完好正确，如发现存在问题，应排查处理完毕后再次检查，避免出现拒爆情况。</w:t>
            </w:r>
          </w:p>
          <w:p w14:paraId="2C06CBA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3.爆破后在规定时限内完成爆破区检查，若出现拒爆应立即按规定上报，保持全坑警戒状态。</w:t>
            </w:r>
          </w:p>
          <w:p w14:paraId="7E732C6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4.由爆破总指挥组织技术人员分析拒爆原因，采用辅助炮眼法或注水法处理拒爆，直至消除拒爆风险。</w:t>
            </w:r>
          </w:p>
          <w:p w14:paraId="4842B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5.处理拒爆的人员由爆破队长和具有丰富现场经验的技术人员组成，严格控制进入警戒范围人员。</w:t>
            </w:r>
          </w:p>
          <w:p w14:paraId="15D4DBD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6.拒爆未处理完毕前，保持全坑警戒状态，禁止人员入</w:t>
            </w:r>
          </w:p>
        </w:tc>
      </w:tr>
      <w:tr w14:paraId="64A59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99F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541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边坡坍塌风险。露天煤矿随着开采深度的增加，一旦出现不按设计进行边坡施工管理，边坡角度超出设计要求，极易导致边坡滑落失稳，发生坍塌事故；石头梅露天煤矿剥离量大，采煤过程中剥离滞后形成超高台阶，存在发生边坡事故的风险；随着采深增加，如石头梅露天煤矿采剥比较大，存在采剥失调引发事故的风险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270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边坡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79C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1.加强边坡管理，避免剥离剧增后管理不到位引发的边坡问题。</w:t>
            </w:r>
          </w:p>
          <w:p w14:paraId="7D9E550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2.加快智能化建设，引进新设备新工艺，完善风险预控措施及安全技术措施，一旦监测数据异常，立即启动紧急撤离程序。</w:t>
            </w:r>
          </w:p>
          <w:p w14:paraId="6FAC4CD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3.加强监测设备维护，保证设备运行正常。</w:t>
            </w:r>
          </w:p>
          <w:p w14:paraId="7DD07DE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4.增强排水设施效能，防止积水诱发坍塌事件。</w:t>
            </w:r>
          </w:p>
          <w:p w14:paraId="2857A17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5.定期开展边坡稳定验算及分析评价工作。</w:t>
            </w:r>
          </w:p>
        </w:tc>
      </w:tr>
      <w:tr w14:paraId="472C9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2B1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1DC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搬家倒面工作带来的安全风险。煤矿在装、卸车和运输支架、采煤机等大型设备期间，如果拆装队伍不专业，或不使用先进专业化拆除安装设备，加之在“起拉吊运”过程中安全管控不到位，人员站位不规范，易出现支架歪倒、钢丝绳弹绳等伤人事故。安装回撤期间如果顶板不按要求支护，尤其是顶板、底板岩性相对较软，胶结性差，存在顶板垮冒伤人的风险，同时如果搬家倒面时间过长，还存在采空区遗煤氧化自燃发火风险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6F9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顶板、运输、机械伤害、火灾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286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1.对两巷端头三角区域补强支护，杜绝冒顶、片帮发生，绞车提升等各类操作由专人负责现场指挥、规范操作，杜绝“三违”现象。</w:t>
            </w:r>
          </w:p>
          <w:p w14:paraId="5BB0154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2.加强回撤、安装工作的管控，落实领导跟班制度和重点工程盯班值守，强化现场管理，作业区域必须设置警戒，防止无关人员误入造成伤害。</w:t>
            </w:r>
          </w:p>
          <w:p w14:paraId="3929AFF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3.严格落实提升运输设备管理制度，定期对提升运输设备及连接装置进行维护保养和检测检验，确保各项安全保护装置齐全可靠。</w:t>
            </w:r>
          </w:p>
        </w:tc>
      </w:tr>
    </w:tbl>
    <w:p w14:paraId="6D2DBDE1"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1C17C33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3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C4F06B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3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 w14:paraId="6B96A98F"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巴里坤县主体责任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煤矿分类情况表</w:t>
      </w:r>
    </w:p>
    <w:tbl>
      <w:tblPr>
        <w:tblStyle w:val="11"/>
        <w:tblW w:w="14917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7"/>
        <w:gridCol w:w="1736"/>
        <w:gridCol w:w="2009"/>
        <w:gridCol w:w="6890"/>
        <w:gridCol w:w="2479"/>
      </w:tblGrid>
      <w:tr w14:paraId="44A98A9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42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8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煤矿</w:t>
            </w:r>
          </w:p>
          <w:p w14:paraId="4C569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分类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D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煤矿数量（处）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1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煤矿生产能力（万t/a）</w:t>
            </w:r>
          </w:p>
        </w:tc>
        <w:tc>
          <w:tcPr>
            <w:tcW w:w="6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7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监管重点内容</w:t>
            </w:r>
          </w:p>
        </w:tc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1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监管执法周期</w:t>
            </w:r>
          </w:p>
        </w:tc>
      </w:tr>
      <w:tr w14:paraId="16EB6E1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8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——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8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C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3620</w:t>
            </w:r>
          </w:p>
        </w:tc>
        <w:tc>
          <w:tcPr>
            <w:tcW w:w="6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8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——</w:t>
            </w:r>
          </w:p>
        </w:tc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3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——</w:t>
            </w:r>
          </w:p>
        </w:tc>
      </w:tr>
      <w:tr w14:paraId="188A0E5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1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B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A类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1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D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建设矿井</w:t>
            </w:r>
          </w:p>
        </w:tc>
        <w:tc>
          <w:tcPr>
            <w:tcW w:w="6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1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" w:leftChars="0" w:right="0" w:rightChars="0" w:hanging="11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安全投入是否到位；安全管理机构和人员是否配备齐全；安全生产责任制和安全管理制度是否落实；现场安全管理是否到位；各项措施是否认真制定并严格落实。</w:t>
            </w:r>
          </w:p>
        </w:tc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B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1" w:leftChars="0" w:right="125" w:rightChars="0" w:hanging="1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6个月</w:t>
            </w:r>
          </w:p>
        </w:tc>
      </w:tr>
      <w:tr w14:paraId="752D5A9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82A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C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B类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F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E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6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6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eastAsia="zh-CN"/>
              </w:rPr>
              <w:t>安全管理机构是否健全，安全管理人员和特殊工种配备是否齐全；安全生产责任制是否健全，安全管理制度是否落实。</w:t>
            </w:r>
          </w:p>
        </w:tc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A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个月</w:t>
            </w:r>
          </w:p>
        </w:tc>
      </w:tr>
      <w:tr w14:paraId="18D00C7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E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C类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6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A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6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F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顶板管理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各项措施是否落实到位；煤矿是否配备专门的防治水机构、专业技术人员和探放水设备，是否符合“三专”要求，是否落实“三专两探一撤人”防治水措施等。</w:t>
            </w:r>
          </w:p>
        </w:tc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6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个月</w:t>
            </w:r>
          </w:p>
        </w:tc>
      </w:tr>
      <w:tr w14:paraId="6091A12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7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7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D类</w:t>
            </w:r>
          </w:p>
        </w:tc>
        <w:tc>
          <w:tcPr>
            <w:tcW w:w="1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7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9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停产停建</w:t>
            </w:r>
          </w:p>
        </w:tc>
        <w:tc>
          <w:tcPr>
            <w:tcW w:w="6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C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要加强巡查，定期了解矿井动态，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开展安全巡查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，防止人员随意入井作业，假停真开、非法组织生产或未经批准擅自恢复维修、擅自违法组织生产建设。</w:t>
            </w:r>
          </w:p>
        </w:tc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BC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1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个月</w:t>
            </w:r>
          </w:p>
        </w:tc>
      </w:tr>
    </w:tbl>
    <w:p w14:paraId="5026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1701" w:bottom="153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bookmarkEnd w:id="0"/>
    <w:p w14:paraId="443694C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exact"/>
        <w:ind w:left="0" w:leftChars="0" w:firstLine="0" w:firstLineChars="0"/>
        <w:textAlignment w:val="auto"/>
      </w:pPr>
      <w:bookmarkStart w:id="1" w:name="_GoBack"/>
      <w:bookmarkEnd w:id="1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41C5B">
    <w:pPr>
      <w:pStyle w:val="7"/>
      <w:tabs>
        <w:tab w:val="left" w:pos="820"/>
        <w:tab w:val="clear" w:pos="4153"/>
        <w:tab w:val="clear" w:pos="8306"/>
      </w:tabs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4641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F855D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5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nufhtIAAAAEAQAADwAAAAAAAAABACAAAAAiAAAAZHJzL2Rvd25yZXYueG1sUEsB&#10;AhQAFAAAAAgAh07iQPBPHXjCAQAAfgMAAA4AAAAAAAAAAQAgAAAAI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DF855D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5EE13">
    <w:pPr>
      <w:pStyle w:val="8"/>
      <w:pBdr>
        <w:bottom w:val="none" w:color="auto" w:sz="0" w:space="0"/>
      </w:pBdr>
      <w:tabs>
        <w:tab w:val="left" w:pos="75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835E0"/>
    <w:multiLevelType w:val="singleLevel"/>
    <w:tmpl w:val="EE1835E0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9007F"/>
    <w:rsid w:val="0B737E3C"/>
    <w:rsid w:val="0E220FBD"/>
    <w:rsid w:val="16A3136D"/>
    <w:rsid w:val="27D06C1C"/>
    <w:rsid w:val="2A142856"/>
    <w:rsid w:val="32274FA8"/>
    <w:rsid w:val="35B93A3D"/>
    <w:rsid w:val="429A1A45"/>
    <w:rsid w:val="45986DBD"/>
    <w:rsid w:val="4F58051A"/>
    <w:rsid w:val="52745B44"/>
    <w:rsid w:val="61160712"/>
    <w:rsid w:val="6C2247B3"/>
    <w:rsid w:val="6CE567ED"/>
    <w:rsid w:val="725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明显引用1"/>
    <w:basedOn w:val="1"/>
    <w:next w:val="1"/>
    <w:autoRedefine/>
    <w:qFormat/>
    <w:uiPriority w:val="0"/>
    <w:pPr>
      <w:widowControl/>
      <w:wordWrap w:val="0"/>
      <w:spacing w:before="360" w:after="360"/>
      <w:ind w:left="950" w:right="950"/>
      <w:jc w:val="center"/>
    </w:pPr>
    <w:rPr>
      <w:rFonts w:cs="宋体"/>
      <w:i/>
      <w:iCs/>
      <w:kern w:val="0"/>
    </w:rPr>
  </w:style>
  <w:style w:type="paragraph" w:styleId="4">
    <w:name w:val="Body Text Indent"/>
    <w:basedOn w:val="1"/>
    <w:next w:val="2"/>
    <w:unhideWhenUsed/>
    <w:qFormat/>
    <w:uiPriority w:val="99"/>
    <w:pPr>
      <w:ind w:left="2880" w:hanging="2880" w:hangingChars="800"/>
    </w:pPr>
    <w:rPr>
      <w:sz w:val="36"/>
    </w:rPr>
  </w:style>
  <w:style w:type="paragraph" w:styleId="5">
    <w:name w:val="Plain Text"/>
    <w:basedOn w:val="1"/>
    <w:next w:val="6"/>
    <w:unhideWhenUsed/>
    <w:qFormat/>
    <w:uiPriority w:val="99"/>
    <w:pPr>
      <w:spacing w:line="360" w:lineRule="auto"/>
      <w:ind w:firstLine="560"/>
    </w:pPr>
    <w:rPr>
      <w:rFonts w:ascii="宋体" w:hAnsi="Courier New"/>
      <w:sz w:val="28"/>
      <w:szCs w:val="20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0">
    <w:name w:val="Body Text First Indent 2"/>
    <w:basedOn w:val="4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2025-02-19T08:36:00Z</dcterms:created>
  <dc:creator>馒头_っ</dc:creator>
  <cp:lastModifiedBy>666</cp:lastModifiedBy>
  <cp:lastPrinted>2025-02-20T10:35:00Z</cp:lastPrinted>
  <dcterms:modified xsi:type="dcterms:W3CDTF">2025-08-20T10:17:31Z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83DE8427C72E46FDA86120BFF2F6A8B8_13</vt:lpwstr>
  </property>
</Properties>
</file>